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D4EDD" w14:paraId="720041C7" w14:textId="77777777" w:rsidTr="00BF1190">
        <w:trPr>
          <w:trHeight w:val="1863"/>
        </w:trPr>
        <w:tc>
          <w:tcPr>
            <w:tcW w:w="3652" w:type="dxa"/>
            <w:tcBorders>
              <w:top w:val="nil"/>
              <w:left w:val="nil"/>
              <w:bottom w:val="nil"/>
              <w:right w:val="nil"/>
            </w:tcBorders>
          </w:tcPr>
          <w:p w14:paraId="67A9A3DD" w14:textId="45A8B4D5" w:rsidR="008E7846" w:rsidRPr="004D4EDD" w:rsidRDefault="00B326AA" w:rsidP="00F931CE">
            <w:pPr>
              <w:pStyle w:val="Date"/>
              <w:framePr w:hSpace="0" w:wrap="auto" w:vAnchor="margin" w:hAnchor="text" w:yAlign="inline"/>
              <w:suppressOverlap w:val="0"/>
            </w:pPr>
            <w:r w:rsidRPr="004D4EDD">
              <w:t>September</w:t>
            </w:r>
            <w:r w:rsidR="00B02F83" w:rsidRPr="004D4EDD">
              <w:t xml:space="preserve"> 2022</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4D4EDD" w14:paraId="06212BDA" w14:textId="77777777" w:rsidTr="0032583B">
        <w:trPr>
          <w:trHeight w:val="868"/>
        </w:trPr>
        <w:tc>
          <w:tcPr>
            <w:tcW w:w="9079" w:type="dxa"/>
          </w:tcPr>
          <w:p w14:paraId="0EE87019" w14:textId="680E2E8D" w:rsidR="0032583B" w:rsidRPr="004D4EDD" w:rsidRDefault="0032583B" w:rsidP="00F931CE">
            <w:pPr>
              <w:pStyle w:val="Title"/>
              <w:framePr w:hSpace="0" w:wrap="auto" w:vAnchor="margin" w:yAlign="inline"/>
            </w:pPr>
            <w:r w:rsidRPr="004D4EDD">
              <w:t>Australian Public Assessment Report for</w:t>
            </w:r>
            <w:r w:rsidR="00AF2313" w:rsidRPr="004D4EDD">
              <w:t xml:space="preserve"> </w:t>
            </w:r>
            <w:r w:rsidR="00B02F83" w:rsidRPr="004D4EDD">
              <w:t>Zeposia</w:t>
            </w:r>
          </w:p>
        </w:tc>
      </w:tr>
      <w:tr w:rsidR="0032583B" w:rsidRPr="004D4EDD" w14:paraId="1A288C99" w14:textId="77777777" w:rsidTr="0032583B">
        <w:tc>
          <w:tcPr>
            <w:tcW w:w="9079" w:type="dxa"/>
          </w:tcPr>
          <w:p w14:paraId="419C0996" w14:textId="014E751D" w:rsidR="0032583B" w:rsidRPr="004D4EDD" w:rsidRDefault="00BB75D6" w:rsidP="00F931CE">
            <w:pPr>
              <w:pStyle w:val="Subtitle"/>
              <w:framePr w:hSpace="0" w:wrap="auto" w:vAnchor="margin" w:yAlign="inline"/>
            </w:pPr>
            <w:r w:rsidRPr="004D4EDD">
              <w:t>Active ingredient</w:t>
            </w:r>
            <w:r w:rsidR="0032583B" w:rsidRPr="004D4EDD">
              <w:t xml:space="preserve">: </w:t>
            </w:r>
            <w:r w:rsidR="00B02F83" w:rsidRPr="004D4EDD">
              <w:t>Ozanimod</w:t>
            </w:r>
          </w:p>
        </w:tc>
      </w:tr>
      <w:tr w:rsidR="0032583B" w:rsidRPr="004D4EDD" w14:paraId="2D916033" w14:textId="77777777" w:rsidTr="0032583B">
        <w:trPr>
          <w:trHeight w:val="486"/>
        </w:trPr>
        <w:tc>
          <w:tcPr>
            <w:tcW w:w="9079" w:type="dxa"/>
          </w:tcPr>
          <w:p w14:paraId="20A6798A" w14:textId="3837B742" w:rsidR="0032583B" w:rsidRPr="004D4EDD" w:rsidRDefault="00460036" w:rsidP="009556D7">
            <w:pPr>
              <w:pStyle w:val="Subtitle"/>
              <w:framePr w:hSpace="0" w:wrap="auto" w:vAnchor="margin" w:yAlign="inline"/>
            </w:pPr>
            <w:r w:rsidRPr="004D4EDD">
              <w:t xml:space="preserve">Sponsor: </w:t>
            </w:r>
            <w:r w:rsidR="00B02F83" w:rsidRPr="004D4EDD">
              <w:t>Celgene Pty Limited</w:t>
            </w:r>
          </w:p>
        </w:tc>
      </w:tr>
    </w:tbl>
    <w:p w14:paraId="3D245FCA" w14:textId="77777777" w:rsidR="008E7846" w:rsidRPr="004D4EDD" w:rsidRDefault="008E7846" w:rsidP="0085156D">
      <w:r w:rsidRPr="004D4EDD">
        <w:br w:type="page"/>
      </w:r>
    </w:p>
    <w:p w14:paraId="377BAB5D" w14:textId="77777777" w:rsidR="008E7846" w:rsidRPr="004D4EDD" w:rsidRDefault="008E7846" w:rsidP="008E7846">
      <w:pPr>
        <w:pStyle w:val="NonTOCHeading2"/>
      </w:pPr>
      <w:r w:rsidRPr="004D4EDD">
        <w:lastRenderedPageBreak/>
        <w:t>About the Therapeutic Goods Administration (TGA)</w:t>
      </w:r>
    </w:p>
    <w:p w14:paraId="1E69E69A" w14:textId="77777777" w:rsidR="00AF2313" w:rsidRPr="004D4EDD" w:rsidRDefault="00AF2313" w:rsidP="00AF2313">
      <w:pPr>
        <w:pStyle w:val="ListBullet"/>
      </w:pPr>
      <w:r w:rsidRPr="004D4EDD">
        <w:t>The Therapeutic Goods Administration (TGA) is part of the Australian Government Department of Health and is responsible for regulating therapeutic goods, including medicines, medical devices, and biologicals.</w:t>
      </w:r>
    </w:p>
    <w:p w14:paraId="5FC07749" w14:textId="77777777" w:rsidR="00AF2313" w:rsidRPr="004D4EDD" w:rsidRDefault="00AF2313" w:rsidP="00AF2313">
      <w:pPr>
        <w:pStyle w:val="ListBullet"/>
      </w:pPr>
      <w:r w:rsidRPr="004D4EDD">
        <w:t xml:space="preserve">The TGA administers the </w:t>
      </w:r>
      <w:r w:rsidRPr="004D4EDD">
        <w:rPr>
          <w:i/>
          <w:iCs/>
        </w:rPr>
        <w:t>Therapeutic Goods Act 1989</w:t>
      </w:r>
      <w:r w:rsidRPr="004D4EDD">
        <w:t xml:space="preserve"> (the Act), applying a risk management approach designed to ensure therapeutic goods supplied in Australia meet acceptable standards of quality, </w:t>
      </w:r>
      <w:r w:rsidR="00CC5044" w:rsidRPr="004D4EDD">
        <w:t>safety,</w:t>
      </w:r>
      <w:r w:rsidRPr="004D4EDD">
        <w:t xml:space="preserve"> and efficacy.</w:t>
      </w:r>
    </w:p>
    <w:p w14:paraId="75AD2773" w14:textId="77777777" w:rsidR="00AF2313" w:rsidRPr="004D4EDD" w:rsidRDefault="00AF2313" w:rsidP="00AF2313">
      <w:pPr>
        <w:pStyle w:val="ListBullet"/>
      </w:pPr>
      <w:r w:rsidRPr="004D4EDD">
        <w:t>The work of the TGA is based on applying scientific and clinical expertise to decision-making, to ensure that the benefits to the Australian public outweigh any risks associated with the use of therapeutic goods.</w:t>
      </w:r>
    </w:p>
    <w:p w14:paraId="0ECF5141" w14:textId="77777777" w:rsidR="00AF2313" w:rsidRPr="004D4EDD" w:rsidRDefault="00AF2313" w:rsidP="00AF2313">
      <w:pPr>
        <w:pStyle w:val="ListBullet"/>
      </w:pPr>
      <w:r w:rsidRPr="004D4EDD">
        <w:t>The TGA relies on the public, healthcare professionals and industry to report problems with therapeutic goods. The TGA investigates reports received to determine any necessary regulatory action.</w:t>
      </w:r>
    </w:p>
    <w:p w14:paraId="426CE26F" w14:textId="000D606B" w:rsidR="00AF2313" w:rsidRPr="004D4EDD" w:rsidRDefault="00AF2313" w:rsidP="00AF2313">
      <w:pPr>
        <w:pStyle w:val="ListBullet"/>
      </w:pPr>
      <w:r w:rsidRPr="004D4EDD">
        <w:t xml:space="preserve">To report a problem with a therapeutic good, please see the information on the </w:t>
      </w:r>
      <w:hyperlink r:id="rId8" w:history="1">
        <w:r w:rsidRPr="004D4EDD">
          <w:rPr>
            <w:rStyle w:val="Hyperlink"/>
          </w:rPr>
          <w:t>TGA website</w:t>
        </w:r>
      </w:hyperlink>
      <w:r w:rsidRPr="004D4EDD">
        <w:t>.</w:t>
      </w:r>
    </w:p>
    <w:p w14:paraId="6637A286" w14:textId="77777777" w:rsidR="008E7846" w:rsidRPr="004D4EDD" w:rsidRDefault="008E7846" w:rsidP="00875A6B">
      <w:pPr>
        <w:pStyle w:val="NonTOCHeading2"/>
      </w:pPr>
      <w:r w:rsidRPr="004D4EDD">
        <w:t xml:space="preserve">About </w:t>
      </w:r>
      <w:proofErr w:type="spellStart"/>
      <w:r w:rsidRPr="004D4EDD">
        <w:t>AusPARs</w:t>
      </w:r>
      <w:proofErr w:type="spellEnd"/>
    </w:p>
    <w:p w14:paraId="7F62E596" w14:textId="524F4762" w:rsidR="00AF2313" w:rsidRPr="004D4EDD" w:rsidRDefault="00AF2313" w:rsidP="00AF2313">
      <w:pPr>
        <w:pStyle w:val="ListBullet"/>
      </w:pPr>
      <w:r w:rsidRPr="004D4EDD">
        <w:t xml:space="preserve">The Australian Public Assessment Report (AusPAR) provides information about the evaluation of a prescription medicine and the considerations that led the TGA to approve or not approve a prescription medicine submission. Further information can be found in </w:t>
      </w:r>
      <w:hyperlink r:id="rId9" w:history="1">
        <w:r w:rsidRPr="004D4EDD">
          <w:rPr>
            <w:rStyle w:val="Hyperlink"/>
          </w:rPr>
          <w:t>Australian P</w:t>
        </w:r>
        <w:r w:rsidRPr="004D4EDD">
          <w:rPr>
            <w:rStyle w:val="Hyperlink"/>
          </w:rPr>
          <w:t>u</w:t>
        </w:r>
        <w:r w:rsidRPr="004D4EDD">
          <w:rPr>
            <w:rStyle w:val="Hyperlink"/>
          </w:rPr>
          <w:t>blic Assessment Report (AusPAR) guidance</w:t>
        </w:r>
      </w:hyperlink>
      <w:r w:rsidRPr="004D4EDD">
        <w:t>.</w:t>
      </w:r>
    </w:p>
    <w:p w14:paraId="100EB5D0" w14:textId="77777777" w:rsidR="00AF2313" w:rsidRPr="004D4EDD" w:rsidRDefault="00AF2313" w:rsidP="00AF2313">
      <w:pPr>
        <w:pStyle w:val="ListBullet"/>
      </w:pPr>
      <w:proofErr w:type="spellStart"/>
      <w:r w:rsidRPr="004D4EDD">
        <w:t>AusPARs</w:t>
      </w:r>
      <w:proofErr w:type="spellEnd"/>
      <w:r w:rsidRPr="004D4EDD">
        <w:t xml:space="preserve"> are prepared and published by the TGA.</w:t>
      </w:r>
    </w:p>
    <w:p w14:paraId="1F61AC07" w14:textId="77777777" w:rsidR="00AF2313" w:rsidRPr="004D4EDD" w:rsidRDefault="00AF2313" w:rsidP="00AF2313">
      <w:pPr>
        <w:pStyle w:val="ListBullet"/>
      </w:pPr>
      <w:proofErr w:type="spellStart"/>
      <w:r w:rsidRPr="004D4EDD">
        <w:t>AusPARs</w:t>
      </w:r>
      <w:proofErr w:type="spellEnd"/>
      <w:r w:rsidRPr="004D4EDD">
        <w:t xml:space="preserve"> are static documents that provide information that relates to a submission at a particular point in time.</w:t>
      </w:r>
      <w:r w:rsidR="008110BC" w:rsidRPr="004D4EDD">
        <w:t xml:space="preserve"> The publication of an AusPAR is an important part of the transparency of the TGA’s decision-making process.</w:t>
      </w:r>
    </w:p>
    <w:p w14:paraId="01115C9E" w14:textId="77777777" w:rsidR="00AF2313" w:rsidRPr="004D4EDD" w:rsidRDefault="00AF2313" w:rsidP="00AF2313">
      <w:pPr>
        <w:pStyle w:val="ListBullet"/>
      </w:pPr>
      <w:r w:rsidRPr="004D4EDD">
        <w:t>A new AusPAR may be provided to reflect changes to indications or major variations to a prescription medicine subject to evaluation by the TGA.</w:t>
      </w:r>
    </w:p>
    <w:p w14:paraId="121AC53C" w14:textId="77777777" w:rsidR="00924482" w:rsidRPr="004D4EDD" w:rsidRDefault="00924482" w:rsidP="00F54B65">
      <w:pPr>
        <w:pStyle w:val="LegalSubheading"/>
        <w:spacing w:before="3120"/>
      </w:pPr>
      <w:r w:rsidRPr="004D4EDD">
        <w:t>Copyright</w:t>
      </w:r>
    </w:p>
    <w:p w14:paraId="280D4C3E" w14:textId="418E0E1E" w:rsidR="00924482" w:rsidRPr="004D4EDD" w:rsidRDefault="00924482" w:rsidP="00924482">
      <w:pPr>
        <w:pStyle w:val="LegalCopy"/>
      </w:pPr>
      <w:r w:rsidRPr="004D4EDD">
        <w:rPr>
          <w:rFonts w:cs="Arial"/>
          <w:lang w:val="en-GB"/>
        </w:rPr>
        <w:t>© Commonwealth of Australia 20</w:t>
      </w:r>
      <w:r w:rsidR="00460036" w:rsidRPr="004D4EDD">
        <w:rPr>
          <w:rFonts w:cs="Arial"/>
          <w:lang w:val="en-GB"/>
        </w:rPr>
        <w:t>2</w:t>
      </w:r>
      <w:r w:rsidR="00AF2313" w:rsidRPr="004D4EDD">
        <w:rPr>
          <w:rFonts w:cs="Arial"/>
          <w:lang w:val="en-GB"/>
        </w:rPr>
        <w:t>2</w:t>
      </w:r>
      <w:r w:rsidRPr="004D4EDD">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4D4EDD">
        <w:rPr>
          <w:rFonts w:cs="Arial"/>
          <w:i/>
          <w:lang w:val="en-GB"/>
        </w:rPr>
        <w:t>Copyright Act 1968</w:t>
      </w:r>
      <w:r w:rsidRPr="004D4EDD">
        <w:rPr>
          <w:rFonts w:cs="Arial"/>
          <w:lang w:val="en-GB"/>
        </w:rPr>
        <w:t xml:space="preserve"> or allowed by this copyright notice, all other rights are </w:t>
      </w:r>
      <w:r w:rsidR="00EB36D6" w:rsidRPr="004D4EDD">
        <w:rPr>
          <w:rFonts w:cs="Arial"/>
          <w:lang w:val="en-GB"/>
        </w:rPr>
        <w:t>reserved,</w:t>
      </w:r>
      <w:r w:rsidRPr="004D4EDD">
        <w:rPr>
          <w:rFonts w:cs="Arial"/>
          <w:lang w:val="en-GB"/>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4D4EDD">
        <w:rPr>
          <w:rFonts w:cs="Arial"/>
          <w:lang w:val="en-GB"/>
        </w:rPr>
        <w:t>Woden</w:t>
      </w:r>
      <w:proofErr w:type="spellEnd"/>
      <w:r w:rsidRPr="004D4EDD">
        <w:rPr>
          <w:rFonts w:cs="Arial"/>
          <w:lang w:val="en-GB"/>
        </w:rPr>
        <w:t xml:space="preserve"> ACT 2606 or emailed to &lt;</w:t>
      </w:r>
      <w:hyperlink r:id="rId10" w:history="1">
        <w:r w:rsidRPr="004D4EDD">
          <w:rPr>
            <w:rStyle w:val="Hyperlink"/>
            <w:rFonts w:cs="Arial"/>
            <w:lang w:val="en-GB"/>
          </w:rPr>
          <w:t>tga.copyright@tga.gov.au</w:t>
        </w:r>
      </w:hyperlink>
      <w:r w:rsidRPr="004D4EDD">
        <w:rPr>
          <w:rFonts w:cs="Arial"/>
        </w:rPr>
        <w:t>&gt;.</w:t>
      </w:r>
    </w:p>
    <w:p w14:paraId="2132A368" w14:textId="77777777" w:rsidR="00924482" w:rsidRPr="004D4EDD" w:rsidRDefault="00924482" w:rsidP="00924482">
      <w:pPr>
        <w:pStyle w:val="LegalCopy"/>
        <w:sectPr w:rsidR="00924482" w:rsidRPr="004D4EDD"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Cs w:val="0"/>
        </w:rPr>
      </w:sdtEndPr>
      <w:sdtContent>
        <w:p w14:paraId="2EB38371" w14:textId="77777777" w:rsidR="0089635C" w:rsidRPr="004D4EDD" w:rsidRDefault="0089635C" w:rsidP="0010788A">
          <w:pPr>
            <w:pStyle w:val="Contents"/>
          </w:pPr>
          <w:r w:rsidRPr="004D4EDD">
            <w:t>Contents</w:t>
          </w:r>
        </w:p>
        <w:p w14:paraId="57285EF0" w14:textId="50BD3F7C" w:rsidR="004D4EDD" w:rsidRDefault="00C525A2">
          <w:pPr>
            <w:pStyle w:val="TOC1"/>
            <w:rPr>
              <w:rFonts w:asciiTheme="minorHAnsi" w:eastAsiaTheme="minorEastAsia" w:hAnsiTheme="minorHAnsi" w:cstheme="minorBidi"/>
              <w:b w:val="0"/>
              <w:noProof/>
              <w:sz w:val="22"/>
              <w:lang w:eastAsia="en-AU"/>
            </w:rPr>
          </w:pPr>
          <w:r w:rsidRPr="004D4EDD">
            <w:fldChar w:fldCharType="begin"/>
          </w:r>
          <w:r w:rsidRPr="004D4EDD">
            <w:instrText xml:space="preserve"> TOC \h \z \t "Heading 2,1,Heading 3,2" </w:instrText>
          </w:r>
          <w:r w:rsidRPr="004D4EDD">
            <w:fldChar w:fldCharType="separate"/>
          </w:r>
          <w:hyperlink w:anchor="_Toc113536185" w:history="1">
            <w:r w:rsidR="004D4EDD" w:rsidRPr="0072407A">
              <w:rPr>
                <w:rStyle w:val="Hyperlink"/>
                <w:noProof/>
              </w:rPr>
              <w:t>List of abbreviations</w:t>
            </w:r>
            <w:r w:rsidR="004D4EDD">
              <w:rPr>
                <w:noProof/>
                <w:webHidden/>
              </w:rPr>
              <w:tab/>
            </w:r>
            <w:r w:rsidR="004D4EDD">
              <w:rPr>
                <w:noProof/>
                <w:webHidden/>
              </w:rPr>
              <w:fldChar w:fldCharType="begin"/>
            </w:r>
            <w:r w:rsidR="004D4EDD">
              <w:rPr>
                <w:noProof/>
                <w:webHidden/>
              </w:rPr>
              <w:instrText xml:space="preserve"> PAGEREF _Toc113536185 \h </w:instrText>
            </w:r>
            <w:r w:rsidR="004D4EDD">
              <w:rPr>
                <w:noProof/>
                <w:webHidden/>
              </w:rPr>
            </w:r>
            <w:r w:rsidR="004D4EDD">
              <w:rPr>
                <w:noProof/>
                <w:webHidden/>
              </w:rPr>
              <w:fldChar w:fldCharType="separate"/>
            </w:r>
            <w:r w:rsidR="009C0FB4">
              <w:rPr>
                <w:noProof/>
                <w:webHidden/>
              </w:rPr>
              <w:t>4</w:t>
            </w:r>
            <w:r w:rsidR="004D4EDD">
              <w:rPr>
                <w:noProof/>
                <w:webHidden/>
              </w:rPr>
              <w:fldChar w:fldCharType="end"/>
            </w:r>
          </w:hyperlink>
        </w:p>
        <w:p w14:paraId="42CEFC59" w14:textId="1D0550C6" w:rsidR="004D4EDD" w:rsidRDefault="009C0FB4">
          <w:pPr>
            <w:pStyle w:val="TOC1"/>
            <w:rPr>
              <w:rFonts w:asciiTheme="minorHAnsi" w:eastAsiaTheme="minorEastAsia" w:hAnsiTheme="minorHAnsi" w:cstheme="minorBidi"/>
              <w:b w:val="0"/>
              <w:noProof/>
              <w:sz w:val="22"/>
              <w:lang w:eastAsia="en-AU"/>
            </w:rPr>
          </w:pPr>
          <w:hyperlink w:anchor="_Toc113536186" w:history="1">
            <w:r w:rsidR="004D4EDD" w:rsidRPr="0072407A">
              <w:rPr>
                <w:rStyle w:val="Hyperlink"/>
                <w:noProof/>
              </w:rPr>
              <w:t>Product submission</w:t>
            </w:r>
            <w:r w:rsidR="004D4EDD">
              <w:rPr>
                <w:noProof/>
                <w:webHidden/>
              </w:rPr>
              <w:tab/>
            </w:r>
            <w:r w:rsidR="004D4EDD">
              <w:rPr>
                <w:noProof/>
                <w:webHidden/>
              </w:rPr>
              <w:fldChar w:fldCharType="begin"/>
            </w:r>
            <w:r w:rsidR="004D4EDD">
              <w:rPr>
                <w:noProof/>
                <w:webHidden/>
              </w:rPr>
              <w:instrText xml:space="preserve"> PAGEREF _Toc113536186 \h </w:instrText>
            </w:r>
            <w:r w:rsidR="004D4EDD">
              <w:rPr>
                <w:noProof/>
                <w:webHidden/>
              </w:rPr>
            </w:r>
            <w:r w:rsidR="004D4EDD">
              <w:rPr>
                <w:noProof/>
                <w:webHidden/>
              </w:rPr>
              <w:fldChar w:fldCharType="separate"/>
            </w:r>
            <w:r>
              <w:rPr>
                <w:noProof/>
                <w:webHidden/>
              </w:rPr>
              <w:t>6</w:t>
            </w:r>
            <w:r w:rsidR="004D4EDD">
              <w:rPr>
                <w:noProof/>
                <w:webHidden/>
              </w:rPr>
              <w:fldChar w:fldCharType="end"/>
            </w:r>
          </w:hyperlink>
        </w:p>
        <w:p w14:paraId="19B3B009" w14:textId="3E4788DB" w:rsidR="004D4EDD" w:rsidRDefault="009C0FB4">
          <w:pPr>
            <w:pStyle w:val="TOC2"/>
            <w:rPr>
              <w:rFonts w:asciiTheme="minorHAnsi" w:eastAsiaTheme="minorEastAsia" w:hAnsiTheme="minorHAnsi" w:cstheme="minorBidi"/>
              <w:b w:val="0"/>
              <w:noProof/>
              <w:sz w:val="22"/>
              <w:lang w:eastAsia="en-AU"/>
            </w:rPr>
          </w:pPr>
          <w:hyperlink w:anchor="_Toc113536187" w:history="1">
            <w:r w:rsidR="004D4EDD" w:rsidRPr="0072407A">
              <w:rPr>
                <w:rStyle w:val="Hyperlink"/>
                <w:noProof/>
                <w:lang w:eastAsia="en-AU"/>
              </w:rPr>
              <w:t>Submission details</w:t>
            </w:r>
            <w:r w:rsidR="004D4EDD">
              <w:rPr>
                <w:noProof/>
                <w:webHidden/>
              </w:rPr>
              <w:tab/>
            </w:r>
            <w:r w:rsidR="004D4EDD">
              <w:rPr>
                <w:noProof/>
                <w:webHidden/>
              </w:rPr>
              <w:fldChar w:fldCharType="begin"/>
            </w:r>
            <w:r w:rsidR="004D4EDD">
              <w:rPr>
                <w:noProof/>
                <w:webHidden/>
              </w:rPr>
              <w:instrText xml:space="preserve"> PAGEREF _Toc113536187 \h </w:instrText>
            </w:r>
            <w:r w:rsidR="004D4EDD">
              <w:rPr>
                <w:noProof/>
                <w:webHidden/>
              </w:rPr>
            </w:r>
            <w:r w:rsidR="004D4EDD">
              <w:rPr>
                <w:noProof/>
                <w:webHidden/>
              </w:rPr>
              <w:fldChar w:fldCharType="separate"/>
            </w:r>
            <w:r>
              <w:rPr>
                <w:noProof/>
                <w:webHidden/>
              </w:rPr>
              <w:t>6</w:t>
            </w:r>
            <w:r w:rsidR="004D4EDD">
              <w:rPr>
                <w:noProof/>
                <w:webHidden/>
              </w:rPr>
              <w:fldChar w:fldCharType="end"/>
            </w:r>
          </w:hyperlink>
        </w:p>
        <w:p w14:paraId="1D750A9C" w14:textId="3057F8E9" w:rsidR="004D4EDD" w:rsidRDefault="009C0FB4">
          <w:pPr>
            <w:pStyle w:val="TOC2"/>
            <w:rPr>
              <w:rFonts w:asciiTheme="minorHAnsi" w:eastAsiaTheme="minorEastAsia" w:hAnsiTheme="minorHAnsi" w:cstheme="minorBidi"/>
              <w:b w:val="0"/>
              <w:noProof/>
              <w:sz w:val="22"/>
              <w:lang w:eastAsia="en-AU"/>
            </w:rPr>
          </w:pPr>
          <w:hyperlink w:anchor="_Toc113536188" w:history="1">
            <w:r w:rsidR="004D4EDD" w:rsidRPr="0072407A">
              <w:rPr>
                <w:rStyle w:val="Hyperlink"/>
                <w:noProof/>
              </w:rPr>
              <w:t>Product background</w:t>
            </w:r>
            <w:r w:rsidR="004D4EDD">
              <w:rPr>
                <w:noProof/>
                <w:webHidden/>
              </w:rPr>
              <w:tab/>
            </w:r>
            <w:r w:rsidR="004D4EDD">
              <w:rPr>
                <w:noProof/>
                <w:webHidden/>
              </w:rPr>
              <w:fldChar w:fldCharType="begin"/>
            </w:r>
            <w:r w:rsidR="004D4EDD">
              <w:rPr>
                <w:noProof/>
                <w:webHidden/>
              </w:rPr>
              <w:instrText xml:space="preserve"> PAGEREF _Toc113536188 \h </w:instrText>
            </w:r>
            <w:r w:rsidR="004D4EDD">
              <w:rPr>
                <w:noProof/>
                <w:webHidden/>
              </w:rPr>
            </w:r>
            <w:r w:rsidR="004D4EDD">
              <w:rPr>
                <w:noProof/>
                <w:webHidden/>
              </w:rPr>
              <w:fldChar w:fldCharType="separate"/>
            </w:r>
            <w:r>
              <w:rPr>
                <w:noProof/>
                <w:webHidden/>
              </w:rPr>
              <w:t>7</w:t>
            </w:r>
            <w:r w:rsidR="004D4EDD">
              <w:rPr>
                <w:noProof/>
                <w:webHidden/>
              </w:rPr>
              <w:fldChar w:fldCharType="end"/>
            </w:r>
          </w:hyperlink>
        </w:p>
        <w:p w14:paraId="2E24C522" w14:textId="57F523B7" w:rsidR="004D4EDD" w:rsidRDefault="009C0FB4">
          <w:pPr>
            <w:pStyle w:val="TOC2"/>
            <w:rPr>
              <w:rFonts w:asciiTheme="minorHAnsi" w:eastAsiaTheme="minorEastAsia" w:hAnsiTheme="minorHAnsi" w:cstheme="minorBidi"/>
              <w:b w:val="0"/>
              <w:noProof/>
              <w:sz w:val="22"/>
              <w:lang w:eastAsia="en-AU"/>
            </w:rPr>
          </w:pPr>
          <w:hyperlink w:anchor="_Toc113536189" w:history="1">
            <w:r w:rsidR="004D4EDD" w:rsidRPr="0072407A">
              <w:rPr>
                <w:rStyle w:val="Hyperlink"/>
                <w:noProof/>
              </w:rPr>
              <w:t>Regulatory status</w:t>
            </w:r>
            <w:r w:rsidR="004D4EDD">
              <w:rPr>
                <w:noProof/>
                <w:webHidden/>
              </w:rPr>
              <w:tab/>
            </w:r>
            <w:r w:rsidR="004D4EDD">
              <w:rPr>
                <w:noProof/>
                <w:webHidden/>
              </w:rPr>
              <w:fldChar w:fldCharType="begin"/>
            </w:r>
            <w:r w:rsidR="004D4EDD">
              <w:rPr>
                <w:noProof/>
                <w:webHidden/>
              </w:rPr>
              <w:instrText xml:space="preserve"> PAGEREF _Toc113536189 \h </w:instrText>
            </w:r>
            <w:r w:rsidR="004D4EDD">
              <w:rPr>
                <w:noProof/>
                <w:webHidden/>
              </w:rPr>
            </w:r>
            <w:r w:rsidR="004D4EDD">
              <w:rPr>
                <w:noProof/>
                <w:webHidden/>
              </w:rPr>
              <w:fldChar w:fldCharType="separate"/>
            </w:r>
            <w:r>
              <w:rPr>
                <w:noProof/>
                <w:webHidden/>
              </w:rPr>
              <w:t>9</w:t>
            </w:r>
            <w:r w:rsidR="004D4EDD">
              <w:rPr>
                <w:noProof/>
                <w:webHidden/>
              </w:rPr>
              <w:fldChar w:fldCharType="end"/>
            </w:r>
          </w:hyperlink>
        </w:p>
        <w:p w14:paraId="53AB879C" w14:textId="7758D49C" w:rsidR="004D4EDD" w:rsidRDefault="009C0FB4">
          <w:pPr>
            <w:pStyle w:val="TOC2"/>
            <w:rPr>
              <w:rFonts w:asciiTheme="minorHAnsi" w:eastAsiaTheme="minorEastAsia" w:hAnsiTheme="minorHAnsi" w:cstheme="minorBidi"/>
              <w:b w:val="0"/>
              <w:noProof/>
              <w:sz w:val="22"/>
              <w:lang w:eastAsia="en-AU"/>
            </w:rPr>
          </w:pPr>
          <w:hyperlink w:anchor="_Toc113536190" w:history="1">
            <w:r w:rsidR="004D4EDD" w:rsidRPr="0072407A">
              <w:rPr>
                <w:rStyle w:val="Hyperlink"/>
                <w:noProof/>
              </w:rPr>
              <w:t>Product Information</w:t>
            </w:r>
            <w:r w:rsidR="004D4EDD">
              <w:rPr>
                <w:noProof/>
                <w:webHidden/>
              </w:rPr>
              <w:tab/>
            </w:r>
            <w:r w:rsidR="004D4EDD">
              <w:rPr>
                <w:noProof/>
                <w:webHidden/>
              </w:rPr>
              <w:fldChar w:fldCharType="begin"/>
            </w:r>
            <w:r w:rsidR="004D4EDD">
              <w:rPr>
                <w:noProof/>
                <w:webHidden/>
              </w:rPr>
              <w:instrText xml:space="preserve"> PAGEREF _Toc113536190 \h </w:instrText>
            </w:r>
            <w:r w:rsidR="004D4EDD">
              <w:rPr>
                <w:noProof/>
                <w:webHidden/>
              </w:rPr>
            </w:r>
            <w:r w:rsidR="004D4EDD">
              <w:rPr>
                <w:noProof/>
                <w:webHidden/>
              </w:rPr>
              <w:fldChar w:fldCharType="separate"/>
            </w:r>
            <w:r>
              <w:rPr>
                <w:noProof/>
                <w:webHidden/>
              </w:rPr>
              <w:t>9</w:t>
            </w:r>
            <w:r w:rsidR="004D4EDD">
              <w:rPr>
                <w:noProof/>
                <w:webHidden/>
              </w:rPr>
              <w:fldChar w:fldCharType="end"/>
            </w:r>
          </w:hyperlink>
        </w:p>
        <w:p w14:paraId="767E58D7" w14:textId="57A4A529" w:rsidR="004D4EDD" w:rsidRDefault="009C0FB4">
          <w:pPr>
            <w:pStyle w:val="TOC1"/>
            <w:rPr>
              <w:rFonts w:asciiTheme="minorHAnsi" w:eastAsiaTheme="minorEastAsia" w:hAnsiTheme="minorHAnsi" w:cstheme="minorBidi"/>
              <w:b w:val="0"/>
              <w:noProof/>
              <w:sz w:val="22"/>
              <w:lang w:eastAsia="en-AU"/>
            </w:rPr>
          </w:pPr>
          <w:hyperlink w:anchor="_Toc113536191" w:history="1">
            <w:r w:rsidR="004D4EDD" w:rsidRPr="0072407A">
              <w:rPr>
                <w:rStyle w:val="Hyperlink"/>
                <w:noProof/>
              </w:rPr>
              <w:t>Registration timeline</w:t>
            </w:r>
            <w:r w:rsidR="004D4EDD">
              <w:rPr>
                <w:noProof/>
                <w:webHidden/>
              </w:rPr>
              <w:tab/>
            </w:r>
            <w:r w:rsidR="004D4EDD">
              <w:rPr>
                <w:noProof/>
                <w:webHidden/>
              </w:rPr>
              <w:fldChar w:fldCharType="begin"/>
            </w:r>
            <w:r w:rsidR="004D4EDD">
              <w:rPr>
                <w:noProof/>
                <w:webHidden/>
              </w:rPr>
              <w:instrText xml:space="preserve"> PAGEREF _Toc113536191 \h </w:instrText>
            </w:r>
            <w:r w:rsidR="004D4EDD">
              <w:rPr>
                <w:noProof/>
                <w:webHidden/>
              </w:rPr>
            </w:r>
            <w:r w:rsidR="004D4EDD">
              <w:rPr>
                <w:noProof/>
                <w:webHidden/>
              </w:rPr>
              <w:fldChar w:fldCharType="separate"/>
            </w:r>
            <w:r>
              <w:rPr>
                <w:noProof/>
                <w:webHidden/>
              </w:rPr>
              <w:t>10</w:t>
            </w:r>
            <w:r w:rsidR="004D4EDD">
              <w:rPr>
                <w:noProof/>
                <w:webHidden/>
              </w:rPr>
              <w:fldChar w:fldCharType="end"/>
            </w:r>
          </w:hyperlink>
        </w:p>
        <w:p w14:paraId="682322E5" w14:textId="323E95D3" w:rsidR="004D4EDD" w:rsidRDefault="009C0FB4">
          <w:pPr>
            <w:pStyle w:val="TOC1"/>
            <w:rPr>
              <w:rFonts w:asciiTheme="minorHAnsi" w:eastAsiaTheme="minorEastAsia" w:hAnsiTheme="minorHAnsi" w:cstheme="minorBidi"/>
              <w:b w:val="0"/>
              <w:noProof/>
              <w:sz w:val="22"/>
              <w:lang w:eastAsia="en-AU"/>
            </w:rPr>
          </w:pPr>
          <w:hyperlink w:anchor="_Toc113536192" w:history="1">
            <w:r w:rsidR="004D4EDD" w:rsidRPr="0072407A">
              <w:rPr>
                <w:rStyle w:val="Hyperlink"/>
                <w:noProof/>
              </w:rPr>
              <w:t>Submission overview and risk/benefit assessment</w:t>
            </w:r>
            <w:r w:rsidR="004D4EDD">
              <w:rPr>
                <w:noProof/>
                <w:webHidden/>
              </w:rPr>
              <w:tab/>
            </w:r>
            <w:r w:rsidR="004D4EDD">
              <w:rPr>
                <w:noProof/>
                <w:webHidden/>
              </w:rPr>
              <w:fldChar w:fldCharType="begin"/>
            </w:r>
            <w:r w:rsidR="004D4EDD">
              <w:rPr>
                <w:noProof/>
                <w:webHidden/>
              </w:rPr>
              <w:instrText xml:space="preserve"> PAGEREF _Toc113536192 \h </w:instrText>
            </w:r>
            <w:r w:rsidR="004D4EDD">
              <w:rPr>
                <w:noProof/>
                <w:webHidden/>
              </w:rPr>
            </w:r>
            <w:r w:rsidR="004D4EDD">
              <w:rPr>
                <w:noProof/>
                <w:webHidden/>
              </w:rPr>
              <w:fldChar w:fldCharType="separate"/>
            </w:r>
            <w:r>
              <w:rPr>
                <w:noProof/>
                <w:webHidden/>
              </w:rPr>
              <w:t>10</w:t>
            </w:r>
            <w:r w:rsidR="004D4EDD">
              <w:rPr>
                <w:noProof/>
                <w:webHidden/>
              </w:rPr>
              <w:fldChar w:fldCharType="end"/>
            </w:r>
          </w:hyperlink>
        </w:p>
        <w:p w14:paraId="26FE8F86" w14:textId="67C4CD7A" w:rsidR="004D4EDD" w:rsidRDefault="009C0FB4">
          <w:pPr>
            <w:pStyle w:val="TOC2"/>
            <w:rPr>
              <w:rFonts w:asciiTheme="minorHAnsi" w:eastAsiaTheme="minorEastAsia" w:hAnsiTheme="minorHAnsi" w:cstheme="minorBidi"/>
              <w:b w:val="0"/>
              <w:noProof/>
              <w:sz w:val="22"/>
              <w:lang w:eastAsia="en-AU"/>
            </w:rPr>
          </w:pPr>
          <w:hyperlink w:anchor="_Toc113536193" w:history="1">
            <w:r w:rsidR="004D4EDD" w:rsidRPr="0072407A">
              <w:rPr>
                <w:rStyle w:val="Hyperlink"/>
                <w:noProof/>
              </w:rPr>
              <w:t>Quality</w:t>
            </w:r>
            <w:r w:rsidR="004D4EDD">
              <w:rPr>
                <w:noProof/>
                <w:webHidden/>
              </w:rPr>
              <w:tab/>
            </w:r>
            <w:r w:rsidR="004D4EDD">
              <w:rPr>
                <w:noProof/>
                <w:webHidden/>
              </w:rPr>
              <w:fldChar w:fldCharType="begin"/>
            </w:r>
            <w:r w:rsidR="004D4EDD">
              <w:rPr>
                <w:noProof/>
                <w:webHidden/>
              </w:rPr>
              <w:instrText xml:space="preserve"> PAGEREF _Toc113536193 \h </w:instrText>
            </w:r>
            <w:r w:rsidR="004D4EDD">
              <w:rPr>
                <w:noProof/>
                <w:webHidden/>
              </w:rPr>
            </w:r>
            <w:r w:rsidR="004D4EDD">
              <w:rPr>
                <w:noProof/>
                <w:webHidden/>
              </w:rPr>
              <w:fldChar w:fldCharType="separate"/>
            </w:r>
            <w:r>
              <w:rPr>
                <w:noProof/>
                <w:webHidden/>
              </w:rPr>
              <w:t>11</w:t>
            </w:r>
            <w:r w:rsidR="004D4EDD">
              <w:rPr>
                <w:noProof/>
                <w:webHidden/>
              </w:rPr>
              <w:fldChar w:fldCharType="end"/>
            </w:r>
          </w:hyperlink>
        </w:p>
        <w:p w14:paraId="0ED4C37A" w14:textId="2E981963" w:rsidR="004D4EDD" w:rsidRDefault="009C0FB4">
          <w:pPr>
            <w:pStyle w:val="TOC2"/>
            <w:rPr>
              <w:rFonts w:asciiTheme="minorHAnsi" w:eastAsiaTheme="minorEastAsia" w:hAnsiTheme="minorHAnsi" w:cstheme="minorBidi"/>
              <w:b w:val="0"/>
              <w:noProof/>
              <w:sz w:val="22"/>
              <w:lang w:eastAsia="en-AU"/>
            </w:rPr>
          </w:pPr>
          <w:hyperlink w:anchor="_Toc113536194" w:history="1">
            <w:r w:rsidR="004D4EDD" w:rsidRPr="0072407A">
              <w:rPr>
                <w:rStyle w:val="Hyperlink"/>
                <w:noProof/>
              </w:rPr>
              <w:t>Nonclinical</w:t>
            </w:r>
            <w:r w:rsidR="004D4EDD">
              <w:rPr>
                <w:noProof/>
                <w:webHidden/>
              </w:rPr>
              <w:tab/>
            </w:r>
            <w:r w:rsidR="004D4EDD">
              <w:rPr>
                <w:noProof/>
                <w:webHidden/>
              </w:rPr>
              <w:fldChar w:fldCharType="begin"/>
            </w:r>
            <w:r w:rsidR="004D4EDD">
              <w:rPr>
                <w:noProof/>
                <w:webHidden/>
              </w:rPr>
              <w:instrText xml:space="preserve"> PAGEREF _Toc113536194 \h </w:instrText>
            </w:r>
            <w:r w:rsidR="004D4EDD">
              <w:rPr>
                <w:noProof/>
                <w:webHidden/>
              </w:rPr>
            </w:r>
            <w:r w:rsidR="004D4EDD">
              <w:rPr>
                <w:noProof/>
                <w:webHidden/>
              </w:rPr>
              <w:fldChar w:fldCharType="separate"/>
            </w:r>
            <w:r>
              <w:rPr>
                <w:noProof/>
                <w:webHidden/>
              </w:rPr>
              <w:t>11</w:t>
            </w:r>
            <w:r w:rsidR="004D4EDD">
              <w:rPr>
                <w:noProof/>
                <w:webHidden/>
              </w:rPr>
              <w:fldChar w:fldCharType="end"/>
            </w:r>
          </w:hyperlink>
        </w:p>
        <w:p w14:paraId="135BD0DA" w14:textId="68D1C11E" w:rsidR="004D4EDD" w:rsidRDefault="009C0FB4">
          <w:pPr>
            <w:pStyle w:val="TOC2"/>
            <w:rPr>
              <w:rFonts w:asciiTheme="minorHAnsi" w:eastAsiaTheme="minorEastAsia" w:hAnsiTheme="minorHAnsi" w:cstheme="minorBidi"/>
              <w:b w:val="0"/>
              <w:noProof/>
              <w:sz w:val="22"/>
              <w:lang w:eastAsia="en-AU"/>
            </w:rPr>
          </w:pPr>
          <w:hyperlink w:anchor="_Toc113536195" w:history="1">
            <w:r w:rsidR="004D4EDD" w:rsidRPr="0072407A">
              <w:rPr>
                <w:rStyle w:val="Hyperlink"/>
                <w:noProof/>
              </w:rPr>
              <w:t>Clinical</w:t>
            </w:r>
            <w:r w:rsidR="004D4EDD">
              <w:rPr>
                <w:noProof/>
                <w:webHidden/>
              </w:rPr>
              <w:tab/>
            </w:r>
            <w:r w:rsidR="004D4EDD">
              <w:rPr>
                <w:noProof/>
                <w:webHidden/>
              </w:rPr>
              <w:fldChar w:fldCharType="begin"/>
            </w:r>
            <w:r w:rsidR="004D4EDD">
              <w:rPr>
                <w:noProof/>
                <w:webHidden/>
              </w:rPr>
              <w:instrText xml:space="preserve"> PAGEREF _Toc113536195 \h </w:instrText>
            </w:r>
            <w:r w:rsidR="004D4EDD">
              <w:rPr>
                <w:noProof/>
                <w:webHidden/>
              </w:rPr>
            </w:r>
            <w:r w:rsidR="004D4EDD">
              <w:rPr>
                <w:noProof/>
                <w:webHidden/>
              </w:rPr>
              <w:fldChar w:fldCharType="separate"/>
            </w:r>
            <w:r>
              <w:rPr>
                <w:noProof/>
                <w:webHidden/>
              </w:rPr>
              <w:t>12</w:t>
            </w:r>
            <w:r w:rsidR="004D4EDD">
              <w:rPr>
                <w:noProof/>
                <w:webHidden/>
              </w:rPr>
              <w:fldChar w:fldCharType="end"/>
            </w:r>
          </w:hyperlink>
        </w:p>
        <w:p w14:paraId="4467F125" w14:textId="4DD484D1" w:rsidR="004D4EDD" w:rsidRDefault="009C0FB4">
          <w:pPr>
            <w:pStyle w:val="TOC2"/>
            <w:rPr>
              <w:rFonts w:asciiTheme="minorHAnsi" w:eastAsiaTheme="minorEastAsia" w:hAnsiTheme="minorHAnsi" w:cstheme="minorBidi"/>
              <w:b w:val="0"/>
              <w:noProof/>
              <w:sz w:val="22"/>
              <w:lang w:eastAsia="en-AU"/>
            </w:rPr>
          </w:pPr>
          <w:hyperlink w:anchor="_Toc113536196" w:history="1">
            <w:r w:rsidR="004D4EDD" w:rsidRPr="0072407A">
              <w:rPr>
                <w:rStyle w:val="Hyperlink"/>
                <w:noProof/>
                <w:lang w:eastAsia="en-AU"/>
              </w:rPr>
              <w:t>Risk management plan</w:t>
            </w:r>
            <w:r w:rsidR="004D4EDD">
              <w:rPr>
                <w:noProof/>
                <w:webHidden/>
              </w:rPr>
              <w:tab/>
            </w:r>
            <w:r w:rsidR="004D4EDD">
              <w:rPr>
                <w:noProof/>
                <w:webHidden/>
              </w:rPr>
              <w:fldChar w:fldCharType="begin"/>
            </w:r>
            <w:r w:rsidR="004D4EDD">
              <w:rPr>
                <w:noProof/>
                <w:webHidden/>
              </w:rPr>
              <w:instrText xml:space="preserve"> PAGEREF _Toc113536196 \h </w:instrText>
            </w:r>
            <w:r w:rsidR="004D4EDD">
              <w:rPr>
                <w:noProof/>
                <w:webHidden/>
              </w:rPr>
            </w:r>
            <w:r w:rsidR="004D4EDD">
              <w:rPr>
                <w:noProof/>
                <w:webHidden/>
              </w:rPr>
              <w:fldChar w:fldCharType="separate"/>
            </w:r>
            <w:r>
              <w:rPr>
                <w:noProof/>
                <w:webHidden/>
              </w:rPr>
              <w:t>22</w:t>
            </w:r>
            <w:r w:rsidR="004D4EDD">
              <w:rPr>
                <w:noProof/>
                <w:webHidden/>
              </w:rPr>
              <w:fldChar w:fldCharType="end"/>
            </w:r>
          </w:hyperlink>
        </w:p>
        <w:p w14:paraId="629AE9E3" w14:textId="3C45E876" w:rsidR="004D4EDD" w:rsidRDefault="009C0FB4">
          <w:pPr>
            <w:pStyle w:val="TOC2"/>
            <w:rPr>
              <w:rFonts w:asciiTheme="minorHAnsi" w:eastAsiaTheme="minorEastAsia" w:hAnsiTheme="minorHAnsi" w:cstheme="minorBidi"/>
              <w:b w:val="0"/>
              <w:noProof/>
              <w:sz w:val="22"/>
              <w:lang w:eastAsia="en-AU"/>
            </w:rPr>
          </w:pPr>
          <w:hyperlink w:anchor="_Toc113536197" w:history="1">
            <w:r w:rsidR="004D4EDD" w:rsidRPr="0072407A">
              <w:rPr>
                <w:rStyle w:val="Hyperlink"/>
                <w:noProof/>
              </w:rPr>
              <w:t>Risk-benefit analysis</w:t>
            </w:r>
            <w:r w:rsidR="004D4EDD">
              <w:rPr>
                <w:noProof/>
                <w:webHidden/>
              </w:rPr>
              <w:tab/>
            </w:r>
            <w:r w:rsidR="004D4EDD">
              <w:rPr>
                <w:noProof/>
                <w:webHidden/>
              </w:rPr>
              <w:fldChar w:fldCharType="begin"/>
            </w:r>
            <w:r w:rsidR="004D4EDD">
              <w:rPr>
                <w:noProof/>
                <w:webHidden/>
              </w:rPr>
              <w:instrText xml:space="preserve"> PAGEREF _Toc113536197 \h </w:instrText>
            </w:r>
            <w:r w:rsidR="004D4EDD">
              <w:rPr>
                <w:noProof/>
                <w:webHidden/>
              </w:rPr>
            </w:r>
            <w:r w:rsidR="004D4EDD">
              <w:rPr>
                <w:noProof/>
                <w:webHidden/>
              </w:rPr>
              <w:fldChar w:fldCharType="separate"/>
            </w:r>
            <w:r>
              <w:rPr>
                <w:noProof/>
                <w:webHidden/>
              </w:rPr>
              <w:t>23</w:t>
            </w:r>
            <w:r w:rsidR="004D4EDD">
              <w:rPr>
                <w:noProof/>
                <w:webHidden/>
              </w:rPr>
              <w:fldChar w:fldCharType="end"/>
            </w:r>
          </w:hyperlink>
        </w:p>
        <w:p w14:paraId="6C0B944F" w14:textId="7F8E9FCE" w:rsidR="004D4EDD" w:rsidRDefault="009C0FB4">
          <w:pPr>
            <w:pStyle w:val="TOC1"/>
            <w:rPr>
              <w:rFonts w:asciiTheme="minorHAnsi" w:eastAsiaTheme="minorEastAsia" w:hAnsiTheme="minorHAnsi" w:cstheme="minorBidi"/>
              <w:b w:val="0"/>
              <w:noProof/>
              <w:sz w:val="22"/>
              <w:lang w:eastAsia="en-AU"/>
            </w:rPr>
          </w:pPr>
          <w:hyperlink w:anchor="_Toc113536198" w:history="1">
            <w:r w:rsidR="004D4EDD" w:rsidRPr="0072407A">
              <w:rPr>
                <w:rStyle w:val="Hyperlink"/>
                <w:noProof/>
              </w:rPr>
              <w:t>Outcome</w:t>
            </w:r>
            <w:r w:rsidR="004D4EDD">
              <w:rPr>
                <w:noProof/>
                <w:webHidden/>
              </w:rPr>
              <w:tab/>
            </w:r>
            <w:r w:rsidR="004D4EDD">
              <w:rPr>
                <w:noProof/>
                <w:webHidden/>
              </w:rPr>
              <w:fldChar w:fldCharType="begin"/>
            </w:r>
            <w:r w:rsidR="004D4EDD">
              <w:rPr>
                <w:noProof/>
                <w:webHidden/>
              </w:rPr>
              <w:instrText xml:space="preserve"> PAGEREF _Toc113536198 \h </w:instrText>
            </w:r>
            <w:r w:rsidR="004D4EDD">
              <w:rPr>
                <w:noProof/>
                <w:webHidden/>
              </w:rPr>
            </w:r>
            <w:r w:rsidR="004D4EDD">
              <w:rPr>
                <w:noProof/>
                <w:webHidden/>
              </w:rPr>
              <w:fldChar w:fldCharType="separate"/>
            </w:r>
            <w:r>
              <w:rPr>
                <w:noProof/>
                <w:webHidden/>
              </w:rPr>
              <w:t>30</w:t>
            </w:r>
            <w:r w:rsidR="004D4EDD">
              <w:rPr>
                <w:noProof/>
                <w:webHidden/>
              </w:rPr>
              <w:fldChar w:fldCharType="end"/>
            </w:r>
          </w:hyperlink>
        </w:p>
        <w:p w14:paraId="13459BA7" w14:textId="66B4F71E" w:rsidR="004D4EDD" w:rsidRDefault="009C0FB4">
          <w:pPr>
            <w:pStyle w:val="TOC2"/>
            <w:rPr>
              <w:rFonts w:asciiTheme="minorHAnsi" w:eastAsiaTheme="minorEastAsia" w:hAnsiTheme="minorHAnsi" w:cstheme="minorBidi"/>
              <w:b w:val="0"/>
              <w:noProof/>
              <w:sz w:val="22"/>
              <w:lang w:eastAsia="en-AU"/>
            </w:rPr>
          </w:pPr>
          <w:hyperlink w:anchor="_Toc113536199" w:history="1">
            <w:r w:rsidR="004D4EDD" w:rsidRPr="0072407A">
              <w:rPr>
                <w:rStyle w:val="Hyperlink"/>
                <w:noProof/>
              </w:rPr>
              <w:t>Specific conditions of registration applying to these goods</w:t>
            </w:r>
            <w:r w:rsidR="004D4EDD">
              <w:rPr>
                <w:noProof/>
                <w:webHidden/>
              </w:rPr>
              <w:tab/>
            </w:r>
            <w:r w:rsidR="004D4EDD">
              <w:rPr>
                <w:noProof/>
                <w:webHidden/>
              </w:rPr>
              <w:fldChar w:fldCharType="begin"/>
            </w:r>
            <w:r w:rsidR="004D4EDD">
              <w:rPr>
                <w:noProof/>
                <w:webHidden/>
              </w:rPr>
              <w:instrText xml:space="preserve"> PAGEREF _Toc113536199 \h </w:instrText>
            </w:r>
            <w:r w:rsidR="004D4EDD">
              <w:rPr>
                <w:noProof/>
                <w:webHidden/>
              </w:rPr>
            </w:r>
            <w:r w:rsidR="004D4EDD">
              <w:rPr>
                <w:noProof/>
                <w:webHidden/>
              </w:rPr>
              <w:fldChar w:fldCharType="separate"/>
            </w:r>
            <w:r>
              <w:rPr>
                <w:noProof/>
                <w:webHidden/>
              </w:rPr>
              <w:t>30</w:t>
            </w:r>
            <w:r w:rsidR="004D4EDD">
              <w:rPr>
                <w:noProof/>
                <w:webHidden/>
              </w:rPr>
              <w:fldChar w:fldCharType="end"/>
            </w:r>
          </w:hyperlink>
        </w:p>
        <w:p w14:paraId="7071205E" w14:textId="0922B37F" w:rsidR="004D4EDD" w:rsidRDefault="009C0FB4">
          <w:pPr>
            <w:pStyle w:val="TOC1"/>
            <w:rPr>
              <w:rFonts w:asciiTheme="minorHAnsi" w:eastAsiaTheme="minorEastAsia" w:hAnsiTheme="minorHAnsi" w:cstheme="minorBidi"/>
              <w:b w:val="0"/>
              <w:noProof/>
              <w:sz w:val="22"/>
              <w:lang w:eastAsia="en-AU"/>
            </w:rPr>
          </w:pPr>
          <w:hyperlink w:anchor="_Toc113536200" w:history="1">
            <w:r w:rsidR="004D4EDD" w:rsidRPr="0072407A">
              <w:rPr>
                <w:rStyle w:val="Hyperlink"/>
                <w:noProof/>
              </w:rPr>
              <w:t>Attachment 1. Product Information</w:t>
            </w:r>
            <w:r w:rsidR="004D4EDD">
              <w:rPr>
                <w:noProof/>
                <w:webHidden/>
              </w:rPr>
              <w:tab/>
            </w:r>
            <w:r w:rsidR="004D4EDD">
              <w:rPr>
                <w:noProof/>
                <w:webHidden/>
              </w:rPr>
              <w:fldChar w:fldCharType="begin"/>
            </w:r>
            <w:r w:rsidR="004D4EDD">
              <w:rPr>
                <w:noProof/>
                <w:webHidden/>
              </w:rPr>
              <w:instrText xml:space="preserve"> PAGEREF _Toc113536200 \h </w:instrText>
            </w:r>
            <w:r w:rsidR="004D4EDD">
              <w:rPr>
                <w:noProof/>
                <w:webHidden/>
              </w:rPr>
            </w:r>
            <w:r w:rsidR="004D4EDD">
              <w:rPr>
                <w:noProof/>
                <w:webHidden/>
              </w:rPr>
              <w:fldChar w:fldCharType="separate"/>
            </w:r>
            <w:r>
              <w:rPr>
                <w:noProof/>
                <w:webHidden/>
              </w:rPr>
              <w:t>31</w:t>
            </w:r>
            <w:r w:rsidR="004D4EDD">
              <w:rPr>
                <w:noProof/>
                <w:webHidden/>
              </w:rPr>
              <w:fldChar w:fldCharType="end"/>
            </w:r>
          </w:hyperlink>
        </w:p>
        <w:p w14:paraId="446A9B29" w14:textId="3EF3BA06" w:rsidR="003A7F6C" w:rsidRPr="004D4EDD" w:rsidRDefault="00C525A2" w:rsidP="00EB36D6">
          <w:r w:rsidRPr="004D4EDD">
            <w:fldChar w:fldCharType="end"/>
          </w:r>
        </w:p>
      </w:sdtContent>
    </w:sdt>
    <w:bookmarkStart w:id="2" w:name="_Toc314842482" w:displacedByCustomXml="prev"/>
    <w:p w14:paraId="48CF4A49" w14:textId="77777777" w:rsidR="00FD119B" w:rsidRPr="004D4EDD" w:rsidRDefault="00FD119B">
      <w:pPr>
        <w:spacing w:before="0" w:after="200" w:line="0" w:lineRule="auto"/>
      </w:pPr>
      <w:r w:rsidRPr="004D4EDD">
        <w:br w:type="page"/>
      </w:r>
    </w:p>
    <w:p w14:paraId="5361BCEB" w14:textId="77777777" w:rsidR="00AF2313" w:rsidRPr="004D4EDD" w:rsidRDefault="00AF2313" w:rsidP="00AF2313">
      <w:pPr>
        <w:pStyle w:val="Heading2"/>
      </w:pPr>
      <w:bookmarkStart w:id="3" w:name="_Toc98931917"/>
      <w:bookmarkStart w:id="4" w:name="_Toc113536185"/>
      <w:r w:rsidRPr="004D4EDD">
        <w:lastRenderedPageBreak/>
        <w:t>List of abbreviations</w:t>
      </w:r>
      <w:bookmarkEnd w:id="3"/>
      <w:bookmarkEnd w:id="4"/>
    </w:p>
    <w:tbl>
      <w:tblPr>
        <w:tblStyle w:val="TableTGAblue"/>
        <w:tblW w:w="5000" w:type="pct"/>
        <w:tblLook w:val="04A0" w:firstRow="1" w:lastRow="0" w:firstColumn="1" w:lastColumn="0" w:noHBand="0" w:noVBand="1"/>
      </w:tblPr>
      <w:tblGrid>
        <w:gridCol w:w="1719"/>
        <w:gridCol w:w="1196"/>
        <w:gridCol w:w="5569"/>
      </w:tblGrid>
      <w:tr w:rsidR="00AF2313" w:rsidRPr="004D4EDD" w14:paraId="7D9B317C" w14:textId="77777777" w:rsidTr="00AF2313">
        <w:trPr>
          <w:cnfStyle w:val="100000000000" w:firstRow="1" w:lastRow="0" w:firstColumn="0" w:lastColumn="0" w:oddVBand="0" w:evenVBand="0" w:oddHBand="0" w:evenHBand="0" w:firstRowFirstColumn="0" w:firstRowLastColumn="0" w:lastRowFirstColumn="0" w:lastRowLastColumn="0"/>
          <w:cantSplit/>
        </w:trPr>
        <w:tc>
          <w:tcPr>
            <w:tcW w:w="1718" w:type="pct"/>
            <w:gridSpan w:val="2"/>
            <w:hideMark/>
          </w:tcPr>
          <w:p w14:paraId="6207B01E" w14:textId="77777777" w:rsidR="00AF2313" w:rsidRPr="004D4EDD" w:rsidRDefault="00AF2313">
            <w:pPr>
              <w:rPr>
                <w:color w:val="FFFFFF"/>
              </w:rPr>
            </w:pPr>
            <w:r w:rsidRPr="004D4EDD">
              <w:t>Abbreviation</w:t>
            </w:r>
          </w:p>
        </w:tc>
        <w:tc>
          <w:tcPr>
            <w:tcW w:w="3282" w:type="pct"/>
            <w:hideMark/>
          </w:tcPr>
          <w:p w14:paraId="5BFC6AD4" w14:textId="77777777" w:rsidR="00AF2313" w:rsidRPr="004D4EDD" w:rsidRDefault="00AF2313">
            <w:r w:rsidRPr="004D4EDD">
              <w:t>Meaning</w:t>
            </w:r>
          </w:p>
        </w:tc>
      </w:tr>
      <w:tr w:rsidR="00AF2313" w:rsidRPr="004D4EDD" w14:paraId="308E84E5"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hideMark/>
          </w:tcPr>
          <w:p w14:paraId="45C66685" w14:textId="77777777" w:rsidR="00AF2313" w:rsidRPr="004D4EDD" w:rsidRDefault="00AF2313">
            <w:r w:rsidRPr="004D4EDD">
              <w:t>ACM</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6757DB8C" w14:textId="77777777" w:rsidR="00AF2313" w:rsidRPr="004D4EDD" w:rsidRDefault="00AF2313">
            <w:r w:rsidRPr="004D4EDD">
              <w:t>Advisory Committee on Medicines</w:t>
            </w:r>
          </w:p>
        </w:tc>
      </w:tr>
      <w:tr w:rsidR="00AF2313" w:rsidRPr="004D4EDD" w14:paraId="4C70CFEC" w14:textId="77777777" w:rsidTr="00F77DF0">
        <w:trPr>
          <w:cantSplit/>
        </w:trPr>
        <w:tc>
          <w:tcPr>
            <w:tcW w:w="1013" w:type="pct"/>
            <w:tcBorders>
              <w:top w:val="single" w:sz="8" w:space="0" w:color="002C47"/>
              <w:left w:val="single" w:sz="8" w:space="0" w:color="002C47"/>
              <w:bottom w:val="single" w:sz="8" w:space="0" w:color="002C47"/>
              <w:right w:val="single" w:sz="8" w:space="0" w:color="002C47"/>
            </w:tcBorders>
          </w:tcPr>
          <w:p w14:paraId="668D0268" w14:textId="31B7B9C8" w:rsidR="00AF2313" w:rsidRPr="004D4EDD" w:rsidRDefault="00F307AD">
            <w:r w:rsidRPr="004D4EDD">
              <w:t>ALT</w:t>
            </w:r>
          </w:p>
        </w:tc>
        <w:tc>
          <w:tcPr>
            <w:tcW w:w="3987" w:type="pct"/>
            <w:gridSpan w:val="2"/>
            <w:tcBorders>
              <w:top w:val="single" w:sz="8" w:space="0" w:color="002C47"/>
              <w:left w:val="single" w:sz="8" w:space="0" w:color="002C47"/>
              <w:bottom w:val="single" w:sz="8" w:space="0" w:color="002C47"/>
              <w:right w:val="single" w:sz="8" w:space="0" w:color="002C47"/>
            </w:tcBorders>
          </w:tcPr>
          <w:p w14:paraId="4AA238FB" w14:textId="5E930333" w:rsidR="00AF2313" w:rsidRPr="004D4EDD" w:rsidRDefault="000F3BD0">
            <w:r w:rsidRPr="004D4EDD">
              <w:t xml:space="preserve">Alanine </w:t>
            </w:r>
            <w:r w:rsidR="00F307AD" w:rsidRPr="004D4EDD">
              <w:t>aminotransferase</w:t>
            </w:r>
          </w:p>
        </w:tc>
      </w:tr>
      <w:tr w:rsidR="00AF2313" w:rsidRPr="004D4EDD" w14:paraId="07A3B927"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hideMark/>
          </w:tcPr>
          <w:p w14:paraId="1EE5694D" w14:textId="77777777" w:rsidR="00AF2313" w:rsidRPr="004D4EDD" w:rsidRDefault="00AF2313">
            <w:r w:rsidRPr="004D4EDD">
              <w:t>ARTG</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62057D45" w14:textId="77777777" w:rsidR="00AF2313" w:rsidRPr="004D4EDD" w:rsidRDefault="00AF2313">
            <w:r w:rsidRPr="004D4EDD">
              <w:t>Australian Register of Therapeutic Goods</w:t>
            </w:r>
          </w:p>
        </w:tc>
      </w:tr>
      <w:tr w:rsidR="00AF2313" w:rsidRPr="004D4EDD" w14:paraId="662321AF"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hideMark/>
          </w:tcPr>
          <w:p w14:paraId="2F02D507" w14:textId="77777777" w:rsidR="00AF2313" w:rsidRPr="004D4EDD" w:rsidRDefault="00AF2313">
            <w:r w:rsidRPr="004D4EDD">
              <w:t>ASA</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1AB32870" w14:textId="77777777" w:rsidR="00AF2313" w:rsidRPr="004D4EDD" w:rsidRDefault="00AF2313">
            <w:r w:rsidRPr="004D4EDD">
              <w:t>Australia specific annex</w:t>
            </w:r>
          </w:p>
        </w:tc>
      </w:tr>
      <w:tr w:rsidR="00F307AD" w:rsidRPr="004D4EDD" w14:paraId="4F21B417"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7A256F47" w14:textId="4623BB20" w:rsidR="00F307AD" w:rsidRPr="004D4EDD" w:rsidRDefault="00F307AD">
            <w:r w:rsidRPr="004D4EDD">
              <w:t>AST</w:t>
            </w:r>
          </w:p>
        </w:tc>
        <w:tc>
          <w:tcPr>
            <w:tcW w:w="3987" w:type="pct"/>
            <w:gridSpan w:val="2"/>
            <w:tcBorders>
              <w:top w:val="single" w:sz="8" w:space="0" w:color="002C47"/>
              <w:left w:val="single" w:sz="8" w:space="0" w:color="002C47"/>
              <w:bottom w:val="single" w:sz="8" w:space="0" w:color="002C47"/>
              <w:right w:val="single" w:sz="8" w:space="0" w:color="002C47"/>
            </w:tcBorders>
          </w:tcPr>
          <w:p w14:paraId="092AEF0E" w14:textId="03B9EAC4" w:rsidR="00F307AD" w:rsidRPr="004D4EDD" w:rsidRDefault="000F3BD0">
            <w:r w:rsidRPr="004D4EDD">
              <w:t xml:space="preserve">Aspartate </w:t>
            </w:r>
            <w:r w:rsidR="00F307AD" w:rsidRPr="004D4EDD">
              <w:t>aminotransferase</w:t>
            </w:r>
          </w:p>
        </w:tc>
      </w:tr>
      <w:tr w:rsidR="00884201" w:rsidRPr="004D4EDD" w14:paraId="671BD28C"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3D361FF1" w14:textId="195993ED" w:rsidR="00884201" w:rsidRPr="004D4EDD" w:rsidRDefault="00884201">
            <w:r w:rsidRPr="004D4EDD">
              <w:t>AUC</w:t>
            </w:r>
            <w:r w:rsidR="00B035B9" w:rsidRPr="004D4EDD">
              <w:rPr>
                <w:vertAlign w:val="subscript"/>
              </w:rPr>
              <w:t>0-</w:t>
            </w:r>
            <w:r w:rsidRPr="004D4EDD">
              <w:rPr>
                <w:vertAlign w:val="subscript"/>
              </w:rPr>
              <w:t>last</w:t>
            </w:r>
          </w:p>
        </w:tc>
        <w:tc>
          <w:tcPr>
            <w:tcW w:w="3987" w:type="pct"/>
            <w:gridSpan w:val="2"/>
            <w:tcBorders>
              <w:top w:val="single" w:sz="8" w:space="0" w:color="002C47"/>
              <w:left w:val="single" w:sz="8" w:space="0" w:color="002C47"/>
              <w:bottom w:val="single" w:sz="8" w:space="0" w:color="002C47"/>
              <w:right w:val="single" w:sz="8" w:space="0" w:color="002C47"/>
            </w:tcBorders>
          </w:tcPr>
          <w:p w14:paraId="6074422E" w14:textId="21290B3F" w:rsidR="00884201" w:rsidRPr="004D4EDD" w:rsidRDefault="00884201">
            <w:r w:rsidRPr="004D4EDD">
              <w:t xml:space="preserve">Area under concentration time curve from time zero to </w:t>
            </w:r>
            <w:r w:rsidR="00B035B9" w:rsidRPr="004D4EDD">
              <w:t xml:space="preserve">the </w:t>
            </w:r>
            <w:r w:rsidRPr="004D4EDD">
              <w:t>last measurable concentration</w:t>
            </w:r>
          </w:p>
        </w:tc>
      </w:tr>
      <w:tr w:rsidR="00F77DF0" w:rsidRPr="004D4EDD" w14:paraId="7CA555F9"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559AD057" w14:textId="1496BEAB" w:rsidR="00F77DF0" w:rsidRPr="004D4EDD" w:rsidRDefault="00F77DF0">
            <w:r w:rsidRPr="004D4EDD">
              <w:t>CD4</w:t>
            </w:r>
          </w:p>
        </w:tc>
        <w:tc>
          <w:tcPr>
            <w:tcW w:w="3987" w:type="pct"/>
            <w:gridSpan w:val="2"/>
            <w:tcBorders>
              <w:top w:val="single" w:sz="8" w:space="0" w:color="002C47"/>
              <w:left w:val="single" w:sz="8" w:space="0" w:color="002C47"/>
              <w:bottom w:val="single" w:sz="8" w:space="0" w:color="002C47"/>
              <w:right w:val="single" w:sz="8" w:space="0" w:color="002C47"/>
            </w:tcBorders>
          </w:tcPr>
          <w:p w14:paraId="2F376EE0" w14:textId="7A88E364" w:rsidR="00F77DF0" w:rsidRPr="004D4EDD" w:rsidRDefault="000F3BD0">
            <w:r w:rsidRPr="004D4EDD">
              <w:t xml:space="preserve">Cluster </w:t>
            </w:r>
            <w:r w:rsidR="00F77DF0" w:rsidRPr="004D4EDD">
              <w:t>of differentiation 4</w:t>
            </w:r>
          </w:p>
        </w:tc>
      </w:tr>
      <w:tr w:rsidR="00B02F83" w:rsidRPr="004D4EDD" w14:paraId="5A050F9C"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192748F8" w14:textId="454C799C" w:rsidR="00B02F83" w:rsidRPr="004D4EDD" w:rsidRDefault="00F77DF0" w:rsidP="00B02F83">
            <w:r w:rsidRPr="004D4EDD">
              <w:t>CHMP</w:t>
            </w:r>
          </w:p>
        </w:tc>
        <w:tc>
          <w:tcPr>
            <w:tcW w:w="3987" w:type="pct"/>
            <w:gridSpan w:val="2"/>
            <w:tcBorders>
              <w:top w:val="single" w:sz="8" w:space="0" w:color="002C47"/>
              <w:left w:val="single" w:sz="8" w:space="0" w:color="002C47"/>
              <w:bottom w:val="single" w:sz="8" w:space="0" w:color="002C47"/>
              <w:right w:val="single" w:sz="8" w:space="0" w:color="002C47"/>
            </w:tcBorders>
          </w:tcPr>
          <w:p w14:paraId="1326FEAE" w14:textId="4D3E63ED" w:rsidR="00B02F83" w:rsidRPr="004D4EDD" w:rsidRDefault="00F77DF0" w:rsidP="00B02F83">
            <w:r w:rsidRPr="004D4EDD">
              <w:t>Committee for Medicinal Products for Human Use (European</w:t>
            </w:r>
            <w:r w:rsidR="00B035B9" w:rsidRPr="004D4EDD">
              <w:t> </w:t>
            </w:r>
            <w:r w:rsidRPr="004D4EDD">
              <w:t>Union, European Medicines Agency)</w:t>
            </w:r>
          </w:p>
        </w:tc>
      </w:tr>
      <w:tr w:rsidR="000F3BD0" w:rsidRPr="004D4EDD" w14:paraId="2C12D8EC"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150BC3A3" w14:textId="4DA34ACC" w:rsidR="000F3BD0" w:rsidRPr="004D4EDD" w:rsidRDefault="000F3BD0" w:rsidP="00B02F83">
            <w:r w:rsidRPr="004D4EDD">
              <w:t>CI</w:t>
            </w:r>
          </w:p>
        </w:tc>
        <w:tc>
          <w:tcPr>
            <w:tcW w:w="3987" w:type="pct"/>
            <w:gridSpan w:val="2"/>
            <w:tcBorders>
              <w:top w:val="single" w:sz="8" w:space="0" w:color="002C47"/>
              <w:left w:val="single" w:sz="8" w:space="0" w:color="002C47"/>
              <w:bottom w:val="single" w:sz="8" w:space="0" w:color="002C47"/>
              <w:right w:val="single" w:sz="8" w:space="0" w:color="002C47"/>
            </w:tcBorders>
          </w:tcPr>
          <w:p w14:paraId="7F5CF43E" w14:textId="3DD3596F" w:rsidR="000F3BD0" w:rsidRPr="004D4EDD" w:rsidRDefault="000F3BD0" w:rsidP="00B02F83">
            <w:r w:rsidRPr="004D4EDD">
              <w:t>Confidence interval</w:t>
            </w:r>
          </w:p>
        </w:tc>
      </w:tr>
      <w:tr w:rsidR="00F307AD" w:rsidRPr="004D4EDD" w14:paraId="218762F7"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4AF30C5B" w14:textId="05C5BC73" w:rsidR="00F307AD" w:rsidRPr="004D4EDD" w:rsidRDefault="00F307AD" w:rsidP="00B02F83">
            <w:proofErr w:type="spellStart"/>
            <w:r w:rsidRPr="004D4EDD">
              <w:t>C</w:t>
            </w:r>
            <w:r w:rsidRPr="004D4EDD">
              <w:rPr>
                <w:vertAlign w:val="subscript"/>
              </w:rPr>
              <w:t>max</w:t>
            </w:r>
            <w:proofErr w:type="spellEnd"/>
          </w:p>
        </w:tc>
        <w:tc>
          <w:tcPr>
            <w:tcW w:w="3987" w:type="pct"/>
            <w:gridSpan w:val="2"/>
            <w:tcBorders>
              <w:top w:val="single" w:sz="8" w:space="0" w:color="002C47"/>
              <w:left w:val="single" w:sz="8" w:space="0" w:color="002C47"/>
              <w:bottom w:val="single" w:sz="8" w:space="0" w:color="002C47"/>
              <w:right w:val="single" w:sz="8" w:space="0" w:color="002C47"/>
            </w:tcBorders>
          </w:tcPr>
          <w:p w14:paraId="692DEA6E" w14:textId="4CB22E24" w:rsidR="00F307AD" w:rsidRPr="004D4EDD" w:rsidRDefault="000F3BD0" w:rsidP="00B02F83">
            <w:r w:rsidRPr="004D4EDD">
              <w:t xml:space="preserve">Maximum </w:t>
            </w:r>
            <w:r w:rsidR="00F307AD" w:rsidRPr="004D4EDD">
              <w:t>serum concentration</w:t>
            </w:r>
          </w:p>
        </w:tc>
      </w:tr>
      <w:tr w:rsidR="000F3BD0" w:rsidRPr="004D4EDD" w14:paraId="40551A44"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340A3A90" w14:textId="11E829BE" w:rsidR="000F3BD0" w:rsidRPr="004D4EDD" w:rsidRDefault="000F3BD0" w:rsidP="00B02F83">
            <w:r w:rsidRPr="004D4EDD">
              <w:t>CMI</w:t>
            </w:r>
          </w:p>
        </w:tc>
        <w:tc>
          <w:tcPr>
            <w:tcW w:w="3987" w:type="pct"/>
            <w:gridSpan w:val="2"/>
            <w:tcBorders>
              <w:top w:val="single" w:sz="8" w:space="0" w:color="002C47"/>
              <w:left w:val="single" w:sz="8" w:space="0" w:color="002C47"/>
              <w:bottom w:val="single" w:sz="8" w:space="0" w:color="002C47"/>
              <w:right w:val="single" w:sz="8" w:space="0" w:color="002C47"/>
            </w:tcBorders>
          </w:tcPr>
          <w:p w14:paraId="077576A4" w14:textId="78348A5B" w:rsidR="000F3BD0" w:rsidRPr="004D4EDD" w:rsidRDefault="000F3BD0" w:rsidP="00B02F83">
            <w:r w:rsidRPr="004D4EDD">
              <w:t>Consumer Medicines Information</w:t>
            </w:r>
          </w:p>
        </w:tc>
      </w:tr>
      <w:tr w:rsidR="00F77DF0" w:rsidRPr="004D4EDD" w14:paraId="6CE58332"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2FF97AFF" w14:textId="59A1682F" w:rsidR="00F77DF0" w:rsidRPr="004D4EDD" w:rsidRDefault="00F77DF0" w:rsidP="00B02F83">
            <w:r w:rsidRPr="004D4EDD">
              <w:t>CPMP</w:t>
            </w:r>
          </w:p>
        </w:tc>
        <w:tc>
          <w:tcPr>
            <w:tcW w:w="3987" w:type="pct"/>
            <w:gridSpan w:val="2"/>
            <w:tcBorders>
              <w:top w:val="single" w:sz="8" w:space="0" w:color="002C47"/>
              <w:left w:val="single" w:sz="8" w:space="0" w:color="002C47"/>
              <w:bottom w:val="single" w:sz="8" w:space="0" w:color="002C47"/>
              <w:right w:val="single" w:sz="8" w:space="0" w:color="002C47"/>
            </w:tcBorders>
          </w:tcPr>
          <w:p w14:paraId="10F04721" w14:textId="7D09AC80" w:rsidR="00F77DF0" w:rsidRPr="004D4EDD" w:rsidRDefault="00F77DF0" w:rsidP="00B02F83">
            <w:r w:rsidRPr="004D4EDD">
              <w:t>Committee for Proprietary Medicinal Products (European Union, European Medicines Agency)</w:t>
            </w:r>
          </w:p>
        </w:tc>
      </w:tr>
      <w:tr w:rsidR="00B02F83" w:rsidRPr="004D4EDD" w14:paraId="2A2E9063"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hideMark/>
          </w:tcPr>
          <w:p w14:paraId="6CD01DF9" w14:textId="77777777" w:rsidR="00B02F83" w:rsidRPr="004D4EDD" w:rsidRDefault="00B02F83" w:rsidP="00B02F83">
            <w:r w:rsidRPr="004D4EDD">
              <w:t>DLP</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071ACCC7" w14:textId="77777777" w:rsidR="00B02F83" w:rsidRPr="004D4EDD" w:rsidRDefault="00B02F83" w:rsidP="00B02F83">
            <w:r w:rsidRPr="004D4EDD">
              <w:t>Data lock point</w:t>
            </w:r>
          </w:p>
        </w:tc>
      </w:tr>
      <w:tr w:rsidR="00F307AD" w:rsidRPr="004D4EDD" w14:paraId="16AE4CB8"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73708BD6" w14:textId="0A625857" w:rsidR="00F307AD" w:rsidRPr="004D4EDD" w:rsidRDefault="00F307AD" w:rsidP="00B02F83">
            <w:r w:rsidRPr="004D4EDD">
              <w:t>EC</w:t>
            </w:r>
            <w:r w:rsidRPr="004D4EDD">
              <w:rPr>
                <w:vertAlign w:val="subscript"/>
              </w:rPr>
              <w:t>50</w:t>
            </w:r>
          </w:p>
        </w:tc>
        <w:tc>
          <w:tcPr>
            <w:tcW w:w="3987" w:type="pct"/>
            <w:gridSpan w:val="2"/>
            <w:tcBorders>
              <w:top w:val="single" w:sz="8" w:space="0" w:color="002C47"/>
              <w:left w:val="single" w:sz="8" w:space="0" w:color="002C47"/>
              <w:bottom w:val="single" w:sz="8" w:space="0" w:color="002C47"/>
              <w:right w:val="single" w:sz="8" w:space="0" w:color="002C47"/>
            </w:tcBorders>
          </w:tcPr>
          <w:p w14:paraId="3FB17A51" w14:textId="2CAA9FE5" w:rsidR="00F307AD" w:rsidRPr="004D4EDD" w:rsidRDefault="000F3BD0" w:rsidP="00B02F83">
            <w:r w:rsidRPr="004D4EDD">
              <w:t xml:space="preserve">Half </w:t>
            </w:r>
            <w:r w:rsidR="00F307AD" w:rsidRPr="004D4EDD">
              <w:t xml:space="preserve">maximal </w:t>
            </w:r>
            <w:r w:rsidR="00B035B9" w:rsidRPr="004D4EDD">
              <w:t xml:space="preserve">(50%) </w:t>
            </w:r>
            <w:r w:rsidR="00F307AD" w:rsidRPr="004D4EDD">
              <w:t>effective concentration</w:t>
            </w:r>
          </w:p>
        </w:tc>
      </w:tr>
      <w:tr w:rsidR="00F77DF0" w:rsidRPr="004D4EDD" w14:paraId="0E43D4B3"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113E3658" w14:textId="26AAB820" w:rsidR="00F77DF0" w:rsidRPr="004D4EDD" w:rsidRDefault="00F77DF0" w:rsidP="00B02F83">
            <w:r w:rsidRPr="004D4EDD">
              <w:t>EMA</w:t>
            </w:r>
          </w:p>
        </w:tc>
        <w:tc>
          <w:tcPr>
            <w:tcW w:w="3987" w:type="pct"/>
            <w:gridSpan w:val="2"/>
            <w:tcBorders>
              <w:top w:val="single" w:sz="8" w:space="0" w:color="002C47"/>
              <w:left w:val="single" w:sz="8" w:space="0" w:color="002C47"/>
              <w:bottom w:val="single" w:sz="8" w:space="0" w:color="002C47"/>
              <w:right w:val="single" w:sz="8" w:space="0" w:color="002C47"/>
            </w:tcBorders>
          </w:tcPr>
          <w:p w14:paraId="1AB78A5D" w14:textId="3C68F49C" w:rsidR="00F77DF0" w:rsidRPr="004D4EDD" w:rsidRDefault="00F77DF0" w:rsidP="00B02F83">
            <w:r w:rsidRPr="004D4EDD">
              <w:t>European Medicines Agency (European Union)</w:t>
            </w:r>
          </w:p>
        </w:tc>
      </w:tr>
      <w:tr w:rsidR="00F77DF0" w:rsidRPr="004D4EDD" w14:paraId="31593A44"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568BCDFF" w14:textId="0634EC7E" w:rsidR="00F77DF0" w:rsidRPr="004D4EDD" w:rsidRDefault="00F77DF0" w:rsidP="00B02F83">
            <w:r w:rsidRPr="004D4EDD">
              <w:t>EMEA</w:t>
            </w:r>
          </w:p>
        </w:tc>
        <w:tc>
          <w:tcPr>
            <w:tcW w:w="3987" w:type="pct"/>
            <w:gridSpan w:val="2"/>
            <w:tcBorders>
              <w:top w:val="single" w:sz="8" w:space="0" w:color="002C47"/>
              <w:left w:val="single" w:sz="8" w:space="0" w:color="002C47"/>
              <w:bottom w:val="single" w:sz="8" w:space="0" w:color="002C47"/>
              <w:right w:val="single" w:sz="8" w:space="0" w:color="002C47"/>
            </w:tcBorders>
          </w:tcPr>
          <w:p w14:paraId="4C6A9EC1" w14:textId="1C185B59" w:rsidR="00F77DF0" w:rsidRPr="004D4EDD" w:rsidRDefault="00F77DF0" w:rsidP="00B02F83">
            <w:r w:rsidRPr="004D4EDD">
              <w:t>European Medicines Evaluation Agency (European Union)</w:t>
            </w:r>
          </w:p>
        </w:tc>
      </w:tr>
      <w:tr w:rsidR="00F77DF0" w:rsidRPr="004D4EDD" w14:paraId="14653CB5"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1010AC86" w14:textId="76B66510" w:rsidR="00F77DF0" w:rsidRPr="004D4EDD" w:rsidRDefault="00F77DF0" w:rsidP="00B02F83">
            <w:r w:rsidRPr="004D4EDD">
              <w:t>EU</w:t>
            </w:r>
          </w:p>
        </w:tc>
        <w:tc>
          <w:tcPr>
            <w:tcW w:w="3987" w:type="pct"/>
            <w:gridSpan w:val="2"/>
            <w:tcBorders>
              <w:top w:val="single" w:sz="8" w:space="0" w:color="002C47"/>
              <w:left w:val="single" w:sz="8" w:space="0" w:color="002C47"/>
              <w:bottom w:val="single" w:sz="8" w:space="0" w:color="002C47"/>
              <w:right w:val="single" w:sz="8" w:space="0" w:color="002C47"/>
            </w:tcBorders>
          </w:tcPr>
          <w:p w14:paraId="6AB74880" w14:textId="0A358477" w:rsidR="00F77DF0" w:rsidRPr="004D4EDD" w:rsidRDefault="00F77DF0" w:rsidP="00B02F83">
            <w:r w:rsidRPr="004D4EDD">
              <w:t>European Union</w:t>
            </w:r>
          </w:p>
        </w:tc>
      </w:tr>
      <w:tr w:rsidR="000F3BD0" w:rsidRPr="004D4EDD" w14:paraId="5AC8CC32"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41254153" w14:textId="0C45796B" w:rsidR="000F3BD0" w:rsidRPr="004D4EDD" w:rsidRDefault="000F3BD0" w:rsidP="00B02F83">
            <w:r w:rsidRPr="004D4EDD">
              <w:t>FDA</w:t>
            </w:r>
          </w:p>
        </w:tc>
        <w:tc>
          <w:tcPr>
            <w:tcW w:w="3987" w:type="pct"/>
            <w:gridSpan w:val="2"/>
            <w:tcBorders>
              <w:top w:val="single" w:sz="8" w:space="0" w:color="002C47"/>
              <w:left w:val="single" w:sz="8" w:space="0" w:color="002C47"/>
              <w:bottom w:val="single" w:sz="8" w:space="0" w:color="002C47"/>
              <w:right w:val="single" w:sz="8" w:space="0" w:color="002C47"/>
            </w:tcBorders>
          </w:tcPr>
          <w:p w14:paraId="4D47E92A" w14:textId="321F2FCF" w:rsidR="000F3BD0" w:rsidRPr="004D4EDD" w:rsidRDefault="000F3BD0" w:rsidP="00B02F83">
            <w:r w:rsidRPr="004D4EDD">
              <w:t>Food and Drug Administration (United States of America)</w:t>
            </w:r>
          </w:p>
        </w:tc>
      </w:tr>
      <w:tr w:rsidR="00F307AD" w:rsidRPr="004D4EDD" w14:paraId="6CB55DB4"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48BDCAE5" w14:textId="5696E08D" w:rsidR="00F307AD" w:rsidRPr="004D4EDD" w:rsidRDefault="00F307AD" w:rsidP="00B02F83">
            <w:r w:rsidRPr="004D4EDD">
              <w:t>GGT</w:t>
            </w:r>
          </w:p>
        </w:tc>
        <w:tc>
          <w:tcPr>
            <w:tcW w:w="3987" w:type="pct"/>
            <w:gridSpan w:val="2"/>
            <w:tcBorders>
              <w:top w:val="single" w:sz="8" w:space="0" w:color="002C47"/>
              <w:left w:val="single" w:sz="8" w:space="0" w:color="002C47"/>
              <w:bottom w:val="single" w:sz="8" w:space="0" w:color="002C47"/>
              <w:right w:val="single" w:sz="8" w:space="0" w:color="002C47"/>
            </w:tcBorders>
          </w:tcPr>
          <w:p w14:paraId="341D8CF5" w14:textId="003D7C43" w:rsidR="00F307AD" w:rsidRPr="004D4EDD" w:rsidRDefault="00B035B9" w:rsidP="00B02F83">
            <w:r w:rsidRPr="004D4EDD">
              <w:t>Gamma</w:t>
            </w:r>
            <w:r w:rsidR="00F307AD" w:rsidRPr="004D4EDD">
              <w:t>-</w:t>
            </w:r>
            <w:proofErr w:type="spellStart"/>
            <w:r w:rsidR="00F307AD" w:rsidRPr="004D4EDD">
              <w:t>glutamyltransferase</w:t>
            </w:r>
            <w:proofErr w:type="spellEnd"/>
          </w:p>
        </w:tc>
      </w:tr>
      <w:tr w:rsidR="000F3BD0" w:rsidRPr="004D4EDD" w14:paraId="74AF92E5"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3A3D5240" w14:textId="0D27306C" w:rsidR="000F3BD0" w:rsidRPr="004D4EDD" w:rsidRDefault="000F3BD0" w:rsidP="00B02F83">
            <w:r w:rsidRPr="004D4EDD">
              <w:t>GVP</w:t>
            </w:r>
          </w:p>
        </w:tc>
        <w:tc>
          <w:tcPr>
            <w:tcW w:w="3987" w:type="pct"/>
            <w:gridSpan w:val="2"/>
            <w:tcBorders>
              <w:top w:val="single" w:sz="8" w:space="0" w:color="002C47"/>
              <w:left w:val="single" w:sz="8" w:space="0" w:color="002C47"/>
              <w:bottom w:val="single" w:sz="8" w:space="0" w:color="002C47"/>
              <w:right w:val="single" w:sz="8" w:space="0" w:color="002C47"/>
            </w:tcBorders>
          </w:tcPr>
          <w:p w14:paraId="5D893B2A" w14:textId="3F18B42F" w:rsidR="000F3BD0" w:rsidRPr="004D4EDD" w:rsidRDefault="000F3BD0" w:rsidP="00B02F83">
            <w:r w:rsidRPr="004D4EDD">
              <w:t>Good Pharmacovigilance Practices</w:t>
            </w:r>
          </w:p>
        </w:tc>
      </w:tr>
      <w:tr w:rsidR="00F307AD" w:rsidRPr="004D4EDD" w14:paraId="50A474A6"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1BB44498" w14:textId="1589DBF2" w:rsidR="00F307AD" w:rsidRPr="004D4EDD" w:rsidRDefault="00F307AD" w:rsidP="00B02F83">
            <w:r w:rsidRPr="004D4EDD">
              <w:t>IL</w:t>
            </w:r>
          </w:p>
        </w:tc>
        <w:tc>
          <w:tcPr>
            <w:tcW w:w="3987" w:type="pct"/>
            <w:gridSpan w:val="2"/>
            <w:tcBorders>
              <w:top w:val="single" w:sz="8" w:space="0" w:color="002C47"/>
              <w:left w:val="single" w:sz="8" w:space="0" w:color="002C47"/>
              <w:bottom w:val="single" w:sz="8" w:space="0" w:color="002C47"/>
              <w:right w:val="single" w:sz="8" w:space="0" w:color="002C47"/>
            </w:tcBorders>
          </w:tcPr>
          <w:p w14:paraId="6DB8410D" w14:textId="6EE27314" w:rsidR="00F307AD" w:rsidRPr="004D4EDD" w:rsidRDefault="000F3BD0" w:rsidP="00B02F83">
            <w:r w:rsidRPr="004D4EDD">
              <w:t>Interleukin</w:t>
            </w:r>
          </w:p>
        </w:tc>
      </w:tr>
      <w:tr w:rsidR="00F307AD" w:rsidRPr="004D4EDD" w14:paraId="7A0E39A0"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412BD98E" w14:textId="68C9EA95" w:rsidR="00F307AD" w:rsidRPr="004D4EDD" w:rsidRDefault="00F307AD" w:rsidP="00B02F83">
            <w:r w:rsidRPr="004D4EDD">
              <w:t>ITT</w:t>
            </w:r>
          </w:p>
        </w:tc>
        <w:tc>
          <w:tcPr>
            <w:tcW w:w="3987" w:type="pct"/>
            <w:gridSpan w:val="2"/>
            <w:tcBorders>
              <w:top w:val="single" w:sz="8" w:space="0" w:color="002C47"/>
              <w:left w:val="single" w:sz="8" w:space="0" w:color="002C47"/>
              <w:bottom w:val="single" w:sz="8" w:space="0" w:color="002C47"/>
              <w:right w:val="single" w:sz="8" w:space="0" w:color="002C47"/>
            </w:tcBorders>
          </w:tcPr>
          <w:p w14:paraId="4A45FD2B" w14:textId="517A6132" w:rsidR="00F307AD" w:rsidRPr="004D4EDD" w:rsidRDefault="000F3BD0" w:rsidP="00B02F83">
            <w:r w:rsidRPr="004D4EDD">
              <w:t>Intention</w:t>
            </w:r>
            <w:r w:rsidR="00F307AD" w:rsidRPr="004D4EDD">
              <w:t>-to-treat</w:t>
            </w:r>
          </w:p>
        </w:tc>
      </w:tr>
      <w:tr w:rsidR="000F3BD0" w:rsidRPr="004D4EDD" w14:paraId="1A200EE1"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15A350CA" w14:textId="4AEC16F5" w:rsidR="000F3BD0" w:rsidRPr="004D4EDD" w:rsidRDefault="000F3BD0" w:rsidP="00B02F83">
            <w:r w:rsidRPr="004D4EDD">
              <w:t>OR</w:t>
            </w:r>
          </w:p>
        </w:tc>
        <w:tc>
          <w:tcPr>
            <w:tcW w:w="3987" w:type="pct"/>
            <w:gridSpan w:val="2"/>
            <w:tcBorders>
              <w:top w:val="single" w:sz="8" w:space="0" w:color="002C47"/>
              <w:left w:val="single" w:sz="8" w:space="0" w:color="002C47"/>
              <w:bottom w:val="single" w:sz="8" w:space="0" w:color="002C47"/>
              <w:right w:val="single" w:sz="8" w:space="0" w:color="002C47"/>
            </w:tcBorders>
          </w:tcPr>
          <w:p w14:paraId="355F0A6F" w14:textId="2BE5CE7D" w:rsidR="000F3BD0" w:rsidRPr="004D4EDD" w:rsidRDefault="000F3BD0" w:rsidP="00B02F83">
            <w:r w:rsidRPr="004D4EDD">
              <w:t>Odds ratio</w:t>
            </w:r>
          </w:p>
        </w:tc>
      </w:tr>
      <w:tr w:rsidR="00F77DF0" w:rsidRPr="004D4EDD" w14:paraId="5E1A24F0"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6AED5CFD" w14:textId="17A932B0" w:rsidR="00F77DF0" w:rsidRPr="004D4EDD" w:rsidRDefault="00F77DF0" w:rsidP="00B02F83">
            <w:r w:rsidRPr="004D4EDD">
              <w:lastRenderedPageBreak/>
              <w:t>PI</w:t>
            </w:r>
          </w:p>
        </w:tc>
        <w:tc>
          <w:tcPr>
            <w:tcW w:w="3987" w:type="pct"/>
            <w:gridSpan w:val="2"/>
            <w:tcBorders>
              <w:top w:val="single" w:sz="8" w:space="0" w:color="002C47"/>
              <w:left w:val="single" w:sz="8" w:space="0" w:color="002C47"/>
              <w:bottom w:val="single" w:sz="8" w:space="0" w:color="002C47"/>
              <w:right w:val="single" w:sz="8" w:space="0" w:color="002C47"/>
            </w:tcBorders>
          </w:tcPr>
          <w:p w14:paraId="2F15458E" w14:textId="38709879" w:rsidR="00F77DF0" w:rsidRPr="004D4EDD" w:rsidRDefault="00F77DF0" w:rsidP="00B02F83">
            <w:r w:rsidRPr="004D4EDD">
              <w:t>Product Information</w:t>
            </w:r>
          </w:p>
        </w:tc>
      </w:tr>
      <w:tr w:rsidR="000F3BD0" w:rsidRPr="004D4EDD" w14:paraId="38E8113B"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135093E2" w14:textId="4A515821" w:rsidR="000F3BD0" w:rsidRPr="004D4EDD" w:rsidRDefault="000F3BD0" w:rsidP="00B02F83">
            <w:r w:rsidRPr="004D4EDD">
              <w:t>PSUR</w:t>
            </w:r>
          </w:p>
        </w:tc>
        <w:tc>
          <w:tcPr>
            <w:tcW w:w="3987" w:type="pct"/>
            <w:gridSpan w:val="2"/>
            <w:tcBorders>
              <w:top w:val="single" w:sz="8" w:space="0" w:color="002C47"/>
              <w:left w:val="single" w:sz="8" w:space="0" w:color="002C47"/>
              <w:bottom w:val="single" w:sz="8" w:space="0" w:color="002C47"/>
              <w:right w:val="single" w:sz="8" w:space="0" w:color="002C47"/>
            </w:tcBorders>
          </w:tcPr>
          <w:p w14:paraId="1545FC2D" w14:textId="7629FF54" w:rsidR="000F3BD0" w:rsidRPr="004D4EDD" w:rsidRDefault="000F3BD0" w:rsidP="00B02F83">
            <w:r w:rsidRPr="004D4EDD">
              <w:t>Periodic safety update report</w:t>
            </w:r>
          </w:p>
        </w:tc>
      </w:tr>
      <w:tr w:rsidR="00B02F83" w:rsidRPr="004D4EDD" w14:paraId="2BAE9D68"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hideMark/>
          </w:tcPr>
          <w:p w14:paraId="5765F23E" w14:textId="77777777" w:rsidR="00B02F83" w:rsidRPr="004D4EDD" w:rsidRDefault="00B02F83" w:rsidP="00B02F83">
            <w:r w:rsidRPr="004D4EDD">
              <w:t>RMP</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7D0B0AEA" w14:textId="77777777" w:rsidR="00B02F83" w:rsidRPr="004D4EDD" w:rsidRDefault="00B02F83" w:rsidP="00B02F83">
            <w:r w:rsidRPr="004D4EDD">
              <w:t>Risk management plan</w:t>
            </w:r>
          </w:p>
        </w:tc>
      </w:tr>
      <w:tr w:rsidR="00F307AD" w:rsidRPr="004D4EDD" w14:paraId="68579954"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5FB1ECF4" w14:textId="38E08449" w:rsidR="00F307AD" w:rsidRPr="004D4EDD" w:rsidRDefault="00F307AD" w:rsidP="00B02F83">
            <w:r w:rsidRPr="004D4EDD">
              <w:t>SOC</w:t>
            </w:r>
          </w:p>
        </w:tc>
        <w:tc>
          <w:tcPr>
            <w:tcW w:w="3987" w:type="pct"/>
            <w:gridSpan w:val="2"/>
            <w:tcBorders>
              <w:top w:val="single" w:sz="8" w:space="0" w:color="002C47"/>
              <w:left w:val="single" w:sz="8" w:space="0" w:color="002C47"/>
              <w:bottom w:val="single" w:sz="8" w:space="0" w:color="002C47"/>
              <w:right w:val="single" w:sz="8" w:space="0" w:color="002C47"/>
            </w:tcBorders>
          </w:tcPr>
          <w:p w14:paraId="47DC4533" w14:textId="1F183752" w:rsidR="00F307AD" w:rsidRPr="004D4EDD" w:rsidRDefault="00F307AD" w:rsidP="00B02F83">
            <w:r w:rsidRPr="004D4EDD">
              <w:t>System Organ Class</w:t>
            </w:r>
          </w:p>
        </w:tc>
      </w:tr>
      <w:tr w:rsidR="00F77DF0" w:rsidRPr="004D4EDD" w14:paraId="631F691F"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56982948" w14:textId="6BB2C271" w:rsidR="00F77DF0" w:rsidRPr="004D4EDD" w:rsidRDefault="00F77DF0" w:rsidP="00B02F83">
            <w:r w:rsidRPr="004D4EDD">
              <w:t>S1P</w:t>
            </w:r>
          </w:p>
        </w:tc>
        <w:tc>
          <w:tcPr>
            <w:tcW w:w="3987" w:type="pct"/>
            <w:gridSpan w:val="2"/>
            <w:tcBorders>
              <w:top w:val="single" w:sz="8" w:space="0" w:color="002C47"/>
              <w:left w:val="single" w:sz="8" w:space="0" w:color="002C47"/>
              <w:bottom w:val="single" w:sz="8" w:space="0" w:color="002C47"/>
              <w:right w:val="single" w:sz="8" w:space="0" w:color="002C47"/>
            </w:tcBorders>
          </w:tcPr>
          <w:p w14:paraId="26749FB3" w14:textId="234535EA" w:rsidR="00F77DF0" w:rsidRPr="004D4EDD" w:rsidRDefault="00F77DF0" w:rsidP="00B02F83">
            <w:r w:rsidRPr="004D4EDD">
              <w:t>Sphingosine 1-phosphate receptor</w:t>
            </w:r>
          </w:p>
        </w:tc>
      </w:tr>
      <w:tr w:rsidR="00F77DF0" w:rsidRPr="004D4EDD" w14:paraId="6F275826"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1B84B12C" w14:textId="5ABDB33B" w:rsidR="00F77DF0" w:rsidRPr="004D4EDD" w:rsidRDefault="00F77DF0" w:rsidP="00B02F83">
            <w:r w:rsidRPr="004D4EDD">
              <w:t>S1P1/5</w:t>
            </w:r>
          </w:p>
        </w:tc>
        <w:tc>
          <w:tcPr>
            <w:tcW w:w="3987" w:type="pct"/>
            <w:gridSpan w:val="2"/>
            <w:tcBorders>
              <w:top w:val="single" w:sz="8" w:space="0" w:color="002C47"/>
              <w:left w:val="single" w:sz="8" w:space="0" w:color="002C47"/>
              <w:bottom w:val="single" w:sz="8" w:space="0" w:color="002C47"/>
              <w:right w:val="single" w:sz="8" w:space="0" w:color="002C47"/>
            </w:tcBorders>
          </w:tcPr>
          <w:p w14:paraId="4C8D98AF" w14:textId="20BF872C" w:rsidR="00F77DF0" w:rsidRPr="004D4EDD" w:rsidRDefault="003827FC" w:rsidP="00B02F83">
            <w:r w:rsidRPr="004D4EDD">
              <w:t xml:space="preserve">Sphingosine 1-phosphate receptor </w:t>
            </w:r>
            <w:r w:rsidR="00F77DF0" w:rsidRPr="004D4EDD">
              <w:t>subtype 1/5</w:t>
            </w:r>
          </w:p>
        </w:tc>
      </w:tr>
      <w:tr w:rsidR="00B02F83" w:rsidRPr="004D4EDD" w14:paraId="3936DA29"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633BC404" w14:textId="77220F43" w:rsidR="00B02F83" w:rsidRPr="004D4EDD" w:rsidRDefault="00F307AD" w:rsidP="00B02F83">
            <w:r w:rsidRPr="004D4EDD">
              <w:t>TEAE</w:t>
            </w:r>
          </w:p>
        </w:tc>
        <w:tc>
          <w:tcPr>
            <w:tcW w:w="3987" w:type="pct"/>
            <w:gridSpan w:val="2"/>
            <w:tcBorders>
              <w:top w:val="single" w:sz="8" w:space="0" w:color="002C47"/>
              <w:left w:val="single" w:sz="8" w:space="0" w:color="002C47"/>
              <w:bottom w:val="single" w:sz="8" w:space="0" w:color="002C47"/>
              <w:right w:val="single" w:sz="8" w:space="0" w:color="002C47"/>
            </w:tcBorders>
          </w:tcPr>
          <w:p w14:paraId="06DBCC3C" w14:textId="45AF9F26" w:rsidR="00B02F83" w:rsidRPr="004D4EDD" w:rsidRDefault="000F3BD0" w:rsidP="00B02F83">
            <w:r w:rsidRPr="004D4EDD">
              <w:t>Treatment</w:t>
            </w:r>
            <w:r w:rsidR="00F307AD" w:rsidRPr="004D4EDD">
              <w:t>-emergent adverse event</w:t>
            </w:r>
          </w:p>
        </w:tc>
      </w:tr>
      <w:tr w:rsidR="00B02F83" w:rsidRPr="004D4EDD" w14:paraId="2A5BC0A7"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hideMark/>
          </w:tcPr>
          <w:p w14:paraId="64D975EC" w14:textId="77777777" w:rsidR="00B02F83" w:rsidRPr="004D4EDD" w:rsidRDefault="00B02F83" w:rsidP="00B02F83">
            <w:r w:rsidRPr="004D4EDD">
              <w:t>TGA</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058DC218" w14:textId="77777777" w:rsidR="00B02F83" w:rsidRPr="004D4EDD" w:rsidRDefault="00B02F83" w:rsidP="00B02F83">
            <w:r w:rsidRPr="004D4EDD">
              <w:t>Therapeutic Goods Administration</w:t>
            </w:r>
          </w:p>
        </w:tc>
      </w:tr>
      <w:tr w:rsidR="00F77DF0" w:rsidRPr="004D4EDD" w14:paraId="2AAAF7CA"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745910A8" w14:textId="1E33CCC2" w:rsidR="00F77DF0" w:rsidRPr="004D4EDD" w:rsidRDefault="00F77DF0" w:rsidP="00B02F83">
            <w:r w:rsidRPr="004D4EDD">
              <w:t>T</w:t>
            </w:r>
            <w:r w:rsidRPr="004D4EDD">
              <w:rPr>
                <w:vertAlign w:val="subscript"/>
              </w:rPr>
              <w:t>h</w:t>
            </w:r>
          </w:p>
        </w:tc>
        <w:tc>
          <w:tcPr>
            <w:tcW w:w="3987" w:type="pct"/>
            <w:gridSpan w:val="2"/>
            <w:tcBorders>
              <w:top w:val="single" w:sz="8" w:space="0" w:color="002C47"/>
              <w:left w:val="single" w:sz="8" w:space="0" w:color="002C47"/>
              <w:bottom w:val="single" w:sz="8" w:space="0" w:color="002C47"/>
              <w:right w:val="single" w:sz="8" w:space="0" w:color="002C47"/>
            </w:tcBorders>
          </w:tcPr>
          <w:p w14:paraId="17E0EB2E" w14:textId="2FB18C9A" w:rsidR="00F77DF0" w:rsidRPr="004D4EDD" w:rsidRDefault="00F77DF0" w:rsidP="00B02F83">
            <w:r w:rsidRPr="004D4EDD">
              <w:t>T-helper cell</w:t>
            </w:r>
          </w:p>
        </w:tc>
      </w:tr>
      <w:tr w:rsidR="00F77DF0" w:rsidRPr="004D4EDD" w14:paraId="6CAF4584"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58A35EBD" w14:textId="0A30CF43" w:rsidR="00F77DF0" w:rsidRPr="004D4EDD" w:rsidRDefault="00F77DF0" w:rsidP="00B02F83">
            <w:r w:rsidRPr="004D4EDD">
              <w:t>TNBS</w:t>
            </w:r>
          </w:p>
        </w:tc>
        <w:tc>
          <w:tcPr>
            <w:tcW w:w="3987" w:type="pct"/>
            <w:gridSpan w:val="2"/>
            <w:tcBorders>
              <w:top w:val="single" w:sz="8" w:space="0" w:color="002C47"/>
              <w:left w:val="single" w:sz="8" w:space="0" w:color="002C47"/>
              <w:bottom w:val="single" w:sz="8" w:space="0" w:color="002C47"/>
              <w:right w:val="single" w:sz="8" w:space="0" w:color="002C47"/>
            </w:tcBorders>
          </w:tcPr>
          <w:p w14:paraId="0E765533" w14:textId="1888CBBB" w:rsidR="00F77DF0" w:rsidRPr="004D4EDD" w:rsidRDefault="00F77DF0" w:rsidP="00B02F83">
            <w:proofErr w:type="spellStart"/>
            <w:r w:rsidRPr="004D4EDD">
              <w:t>Trinitrobenzenesulphonic</w:t>
            </w:r>
            <w:proofErr w:type="spellEnd"/>
            <w:r w:rsidRPr="004D4EDD">
              <w:t xml:space="preserve"> acid</w:t>
            </w:r>
          </w:p>
        </w:tc>
      </w:tr>
      <w:tr w:rsidR="00F307AD" w:rsidRPr="004D4EDD" w14:paraId="1976751E"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73A6D926" w14:textId="06263870" w:rsidR="00F307AD" w:rsidRPr="004D4EDD" w:rsidRDefault="00F307AD" w:rsidP="00F307AD">
            <w:r w:rsidRPr="004D4EDD">
              <w:t>TNF</w:t>
            </w:r>
          </w:p>
        </w:tc>
        <w:tc>
          <w:tcPr>
            <w:tcW w:w="3987" w:type="pct"/>
            <w:gridSpan w:val="2"/>
            <w:tcBorders>
              <w:top w:val="single" w:sz="8" w:space="0" w:color="002C47"/>
              <w:left w:val="single" w:sz="8" w:space="0" w:color="002C47"/>
              <w:bottom w:val="single" w:sz="8" w:space="0" w:color="002C47"/>
              <w:right w:val="single" w:sz="8" w:space="0" w:color="002C47"/>
            </w:tcBorders>
          </w:tcPr>
          <w:p w14:paraId="62E58043" w14:textId="3FDA5672" w:rsidR="00F307AD" w:rsidRPr="004D4EDD" w:rsidRDefault="000F3BD0" w:rsidP="00F307AD">
            <w:bookmarkStart w:id="5" w:name="_Hlk110113837"/>
            <w:r w:rsidRPr="004D4EDD">
              <w:t xml:space="preserve">Tumour </w:t>
            </w:r>
            <w:r w:rsidR="00F307AD" w:rsidRPr="004D4EDD">
              <w:t>necrosis factor</w:t>
            </w:r>
            <w:bookmarkEnd w:id="5"/>
          </w:p>
        </w:tc>
      </w:tr>
      <w:tr w:rsidR="00F307AD" w:rsidRPr="004D4EDD" w14:paraId="659B6143"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76606B1A" w14:textId="2A0D4169" w:rsidR="00F307AD" w:rsidRPr="004D4EDD" w:rsidRDefault="00F307AD" w:rsidP="00F307AD">
            <w:r w:rsidRPr="004D4EDD">
              <w:t>UC</w:t>
            </w:r>
          </w:p>
        </w:tc>
        <w:tc>
          <w:tcPr>
            <w:tcW w:w="3987" w:type="pct"/>
            <w:gridSpan w:val="2"/>
            <w:tcBorders>
              <w:top w:val="single" w:sz="8" w:space="0" w:color="002C47"/>
              <w:left w:val="single" w:sz="8" w:space="0" w:color="002C47"/>
              <w:bottom w:val="single" w:sz="8" w:space="0" w:color="002C47"/>
              <w:right w:val="single" w:sz="8" w:space="0" w:color="002C47"/>
            </w:tcBorders>
          </w:tcPr>
          <w:p w14:paraId="6BF9B4D6" w14:textId="63987114" w:rsidR="00F307AD" w:rsidRPr="004D4EDD" w:rsidRDefault="000F3BD0" w:rsidP="00F307AD">
            <w:r w:rsidRPr="004D4EDD">
              <w:t xml:space="preserve">Ulcerative </w:t>
            </w:r>
            <w:r w:rsidR="00F307AD" w:rsidRPr="004D4EDD">
              <w:t>colitis</w:t>
            </w:r>
          </w:p>
        </w:tc>
      </w:tr>
      <w:tr w:rsidR="00F307AD" w:rsidRPr="004D4EDD" w14:paraId="17426951" w14:textId="77777777" w:rsidTr="00B02F83">
        <w:trPr>
          <w:cantSplit/>
        </w:trPr>
        <w:tc>
          <w:tcPr>
            <w:tcW w:w="1013" w:type="pct"/>
            <w:tcBorders>
              <w:top w:val="single" w:sz="8" w:space="0" w:color="002C47"/>
              <w:left w:val="single" w:sz="8" w:space="0" w:color="002C47"/>
              <w:bottom w:val="single" w:sz="8" w:space="0" w:color="002C47"/>
              <w:right w:val="single" w:sz="8" w:space="0" w:color="002C47"/>
            </w:tcBorders>
          </w:tcPr>
          <w:p w14:paraId="5B750724" w14:textId="6B367E9C" w:rsidR="00F307AD" w:rsidRPr="004D4EDD" w:rsidRDefault="00F307AD" w:rsidP="00F307AD">
            <w:r w:rsidRPr="004D4EDD">
              <w:t>US</w:t>
            </w:r>
            <w:r w:rsidR="000F3BD0" w:rsidRPr="004D4EDD">
              <w:t>(</w:t>
            </w:r>
            <w:r w:rsidRPr="004D4EDD">
              <w:t>A</w:t>
            </w:r>
            <w:r w:rsidR="000F3BD0" w:rsidRPr="004D4EDD">
              <w:t>)</w:t>
            </w:r>
          </w:p>
        </w:tc>
        <w:tc>
          <w:tcPr>
            <w:tcW w:w="3987" w:type="pct"/>
            <w:gridSpan w:val="2"/>
            <w:tcBorders>
              <w:top w:val="single" w:sz="8" w:space="0" w:color="002C47"/>
              <w:left w:val="single" w:sz="8" w:space="0" w:color="002C47"/>
              <w:bottom w:val="single" w:sz="8" w:space="0" w:color="002C47"/>
              <w:right w:val="single" w:sz="8" w:space="0" w:color="002C47"/>
            </w:tcBorders>
          </w:tcPr>
          <w:p w14:paraId="339FDF33" w14:textId="44861E63" w:rsidR="00F307AD" w:rsidRPr="004D4EDD" w:rsidRDefault="00F307AD" w:rsidP="00F307AD">
            <w:r w:rsidRPr="004D4EDD">
              <w:t xml:space="preserve">United States </w:t>
            </w:r>
            <w:r w:rsidR="000F3BD0" w:rsidRPr="004D4EDD">
              <w:t>(</w:t>
            </w:r>
            <w:r w:rsidRPr="004D4EDD">
              <w:t>of America</w:t>
            </w:r>
            <w:r w:rsidR="000F3BD0" w:rsidRPr="004D4EDD">
              <w:t>)</w:t>
            </w:r>
          </w:p>
        </w:tc>
      </w:tr>
    </w:tbl>
    <w:p w14:paraId="738DA12A" w14:textId="77777777" w:rsidR="00FD119B" w:rsidRPr="004D4EDD" w:rsidRDefault="00FD119B" w:rsidP="00FD119B">
      <w:pPr>
        <w:spacing w:before="0" w:after="200" w:line="0" w:lineRule="auto"/>
        <w:rPr>
          <w:b/>
          <w:i/>
          <w:sz w:val="24"/>
          <w:szCs w:val="24"/>
        </w:rPr>
      </w:pPr>
      <w:r w:rsidRPr="004D4EDD">
        <w:rPr>
          <w:b/>
          <w:i/>
          <w:sz w:val="24"/>
          <w:szCs w:val="24"/>
        </w:rPr>
        <w:br w:type="page"/>
      </w:r>
    </w:p>
    <w:p w14:paraId="5B264F89" w14:textId="77777777" w:rsidR="008E7846" w:rsidRPr="004D4EDD" w:rsidRDefault="009F2673" w:rsidP="008E7846">
      <w:pPr>
        <w:pStyle w:val="Heading2"/>
      </w:pPr>
      <w:bookmarkStart w:id="6" w:name="_Toc113536186"/>
      <w:r w:rsidRPr="004D4EDD">
        <w:lastRenderedPageBreak/>
        <w:t>Pr</w:t>
      </w:r>
      <w:r w:rsidR="008E7846" w:rsidRPr="004D4EDD">
        <w:t>oduct submission</w:t>
      </w:r>
      <w:bookmarkEnd w:id="6"/>
      <w:bookmarkEnd w:id="0"/>
      <w:bookmarkEnd w:id="2"/>
    </w:p>
    <w:p w14:paraId="35FD2BBD" w14:textId="77777777" w:rsidR="008E7846" w:rsidRPr="004D4EDD" w:rsidRDefault="008E7846" w:rsidP="009E5A87">
      <w:pPr>
        <w:pStyle w:val="Heading3"/>
        <w:rPr>
          <w:lang w:eastAsia="en-AU"/>
        </w:rPr>
      </w:pPr>
      <w:bookmarkStart w:id="7" w:name="_Toc247691502"/>
      <w:bookmarkStart w:id="8" w:name="_Toc314842483"/>
      <w:bookmarkStart w:id="9" w:name="_Toc113536187"/>
      <w:r w:rsidRPr="004D4EDD">
        <w:rPr>
          <w:lang w:eastAsia="en-AU"/>
        </w:rPr>
        <w:t>Submission details</w:t>
      </w:r>
      <w:bookmarkEnd w:id="7"/>
      <w:bookmarkEnd w:id="8"/>
      <w:bookmarkEnd w:id="9"/>
    </w:p>
    <w:tbl>
      <w:tblPr>
        <w:tblW w:w="5000" w:type="pct"/>
        <w:tblLook w:val="01E0" w:firstRow="1" w:lastRow="1" w:firstColumn="1" w:lastColumn="1" w:noHBand="0" w:noVBand="0"/>
      </w:tblPr>
      <w:tblGrid>
        <w:gridCol w:w="2682"/>
        <w:gridCol w:w="5822"/>
      </w:tblGrid>
      <w:tr w:rsidR="009F2673" w:rsidRPr="004D4EDD" w14:paraId="2C5AE251" w14:textId="77777777" w:rsidTr="00B02F83">
        <w:tc>
          <w:tcPr>
            <w:tcW w:w="1577" w:type="pct"/>
          </w:tcPr>
          <w:p w14:paraId="4C83D264" w14:textId="77777777" w:rsidR="009F2673" w:rsidRPr="004D4EDD" w:rsidRDefault="009F2673" w:rsidP="009E5A87">
            <w:pPr>
              <w:rPr>
                <w:i/>
              </w:rPr>
            </w:pPr>
            <w:r w:rsidRPr="004D4EDD">
              <w:rPr>
                <w:i/>
              </w:rPr>
              <w:t>Type of submission:</w:t>
            </w:r>
          </w:p>
        </w:tc>
        <w:tc>
          <w:tcPr>
            <w:tcW w:w="3423" w:type="pct"/>
          </w:tcPr>
          <w:p w14:paraId="782B3345" w14:textId="2530A2DE" w:rsidR="009F2673" w:rsidRPr="004D4EDD" w:rsidRDefault="00B02F83" w:rsidP="009E5A87">
            <w:r w:rsidRPr="004D4EDD">
              <w:t>Extension of indication</w:t>
            </w:r>
            <w:r w:rsidR="00B035B9" w:rsidRPr="004D4EDD">
              <w:t>s</w:t>
            </w:r>
          </w:p>
        </w:tc>
      </w:tr>
      <w:tr w:rsidR="009F2673" w:rsidRPr="004D4EDD" w14:paraId="40D7CFCA" w14:textId="77777777" w:rsidTr="00B02F83">
        <w:tc>
          <w:tcPr>
            <w:tcW w:w="1577" w:type="pct"/>
          </w:tcPr>
          <w:p w14:paraId="35A907D5" w14:textId="2FB551F8" w:rsidR="009F2673" w:rsidRPr="004D4EDD" w:rsidRDefault="009F2673" w:rsidP="009E5A87">
            <w:pPr>
              <w:rPr>
                <w:i/>
              </w:rPr>
            </w:pPr>
            <w:r w:rsidRPr="004D4EDD">
              <w:rPr>
                <w:i/>
              </w:rPr>
              <w:t>Product name:</w:t>
            </w:r>
          </w:p>
        </w:tc>
        <w:tc>
          <w:tcPr>
            <w:tcW w:w="3423" w:type="pct"/>
          </w:tcPr>
          <w:p w14:paraId="309E3804" w14:textId="0FF4EAD4" w:rsidR="009F2673" w:rsidRPr="004D4EDD" w:rsidRDefault="00B02F83" w:rsidP="009E5A87">
            <w:r w:rsidRPr="004D4EDD">
              <w:t>Zeposia</w:t>
            </w:r>
          </w:p>
        </w:tc>
      </w:tr>
      <w:tr w:rsidR="009F2673" w:rsidRPr="004D4EDD" w14:paraId="09EA983C" w14:textId="77777777" w:rsidTr="00B02F83">
        <w:tc>
          <w:tcPr>
            <w:tcW w:w="1577" w:type="pct"/>
          </w:tcPr>
          <w:p w14:paraId="324B4629" w14:textId="3784BCFB" w:rsidR="009F2673" w:rsidRPr="004D4EDD" w:rsidRDefault="009F2673" w:rsidP="009E5A87">
            <w:pPr>
              <w:rPr>
                <w:i/>
              </w:rPr>
            </w:pPr>
            <w:r w:rsidRPr="004D4EDD">
              <w:rPr>
                <w:i/>
              </w:rPr>
              <w:t>Active ingredient:</w:t>
            </w:r>
          </w:p>
        </w:tc>
        <w:tc>
          <w:tcPr>
            <w:tcW w:w="3423" w:type="pct"/>
          </w:tcPr>
          <w:p w14:paraId="0CCF5B34" w14:textId="2BA469DA" w:rsidR="009F2673" w:rsidRPr="004D4EDD" w:rsidRDefault="00B02F83" w:rsidP="009E5A87">
            <w:r w:rsidRPr="004D4EDD">
              <w:t>Ozanimod</w:t>
            </w:r>
          </w:p>
        </w:tc>
      </w:tr>
      <w:tr w:rsidR="009F2673" w:rsidRPr="004D4EDD" w14:paraId="10E6DBD7" w14:textId="77777777" w:rsidTr="00B02F83">
        <w:tc>
          <w:tcPr>
            <w:tcW w:w="1577" w:type="pct"/>
          </w:tcPr>
          <w:p w14:paraId="07DEEE12" w14:textId="77777777" w:rsidR="009F2673" w:rsidRPr="004D4EDD" w:rsidRDefault="009F2673" w:rsidP="009E5A87">
            <w:pPr>
              <w:rPr>
                <w:i/>
              </w:rPr>
            </w:pPr>
            <w:r w:rsidRPr="004D4EDD">
              <w:rPr>
                <w:i/>
              </w:rPr>
              <w:t>Decision:</w:t>
            </w:r>
          </w:p>
        </w:tc>
        <w:tc>
          <w:tcPr>
            <w:tcW w:w="3423" w:type="pct"/>
          </w:tcPr>
          <w:p w14:paraId="0E5FEBD4" w14:textId="7EE9CF7F" w:rsidR="009F2673" w:rsidRPr="004D4EDD" w:rsidRDefault="009F2673" w:rsidP="009E5A87">
            <w:r w:rsidRPr="004D4EDD">
              <w:t>Approved</w:t>
            </w:r>
          </w:p>
        </w:tc>
      </w:tr>
      <w:tr w:rsidR="009F2673" w:rsidRPr="004D4EDD" w14:paraId="472E0CD2" w14:textId="77777777" w:rsidTr="00B02F83">
        <w:tc>
          <w:tcPr>
            <w:tcW w:w="1577" w:type="pct"/>
          </w:tcPr>
          <w:p w14:paraId="038C86F3" w14:textId="77777777" w:rsidR="009F2673" w:rsidRPr="004D4EDD" w:rsidRDefault="009F2673" w:rsidP="009E5A87">
            <w:pPr>
              <w:rPr>
                <w:i/>
              </w:rPr>
            </w:pPr>
            <w:r w:rsidRPr="004D4EDD">
              <w:rPr>
                <w:i/>
              </w:rPr>
              <w:t>Date of decision:</w:t>
            </w:r>
          </w:p>
        </w:tc>
        <w:tc>
          <w:tcPr>
            <w:tcW w:w="3423" w:type="pct"/>
          </w:tcPr>
          <w:p w14:paraId="4121C276" w14:textId="1FD00621" w:rsidR="009F2673" w:rsidRPr="004D4EDD" w:rsidRDefault="00E22ECF" w:rsidP="009E5A87">
            <w:r w:rsidRPr="004D4EDD">
              <w:t>16 March 2022</w:t>
            </w:r>
          </w:p>
        </w:tc>
      </w:tr>
      <w:tr w:rsidR="009F2673" w:rsidRPr="004D4EDD" w14:paraId="209DFC83" w14:textId="77777777" w:rsidTr="00B02F83">
        <w:tc>
          <w:tcPr>
            <w:tcW w:w="1577" w:type="pct"/>
          </w:tcPr>
          <w:p w14:paraId="4CAEB9F7" w14:textId="77777777" w:rsidR="009F2673" w:rsidRPr="004D4EDD" w:rsidRDefault="009F2673" w:rsidP="009E5A87">
            <w:pPr>
              <w:rPr>
                <w:i/>
              </w:rPr>
            </w:pPr>
            <w:r w:rsidRPr="004D4EDD">
              <w:rPr>
                <w:i/>
              </w:rPr>
              <w:t>Date of entry onto ARTG:</w:t>
            </w:r>
          </w:p>
        </w:tc>
        <w:tc>
          <w:tcPr>
            <w:tcW w:w="3423" w:type="pct"/>
          </w:tcPr>
          <w:p w14:paraId="6621253A" w14:textId="122FE24A" w:rsidR="009F2673" w:rsidRPr="004D4EDD" w:rsidRDefault="00C80FB5" w:rsidP="009E5A87">
            <w:r w:rsidRPr="004D4EDD">
              <w:t>18 March 2022</w:t>
            </w:r>
          </w:p>
        </w:tc>
      </w:tr>
      <w:tr w:rsidR="009F2673" w:rsidRPr="004D4EDD" w14:paraId="0D7EB0C7" w14:textId="77777777" w:rsidTr="00B02F83">
        <w:tc>
          <w:tcPr>
            <w:tcW w:w="1577" w:type="pct"/>
          </w:tcPr>
          <w:p w14:paraId="67ECEA48" w14:textId="1A8B6E17" w:rsidR="009F2673" w:rsidRPr="004D4EDD" w:rsidRDefault="009F2673" w:rsidP="009E5A87">
            <w:pPr>
              <w:rPr>
                <w:i/>
              </w:rPr>
            </w:pPr>
            <w:r w:rsidRPr="004D4EDD">
              <w:rPr>
                <w:i/>
              </w:rPr>
              <w:t>ARTG numbers:</w:t>
            </w:r>
          </w:p>
        </w:tc>
        <w:tc>
          <w:tcPr>
            <w:tcW w:w="3423" w:type="pct"/>
          </w:tcPr>
          <w:p w14:paraId="06E4AAF2" w14:textId="5C823CA5" w:rsidR="009F2673" w:rsidRPr="004D4EDD" w:rsidRDefault="00E22ECF" w:rsidP="009E5A87">
            <w:r w:rsidRPr="004D4EDD">
              <w:t>318800 and 318801</w:t>
            </w:r>
          </w:p>
        </w:tc>
      </w:tr>
      <w:tr w:rsidR="009F2673" w:rsidRPr="004D4EDD" w14:paraId="2A761140" w14:textId="77777777" w:rsidTr="00B02F83">
        <w:tc>
          <w:tcPr>
            <w:tcW w:w="1577" w:type="pct"/>
          </w:tcPr>
          <w:p w14:paraId="505071DF" w14:textId="42CDCEC4" w:rsidR="009F2673" w:rsidRPr="004D4EDD" w:rsidRDefault="001B1DA4" w:rsidP="009E5A87">
            <w:pPr>
              <w:rPr>
                <w:i/>
              </w:rPr>
            </w:pPr>
            <w:r w:rsidRPr="004D4EDD">
              <w:rPr>
                <w:rFonts w:ascii="Wingdings 3" w:hAnsi="Wingdings 3"/>
                <w:sz w:val="34"/>
                <w:szCs w:val="34"/>
                <w:lang w:eastAsia="en-AU"/>
              </w:rPr>
              <w:t></w:t>
            </w:r>
            <w:hyperlink r:id="rId14" w:history="1">
              <w:r w:rsidR="009F2673" w:rsidRPr="004D4EDD">
                <w:rPr>
                  <w:rStyle w:val="Hyperlink"/>
                  <w:i/>
                </w:rPr>
                <w:t>Black Triangle Scheme</w:t>
              </w:r>
            </w:hyperlink>
            <w:r w:rsidR="009F2673" w:rsidRPr="004D4EDD">
              <w:rPr>
                <w:i/>
              </w:rPr>
              <w:t>:</w:t>
            </w:r>
          </w:p>
        </w:tc>
        <w:tc>
          <w:tcPr>
            <w:tcW w:w="3423" w:type="pct"/>
          </w:tcPr>
          <w:p w14:paraId="392D5EF7" w14:textId="426A163F" w:rsidR="009F2673" w:rsidRPr="004D4EDD" w:rsidRDefault="009F2673" w:rsidP="009E5A87">
            <w:r w:rsidRPr="004D4EDD">
              <w:t>Yes</w:t>
            </w:r>
            <w:r w:rsidR="00E22ECF" w:rsidRPr="004D4EDD">
              <w:t>.</w:t>
            </w:r>
          </w:p>
          <w:p w14:paraId="4BDAF857" w14:textId="45BD7D20" w:rsidR="009F2673" w:rsidRPr="004D4EDD" w:rsidRDefault="009F2673" w:rsidP="009E5A87">
            <w:r w:rsidRPr="004D4EDD">
              <w:t>This product will remain in the scheme for 5 years, starting on the date the new indication was approved</w:t>
            </w:r>
            <w:r w:rsidR="00E22ECF" w:rsidRPr="004D4EDD">
              <w:t>.</w:t>
            </w:r>
          </w:p>
        </w:tc>
      </w:tr>
      <w:tr w:rsidR="009F2673" w:rsidRPr="004D4EDD" w14:paraId="2DA15FD5" w14:textId="77777777" w:rsidTr="00B02F83">
        <w:tc>
          <w:tcPr>
            <w:tcW w:w="1577" w:type="pct"/>
          </w:tcPr>
          <w:p w14:paraId="0E809075" w14:textId="77777777" w:rsidR="009F2673" w:rsidRPr="004D4EDD" w:rsidRDefault="009F2673" w:rsidP="009E5A87">
            <w:pPr>
              <w:rPr>
                <w:i/>
              </w:rPr>
            </w:pPr>
            <w:r w:rsidRPr="004D4EDD">
              <w:rPr>
                <w:i/>
              </w:rPr>
              <w:t>Sponsor’s name and address:</w:t>
            </w:r>
          </w:p>
        </w:tc>
        <w:tc>
          <w:tcPr>
            <w:tcW w:w="3423" w:type="pct"/>
          </w:tcPr>
          <w:p w14:paraId="07F8FADD" w14:textId="77777777" w:rsidR="009F2673" w:rsidRPr="004D4EDD" w:rsidRDefault="00B02F83" w:rsidP="009E5A87">
            <w:r w:rsidRPr="004D4EDD">
              <w:t>Celgene Pty Limited</w:t>
            </w:r>
          </w:p>
          <w:p w14:paraId="5970834C" w14:textId="77777777" w:rsidR="00B02F83" w:rsidRPr="004D4EDD" w:rsidRDefault="00B02F83" w:rsidP="00B02F83">
            <w:r w:rsidRPr="004D4EDD">
              <w:t>Level 2, 4 Nexus Court</w:t>
            </w:r>
          </w:p>
          <w:p w14:paraId="75328190" w14:textId="4C69E36F" w:rsidR="00B02F83" w:rsidRPr="004D4EDD" w:rsidRDefault="00B02F83" w:rsidP="00B02F83">
            <w:r w:rsidRPr="004D4EDD">
              <w:t>Mulgrave, VIC 3170</w:t>
            </w:r>
          </w:p>
        </w:tc>
      </w:tr>
      <w:tr w:rsidR="009F2673" w:rsidRPr="004D4EDD" w14:paraId="7EBC0D36" w14:textId="77777777" w:rsidTr="00B02F83">
        <w:tc>
          <w:tcPr>
            <w:tcW w:w="1577" w:type="pct"/>
          </w:tcPr>
          <w:p w14:paraId="22E64539" w14:textId="1322209C" w:rsidR="009F2673" w:rsidRPr="004D4EDD" w:rsidRDefault="009F2673" w:rsidP="009E5A87">
            <w:pPr>
              <w:rPr>
                <w:i/>
              </w:rPr>
            </w:pPr>
            <w:r w:rsidRPr="004D4EDD">
              <w:rPr>
                <w:i/>
              </w:rPr>
              <w:t>Dose form:</w:t>
            </w:r>
          </w:p>
        </w:tc>
        <w:tc>
          <w:tcPr>
            <w:tcW w:w="3423" w:type="pct"/>
          </w:tcPr>
          <w:p w14:paraId="76FA6330" w14:textId="20F2E168" w:rsidR="009F2673" w:rsidRPr="004D4EDD" w:rsidRDefault="00E22ECF" w:rsidP="009E5A87">
            <w:r w:rsidRPr="004D4EDD">
              <w:t>Capsule</w:t>
            </w:r>
          </w:p>
        </w:tc>
      </w:tr>
      <w:tr w:rsidR="009F2673" w:rsidRPr="004D4EDD" w14:paraId="35F4C65A" w14:textId="77777777" w:rsidTr="00B02F83">
        <w:tc>
          <w:tcPr>
            <w:tcW w:w="1577" w:type="pct"/>
          </w:tcPr>
          <w:p w14:paraId="0F53DCA9" w14:textId="6A659DE7" w:rsidR="009F2673" w:rsidRPr="004D4EDD" w:rsidRDefault="009F2673" w:rsidP="009E5A87">
            <w:pPr>
              <w:rPr>
                <w:i/>
              </w:rPr>
            </w:pPr>
            <w:r w:rsidRPr="004D4EDD">
              <w:rPr>
                <w:i/>
              </w:rPr>
              <w:t>Strengths:</w:t>
            </w:r>
          </w:p>
        </w:tc>
        <w:tc>
          <w:tcPr>
            <w:tcW w:w="3423" w:type="pct"/>
          </w:tcPr>
          <w:p w14:paraId="786814D6" w14:textId="4473C3ED" w:rsidR="009F2673" w:rsidRPr="004D4EDD" w:rsidRDefault="00E22ECF" w:rsidP="00E22ECF">
            <w:r w:rsidRPr="004D4EDD">
              <w:t xml:space="preserve">230 µg and 460 µg </w:t>
            </w:r>
            <w:r w:rsidR="005F15EE" w:rsidRPr="004D4EDD">
              <w:t>capsule</w:t>
            </w:r>
            <w:r w:rsidR="00B035B9" w:rsidRPr="004D4EDD">
              <w:t>s</w:t>
            </w:r>
            <w:r w:rsidR="005F15EE" w:rsidRPr="004D4EDD">
              <w:t xml:space="preserve"> (</w:t>
            </w:r>
            <w:r w:rsidR="00301384" w:rsidRPr="004D4EDD">
              <w:t>composite pack</w:t>
            </w:r>
            <w:r w:rsidR="005F15EE" w:rsidRPr="004D4EDD">
              <w:t>)</w:t>
            </w:r>
          </w:p>
          <w:p w14:paraId="1F45059B" w14:textId="67B37ABF" w:rsidR="00E22ECF" w:rsidRPr="004D4EDD" w:rsidRDefault="00E22ECF" w:rsidP="00E22ECF">
            <w:r w:rsidRPr="004D4EDD">
              <w:t xml:space="preserve">920 µg capsule </w:t>
            </w:r>
            <w:r w:rsidR="005F15EE" w:rsidRPr="004D4EDD">
              <w:t>(</w:t>
            </w:r>
            <w:r w:rsidRPr="004D4EDD">
              <w:t>blister pack</w:t>
            </w:r>
            <w:r w:rsidR="005F15EE" w:rsidRPr="004D4EDD">
              <w:t>)</w:t>
            </w:r>
          </w:p>
        </w:tc>
      </w:tr>
      <w:tr w:rsidR="009F2673" w:rsidRPr="004D4EDD" w14:paraId="11C8A202" w14:textId="77777777" w:rsidTr="00B02F83">
        <w:tc>
          <w:tcPr>
            <w:tcW w:w="1577" w:type="pct"/>
          </w:tcPr>
          <w:p w14:paraId="0A6A49A2" w14:textId="3EBC9F59" w:rsidR="009F2673" w:rsidRPr="004D4EDD" w:rsidRDefault="009F2673" w:rsidP="009E5A87">
            <w:pPr>
              <w:rPr>
                <w:i/>
              </w:rPr>
            </w:pPr>
            <w:r w:rsidRPr="004D4EDD">
              <w:rPr>
                <w:i/>
              </w:rPr>
              <w:t>Containers:</w:t>
            </w:r>
          </w:p>
        </w:tc>
        <w:tc>
          <w:tcPr>
            <w:tcW w:w="3423" w:type="pct"/>
          </w:tcPr>
          <w:p w14:paraId="2A9784A6" w14:textId="3AB7AE78" w:rsidR="009F2673" w:rsidRPr="004D4EDD" w:rsidRDefault="00E22ECF" w:rsidP="009E5A87">
            <w:r w:rsidRPr="004D4EDD">
              <w:t xml:space="preserve">Blister </w:t>
            </w:r>
            <w:r w:rsidR="005F15EE" w:rsidRPr="004D4EDD">
              <w:t xml:space="preserve">pack and </w:t>
            </w:r>
            <w:r w:rsidR="00301384" w:rsidRPr="004D4EDD">
              <w:t xml:space="preserve">composite </w:t>
            </w:r>
            <w:r w:rsidR="00B035B9" w:rsidRPr="004D4EDD">
              <w:t>p</w:t>
            </w:r>
            <w:r w:rsidR="00301384" w:rsidRPr="004D4EDD">
              <w:t>ack</w:t>
            </w:r>
          </w:p>
        </w:tc>
      </w:tr>
      <w:tr w:rsidR="009F2673" w:rsidRPr="004D4EDD" w14:paraId="2559C97A" w14:textId="77777777" w:rsidTr="00B02F83">
        <w:tc>
          <w:tcPr>
            <w:tcW w:w="1577" w:type="pct"/>
          </w:tcPr>
          <w:p w14:paraId="58FBE810" w14:textId="7A46FB42" w:rsidR="009F2673" w:rsidRPr="004D4EDD" w:rsidRDefault="009F2673" w:rsidP="009E5A87">
            <w:pPr>
              <w:rPr>
                <w:i/>
              </w:rPr>
            </w:pPr>
            <w:r w:rsidRPr="004D4EDD">
              <w:rPr>
                <w:i/>
              </w:rPr>
              <w:t>Pack sizes:</w:t>
            </w:r>
          </w:p>
        </w:tc>
        <w:tc>
          <w:tcPr>
            <w:tcW w:w="3423" w:type="pct"/>
          </w:tcPr>
          <w:p w14:paraId="553DE767" w14:textId="4763A955" w:rsidR="009F2673" w:rsidRPr="004D4EDD" w:rsidRDefault="00A54666" w:rsidP="009E5A87">
            <w:r w:rsidRPr="004D4EDD">
              <w:t xml:space="preserve">Blister pack of 28 x </w:t>
            </w:r>
            <w:r w:rsidR="005F15EE" w:rsidRPr="004D4EDD">
              <w:t>920</w:t>
            </w:r>
            <w:r w:rsidR="00301384" w:rsidRPr="004D4EDD">
              <w:t> </w:t>
            </w:r>
            <w:r w:rsidRPr="004D4EDD">
              <w:t xml:space="preserve">µg </w:t>
            </w:r>
            <w:r w:rsidR="00E22ECF" w:rsidRPr="004D4EDD">
              <w:t>capsules</w:t>
            </w:r>
          </w:p>
          <w:p w14:paraId="530296A3" w14:textId="5564054F" w:rsidR="00E22ECF" w:rsidRPr="004D4EDD" w:rsidRDefault="00A54666" w:rsidP="009E5A87">
            <w:r w:rsidRPr="004D4EDD">
              <w:t xml:space="preserve">Blister wallet composite pack of </w:t>
            </w:r>
            <w:r w:rsidR="00E22ECF" w:rsidRPr="004D4EDD">
              <w:t>7 capsules (4 x 230</w:t>
            </w:r>
            <w:r w:rsidR="00301384" w:rsidRPr="004D4EDD">
              <w:t> </w:t>
            </w:r>
            <w:r w:rsidRPr="004D4EDD">
              <w:t xml:space="preserve">µg </w:t>
            </w:r>
            <w:r w:rsidR="00E22ECF" w:rsidRPr="004D4EDD">
              <w:t>capsules and 3 x 460</w:t>
            </w:r>
            <w:r w:rsidRPr="004D4EDD">
              <w:t xml:space="preserve"> µg </w:t>
            </w:r>
            <w:r w:rsidR="00E22ECF" w:rsidRPr="004D4EDD">
              <w:t>capsules)</w:t>
            </w:r>
          </w:p>
        </w:tc>
      </w:tr>
      <w:tr w:rsidR="009F2673" w:rsidRPr="004D4EDD" w14:paraId="080180D7" w14:textId="77777777" w:rsidTr="00B02F83">
        <w:tc>
          <w:tcPr>
            <w:tcW w:w="1577" w:type="pct"/>
          </w:tcPr>
          <w:p w14:paraId="00931422" w14:textId="77777777" w:rsidR="009F2673" w:rsidRPr="004D4EDD" w:rsidRDefault="009F2673" w:rsidP="009E5A87">
            <w:pPr>
              <w:rPr>
                <w:i/>
              </w:rPr>
            </w:pPr>
            <w:r w:rsidRPr="004D4EDD">
              <w:rPr>
                <w:i/>
              </w:rPr>
              <w:t>Approved therapeutic use:</w:t>
            </w:r>
          </w:p>
        </w:tc>
        <w:tc>
          <w:tcPr>
            <w:tcW w:w="3423" w:type="pct"/>
          </w:tcPr>
          <w:p w14:paraId="5418F946" w14:textId="736C6A6D" w:rsidR="005F15EE" w:rsidRPr="004D4EDD" w:rsidRDefault="005F15EE" w:rsidP="005F15EE">
            <w:pPr>
              <w:rPr>
                <w:b/>
                <w:bCs/>
                <w:i/>
                <w:iCs/>
              </w:rPr>
            </w:pPr>
            <w:r w:rsidRPr="004D4EDD">
              <w:rPr>
                <w:b/>
                <w:bCs/>
                <w:i/>
                <w:iCs/>
              </w:rPr>
              <w:t xml:space="preserve">Ulcerative </w:t>
            </w:r>
            <w:r w:rsidR="00301384" w:rsidRPr="004D4EDD">
              <w:rPr>
                <w:b/>
                <w:bCs/>
                <w:i/>
                <w:iCs/>
              </w:rPr>
              <w:t>colitis</w:t>
            </w:r>
          </w:p>
          <w:p w14:paraId="2578026B" w14:textId="016413BE" w:rsidR="009F2673" w:rsidRPr="004D4EDD" w:rsidRDefault="000E44DE" w:rsidP="005F15EE">
            <w:pPr>
              <w:rPr>
                <w:i/>
                <w:iCs/>
              </w:rPr>
            </w:pPr>
            <w:r w:rsidRPr="004D4EDD">
              <w:rPr>
                <w:i/>
                <w:iCs/>
              </w:rPr>
              <w:t xml:space="preserve">Zeposia </w:t>
            </w:r>
            <w:r w:rsidR="005F15EE" w:rsidRPr="004D4EDD">
              <w:rPr>
                <w:i/>
                <w:iCs/>
              </w:rPr>
              <w:t>is indicated for the treatment of adult patients with moderately to severely active ulcerative colitis who have had an inadequate response, lost response, or were intolerant to either conventional therapy or a biological therapy.</w:t>
            </w:r>
          </w:p>
        </w:tc>
      </w:tr>
      <w:tr w:rsidR="009F2673" w:rsidRPr="004D4EDD" w14:paraId="46F96DFB" w14:textId="77777777" w:rsidTr="00B02F83">
        <w:tc>
          <w:tcPr>
            <w:tcW w:w="1577" w:type="pct"/>
          </w:tcPr>
          <w:p w14:paraId="3CB87F66" w14:textId="0A2D6901" w:rsidR="009F2673" w:rsidRPr="004D4EDD" w:rsidRDefault="009F2673" w:rsidP="009E5A87">
            <w:pPr>
              <w:rPr>
                <w:i/>
              </w:rPr>
            </w:pPr>
            <w:r w:rsidRPr="004D4EDD">
              <w:rPr>
                <w:i/>
              </w:rPr>
              <w:t>Route of administration:</w:t>
            </w:r>
          </w:p>
        </w:tc>
        <w:tc>
          <w:tcPr>
            <w:tcW w:w="3423" w:type="pct"/>
          </w:tcPr>
          <w:p w14:paraId="0CFC5299" w14:textId="605859BB" w:rsidR="009F2673" w:rsidRPr="004D4EDD" w:rsidRDefault="00E22ECF" w:rsidP="009E5A87">
            <w:r w:rsidRPr="004D4EDD">
              <w:t>Oral</w:t>
            </w:r>
          </w:p>
        </w:tc>
      </w:tr>
      <w:tr w:rsidR="009F2673" w:rsidRPr="004D4EDD" w14:paraId="3FE88E56" w14:textId="77777777" w:rsidTr="00B02F83">
        <w:tc>
          <w:tcPr>
            <w:tcW w:w="1577" w:type="pct"/>
          </w:tcPr>
          <w:p w14:paraId="69FD0B13" w14:textId="77777777" w:rsidR="009F2673" w:rsidRPr="004D4EDD" w:rsidRDefault="009F2673" w:rsidP="009E5A87">
            <w:pPr>
              <w:rPr>
                <w:i/>
              </w:rPr>
            </w:pPr>
            <w:r w:rsidRPr="004D4EDD">
              <w:rPr>
                <w:i/>
              </w:rPr>
              <w:t>Dosage:</w:t>
            </w:r>
          </w:p>
        </w:tc>
        <w:tc>
          <w:tcPr>
            <w:tcW w:w="3423" w:type="pct"/>
          </w:tcPr>
          <w:p w14:paraId="2B9ED063" w14:textId="69042542" w:rsidR="009F2673" w:rsidRPr="004D4EDD" w:rsidRDefault="00E22ECF" w:rsidP="007C5F95">
            <w:r w:rsidRPr="004D4EDD">
              <w:t>Treatment should be initiated under the supervision of a physician experienced in the management of multiple sclerosis or ulcerative colitis.</w:t>
            </w:r>
          </w:p>
          <w:p w14:paraId="5604D7F7" w14:textId="77777777" w:rsidR="00A54666" w:rsidRPr="004D4EDD" w:rsidRDefault="00A54666" w:rsidP="00A54666">
            <w:r w:rsidRPr="004D4EDD">
              <w:t xml:space="preserve">Zeposia capsules should be swallowed whole and can be administered with or without food. If a dose of Zeposia is </w:t>
            </w:r>
            <w:r w:rsidRPr="004D4EDD">
              <w:lastRenderedPageBreak/>
              <w:t>missed, the next scheduled dose should be taken the following day.</w:t>
            </w:r>
          </w:p>
          <w:p w14:paraId="6C671EBD" w14:textId="3BA8FA59" w:rsidR="00A54666" w:rsidRPr="004D4EDD" w:rsidRDefault="00E22ECF" w:rsidP="007C5F95">
            <w:r w:rsidRPr="004D4EDD">
              <w:t xml:space="preserve">The recommended dose of </w:t>
            </w:r>
            <w:r w:rsidR="00A54666" w:rsidRPr="004D4EDD">
              <w:t xml:space="preserve">Zeposia </w:t>
            </w:r>
            <w:r w:rsidRPr="004D4EDD">
              <w:t>for adults is 920</w:t>
            </w:r>
            <w:r w:rsidR="00301384" w:rsidRPr="004D4EDD">
              <w:t> </w:t>
            </w:r>
            <w:r w:rsidR="00A54666" w:rsidRPr="004D4EDD">
              <w:t xml:space="preserve">µg </w:t>
            </w:r>
            <w:r w:rsidRPr="004D4EDD">
              <w:t>once daily taken orall</w:t>
            </w:r>
            <w:r w:rsidR="00A54666" w:rsidRPr="004D4EDD">
              <w:t>y, following an initial 7</w:t>
            </w:r>
            <w:r w:rsidR="00301384" w:rsidRPr="004D4EDD">
              <w:noBreakHyphen/>
            </w:r>
            <w:r w:rsidR="00A54666" w:rsidRPr="004D4EDD">
              <w:t>day dose escalation regimen</w:t>
            </w:r>
            <w:r w:rsidR="003E4891" w:rsidRPr="004D4EDD">
              <w:t>:</w:t>
            </w:r>
          </w:p>
          <w:p w14:paraId="7046F747" w14:textId="77777777" w:rsidR="00A54666" w:rsidRPr="004D4EDD" w:rsidRDefault="00A54666" w:rsidP="00A54666">
            <w:pPr>
              <w:pStyle w:val="ListBullet"/>
              <w:numPr>
                <w:ilvl w:val="0"/>
                <w:numId w:val="3"/>
              </w:numPr>
            </w:pPr>
            <w:r w:rsidRPr="004D4EDD">
              <w:t>Days 1 to 4: 230 µg capsule, once daily</w:t>
            </w:r>
          </w:p>
          <w:p w14:paraId="6D894A03" w14:textId="77777777" w:rsidR="00A54666" w:rsidRPr="004D4EDD" w:rsidRDefault="00A54666" w:rsidP="00A54666">
            <w:pPr>
              <w:pStyle w:val="ListBullet"/>
              <w:numPr>
                <w:ilvl w:val="0"/>
                <w:numId w:val="3"/>
              </w:numPr>
            </w:pPr>
            <w:r w:rsidRPr="004D4EDD">
              <w:t>Days 5 to 7: 460 µg capsule, once daily</w:t>
            </w:r>
          </w:p>
          <w:p w14:paraId="14B71106" w14:textId="7AC94507" w:rsidR="003E4891" w:rsidRPr="004D4EDD" w:rsidRDefault="003E4891" w:rsidP="003E4891">
            <w:r w:rsidRPr="004D4EDD">
              <w:t>Following the 7-day dose escalation, the once daily dosage is 920 µg taken orally starting on Day 8.</w:t>
            </w:r>
          </w:p>
          <w:p w14:paraId="001274A7" w14:textId="3DFDD18C" w:rsidR="00A54666" w:rsidRPr="004D4EDD" w:rsidRDefault="00A54666" w:rsidP="00A54666">
            <w:r w:rsidRPr="004D4EDD">
              <w:t>Initiation of Zeposia without dose escalation may result in greater reductions in heart rate (see Section 4.4 of the Product Information).</w:t>
            </w:r>
          </w:p>
          <w:p w14:paraId="06AD42CE" w14:textId="77777777" w:rsidR="009F2673" w:rsidRPr="004D4EDD" w:rsidRDefault="009F2673" w:rsidP="007C5F95">
            <w:r w:rsidRPr="004D4EDD">
              <w:t>For further information regarding dosage, refer to the Product Information.</w:t>
            </w:r>
          </w:p>
        </w:tc>
      </w:tr>
      <w:tr w:rsidR="009F2673" w:rsidRPr="004D4EDD" w14:paraId="416A1530" w14:textId="77777777" w:rsidTr="00B02F83">
        <w:tc>
          <w:tcPr>
            <w:tcW w:w="1577" w:type="pct"/>
          </w:tcPr>
          <w:p w14:paraId="57A9473E" w14:textId="77777777" w:rsidR="009F2673" w:rsidRPr="004D4EDD" w:rsidRDefault="009F2673" w:rsidP="009E5A87">
            <w:pPr>
              <w:rPr>
                <w:i/>
              </w:rPr>
            </w:pPr>
            <w:r w:rsidRPr="004D4EDD">
              <w:rPr>
                <w:i/>
              </w:rPr>
              <w:lastRenderedPageBreak/>
              <w:t>Pregnancy category:</w:t>
            </w:r>
          </w:p>
        </w:tc>
        <w:tc>
          <w:tcPr>
            <w:tcW w:w="3423" w:type="pct"/>
          </w:tcPr>
          <w:p w14:paraId="1F04D280" w14:textId="11BAE77B" w:rsidR="005F15EE" w:rsidRPr="004D4EDD" w:rsidRDefault="005F15EE" w:rsidP="005F15EE">
            <w:r w:rsidRPr="004D4EDD">
              <w:t>D</w:t>
            </w:r>
          </w:p>
          <w:p w14:paraId="62452D2A" w14:textId="32340BF1" w:rsidR="005F15EE" w:rsidRPr="004D4EDD" w:rsidRDefault="005F15EE" w:rsidP="005F15EE">
            <w:r w:rsidRPr="004D4EDD">
              <w:t>Drugs which have caused, are suspected to have caused or may be expected to cause, an increased incidence of human fetal malformations or irreversible damage. These drugs may also have adverse pharmacological effects. Accompanying texts should be consulted for further details.</w:t>
            </w:r>
          </w:p>
          <w:p w14:paraId="7C4A173A" w14:textId="23C80677" w:rsidR="009F2673" w:rsidRPr="004D4EDD" w:rsidRDefault="009F2673" w:rsidP="005F15EE">
            <w:r w:rsidRPr="004D4EDD">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1DBBBBDD" w14:textId="77777777" w:rsidR="008E7846" w:rsidRPr="004D4EDD" w:rsidRDefault="008E7846" w:rsidP="008E7846">
      <w:pPr>
        <w:pStyle w:val="Heading3"/>
      </w:pPr>
      <w:bookmarkStart w:id="10" w:name="_Toc247691503"/>
      <w:bookmarkStart w:id="11" w:name="_Toc314842484"/>
      <w:bookmarkStart w:id="12" w:name="_Toc113536188"/>
      <w:r w:rsidRPr="004D4EDD">
        <w:t>Product background</w:t>
      </w:r>
      <w:bookmarkEnd w:id="10"/>
      <w:bookmarkEnd w:id="11"/>
      <w:bookmarkEnd w:id="12"/>
    </w:p>
    <w:p w14:paraId="4622D691" w14:textId="38F00544" w:rsidR="009F2673" w:rsidRPr="004D4EDD" w:rsidRDefault="009F2673" w:rsidP="003E4891">
      <w:r w:rsidRPr="004D4EDD">
        <w:t xml:space="preserve">This AusPAR describes the </w:t>
      </w:r>
      <w:r w:rsidR="001E359E" w:rsidRPr="004D4EDD">
        <w:t>submission</w:t>
      </w:r>
      <w:r w:rsidRPr="004D4EDD">
        <w:t xml:space="preserve"> by </w:t>
      </w:r>
      <w:r w:rsidR="00B02F83" w:rsidRPr="004D4EDD">
        <w:t>Celgene Pty Limited</w:t>
      </w:r>
      <w:r w:rsidRPr="004D4EDD">
        <w:t xml:space="preserve"> (the sponsor) to register </w:t>
      </w:r>
      <w:r w:rsidR="00B02F83" w:rsidRPr="004D4EDD">
        <w:t xml:space="preserve">Zeposia </w:t>
      </w:r>
      <w:r w:rsidRPr="004D4EDD">
        <w:t>(</w:t>
      </w:r>
      <w:r w:rsidR="00B02F83" w:rsidRPr="004D4EDD">
        <w:t>ozanimod</w:t>
      </w:r>
      <w:r w:rsidRPr="004D4EDD">
        <w:t xml:space="preserve">) </w:t>
      </w:r>
      <w:r w:rsidR="003E4891" w:rsidRPr="004D4EDD">
        <w:t>230 µg and 460 µg capsule</w:t>
      </w:r>
      <w:r w:rsidR="0056222F" w:rsidRPr="004D4EDD">
        <w:t>s</w:t>
      </w:r>
      <w:r w:rsidR="003E4891" w:rsidRPr="004D4EDD">
        <w:t xml:space="preserve"> (</w:t>
      </w:r>
      <w:r w:rsidR="00301384" w:rsidRPr="004D4EDD">
        <w:t>composite pack</w:t>
      </w:r>
      <w:r w:rsidR="003E4891" w:rsidRPr="004D4EDD">
        <w:t>), 920 µg capsule (blister pack)</w:t>
      </w:r>
      <w:r w:rsidRPr="004D4EDD">
        <w:t xml:space="preserve"> for the following proposed extension of indications:</w:t>
      </w:r>
    </w:p>
    <w:p w14:paraId="70679028" w14:textId="381B4612" w:rsidR="00E22ECF" w:rsidRPr="004D4EDD" w:rsidRDefault="00E22ECF" w:rsidP="00E22ECF">
      <w:pPr>
        <w:ind w:left="720"/>
        <w:rPr>
          <w:i/>
          <w:iCs/>
        </w:rPr>
      </w:pPr>
      <w:r w:rsidRPr="004D4EDD">
        <w:rPr>
          <w:i/>
          <w:iCs/>
        </w:rPr>
        <w:t>Zeposia is indicated for the treatment of adult patients with moderately to severely active ulcerative colitis.</w:t>
      </w:r>
    </w:p>
    <w:p w14:paraId="255CC799" w14:textId="44E16590" w:rsidR="00E22ECF" w:rsidRPr="004D4EDD" w:rsidRDefault="00E22ECF" w:rsidP="00E22ECF">
      <w:r w:rsidRPr="004D4EDD">
        <w:t xml:space="preserve">Ulcerative colitis is a chronic gastrointestinal inflammatory disorder that involves the surface mucosa, including the infiltration of neutrophils and other inflammatory cells into the epithelium and submucosa of the colon. The aetiology of </w:t>
      </w:r>
      <w:r w:rsidR="00301384" w:rsidRPr="004D4EDD">
        <w:t xml:space="preserve">ulcerative colitis </w:t>
      </w:r>
      <w:r w:rsidRPr="004D4EDD">
        <w:t>is multifactorial, but likely includes a dysregulated mucosal immune response against commensal non-pathogenic bacteria of the colon, resulting in bowel inflammation.</w:t>
      </w:r>
    </w:p>
    <w:p w14:paraId="16020CF2" w14:textId="67578A8D" w:rsidR="0056222F" w:rsidRPr="004D4EDD" w:rsidRDefault="0056222F" w:rsidP="00E22ECF">
      <w:r w:rsidRPr="004D4EDD">
        <w:t xml:space="preserve">Management involves first treating the acute symptoms of ulcerative colitis and induction of disease remission, followed by </w:t>
      </w:r>
      <w:r w:rsidR="000128C7" w:rsidRPr="004D4EDD">
        <w:t>long-term</w:t>
      </w:r>
      <w:r w:rsidRPr="004D4EDD">
        <w:t xml:space="preserve"> management to maintain remission and prevent disease relapse.</w:t>
      </w:r>
    </w:p>
    <w:p w14:paraId="0F13213C" w14:textId="545CCC9B" w:rsidR="004C579E" w:rsidRPr="004D4EDD" w:rsidRDefault="00427A76" w:rsidP="00313F58">
      <w:proofErr w:type="spellStart"/>
      <w:r w:rsidRPr="004D4EDD">
        <w:t>A</w:t>
      </w:r>
      <w:r w:rsidR="000128C7" w:rsidRPr="004D4EDD">
        <w:t>minosalicylates</w:t>
      </w:r>
      <w:proofErr w:type="spellEnd"/>
      <w:r w:rsidR="000128C7" w:rsidRPr="004D4EDD">
        <w:t xml:space="preserve"> such as </w:t>
      </w:r>
      <w:proofErr w:type="spellStart"/>
      <w:r w:rsidR="000128C7" w:rsidRPr="004D4EDD">
        <w:t>mesalazine</w:t>
      </w:r>
      <w:proofErr w:type="spellEnd"/>
      <w:r w:rsidR="000128C7" w:rsidRPr="004D4EDD">
        <w:t xml:space="preserve">, olsalazine, </w:t>
      </w:r>
      <w:r w:rsidRPr="004D4EDD">
        <w:t xml:space="preserve">sulfasalazine </w:t>
      </w:r>
      <w:r w:rsidR="000128C7" w:rsidRPr="004D4EDD">
        <w:t xml:space="preserve">and balsalazide have </w:t>
      </w:r>
      <w:r w:rsidR="002877DF" w:rsidRPr="004D4EDD">
        <w:t xml:space="preserve">long </w:t>
      </w:r>
      <w:r w:rsidR="000128C7" w:rsidRPr="004D4EDD">
        <w:t xml:space="preserve">been the mainstay of </w:t>
      </w:r>
      <w:r w:rsidR="00E63557" w:rsidRPr="004D4EDD">
        <w:t xml:space="preserve">maintaining remission but </w:t>
      </w:r>
      <w:r w:rsidR="002877DF" w:rsidRPr="004D4EDD">
        <w:t>are</w:t>
      </w:r>
      <w:r w:rsidR="00E63557" w:rsidRPr="004D4EDD">
        <w:t xml:space="preserve"> also a first-line therapy used to treat </w:t>
      </w:r>
      <w:r w:rsidR="00E63557" w:rsidRPr="004D4EDD">
        <w:lastRenderedPageBreak/>
        <w:t>symptoms in active mild to moderate ulcerative colitis.</w:t>
      </w:r>
      <w:bookmarkStart w:id="13" w:name="_Ref112651086"/>
      <w:r w:rsidR="00E63557" w:rsidRPr="004D4EDD">
        <w:rPr>
          <w:rStyle w:val="FootnoteReference"/>
        </w:rPr>
        <w:footnoteReference w:id="1"/>
      </w:r>
      <w:bookmarkEnd w:id="13"/>
      <w:r w:rsidR="00E63557" w:rsidRPr="004D4EDD">
        <w:rPr>
          <w:vertAlign w:val="superscript"/>
        </w:rPr>
        <w:t>,</w:t>
      </w:r>
      <w:r w:rsidR="00E63557" w:rsidRPr="004D4EDD">
        <w:rPr>
          <w:rStyle w:val="FootnoteReference"/>
        </w:rPr>
        <w:footnoteReference w:id="2"/>
      </w:r>
      <w:r w:rsidR="00E63557" w:rsidRPr="004D4EDD">
        <w:rPr>
          <w:vertAlign w:val="superscript"/>
        </w:rPr>
        <w:t xml:space="preserve"> </w:t>
      </w:r>
      <w:r w:rsidR="00E63557" w:rsidRPr="004D4EDD">
        <w:t xml:space="preserve">These medications </w:t>
      </w:r>
      <w:r w:rsidR="000128C7" w:rsidRPr="004D4EDD">
        <w:t>reduce inflammation in the lining of the gut and maintain remission. They are most effective for reducing inflammation in the large intestine and taken orally as tablets</w:t>
      </w:r>
      <w:r w:rsidR="00E63557" w:rsidRPr="004D4EDD">
        <w:t>, but can be used</w:t>
      </w:r>
      <w:r w:rsidR="000128C7" w:rsidRPr="004D4EDD">
        <w:t xml:space="preserve"> rectal</w:t>
      </w:r>
      <w:r w:rsidR="00E63557" w:rsidRPr="004D4EDD">
        <w:t>ly as enemas or suppositories, particularly in disease affecting the rectum, sigmoid or descending</w:t>
      </w:r>
      <w:r w:rsidR="00AD6BD8" w:rsidRPr="004D4EDD">
        <w:t xml:space="preserve"> colon.</w:t>
      </w:r>
      <w:r w:rsidR="00E63557" w:rsidRPr="004D4EDD">
        <w:t xml:space="preserve"> </w:t>
      </w:r>
      <w:r w:rsidR="00AD6BD8" w:rsidRPr="004D4EDD">
        <w:t>Corticosteroids</w:t>
      </w:r>
      <w:r w:rsidR="004C579E" w:rsidRPr="004D4EDD">
        <w:t xml:space="preserve"> </w:t>
      </w:r>
      <w:r w:rsidR="00AD6BD8" w:rsidRPr="004D4EDD">
        <w:t xml:space="preserve">(oral </w:t>
      </w:r>
      <w:r w:rsidR="004C579E" w:rsidRPr="004D4EDD">
        <w:t>prednisolone</w:t>
      </w:r>
      <w:r w:rsidR="00AD6BD8" w:rsidRPr="004D4EDD">
        <w:t>)</w:t>
      </w:r>
      <w:r w:rsidR="004C579E" w:rsidRPr="004D4EDD">
        <w:t xml:space="preserve"> may also be used in the short-term for their immunosuppressive properties, but use is limited to acute flares in active moderate to severe disease, or in patients too sick, or patients who do not </w:t>
      </w:r>
      <w:r w:rsidR="00AD6BD8" w:rsidRPr="004D4EDD">
        <w:t>respond to (or cannot tolerate) adequate doses of 5-</w:t>
      </w:r>
      <w:bookmarkStart w:id="14" w:name="_Hlk113534669"/>
      <w:r w:rsidRPr="004D4EDD">
        <w:t>aminosalicylate</w:t>
      </w:r>
      <w:bookmarkEnd w:id="14"/>
      <w:r w:rsidR="00AD6BD8" w:rsidRPr="004D4EDD">
        <w:t xml:space="preserve"> agents.</w:t>
      </w:r>
      <w:r w:rsidR="00AD6BD8" w:rsidRPr="004D4EDD">
        <w:rPr>
          <w:vertAlign w:val="superscript"/>
        </w:rPr>
        <w:fldChar w:fldCharType="begin"/>
      </w:r>
      <w:r w:rsidR="00AD6BD8" w:rsidRPr="004D4EDD">
        <w:rPr>
          <w:vertAlign w:val="superscript"/>
        </w:rPr>
        <w:instrText xml:space="preserve"> NOTEREF _Ref112651086 \h  \* MERGEFORMAT </w:instrText>
      </w:r>
      <w:r w:rsidR="00AD6BD8" w:rsidRPr="004D4EDD">
        <w:rPr>
          <w:vertAlign w:val="superscript"/>
        </w:rPr>
      </w:r>
      <w:r w:rsidR="00AD6BD8" w:rsidRPr="004D4EDD">
        <w:rPr>
          <w:vertAlign w:val="superscript"/>
        </w:rPr>
        <w:fldChar w:fldCharType="separate"/>
      </w:r>
      <w:r w:rsidR="004D4EDD">
        <w:rPr>
          <w:vertAlign w:val="superscript"/>
        </w:rPr>
        <w:t>1</w:t>
      </w:r>
      <w:r w:rsidR="00AD6BD8" w:rsidRPr="004D4EDD">
        <w:rPr>
          <w:vertAlign w:val="superscript"/>
        </w:rPr>
        <w:fldChar w:fldCharType="end"/>
      </w:r>
    </w:p>
    <w:p w14:paraId="41012457" w14:textId="49134BA5" w:rsidR="00AD6BD8" w:rsidRPr="004D4EDD" w:rsidRDefault="00AD6BD8" w:rsidP="00313F58">
      <w:r w:rsidRPr="004D4EDD">
        <w:t>Drugs that modulate or suppress the immune system (especially azathioprine, 6</w:t>
      </w:r>
      <w:r w:rsidRPr="004D4EDD">
        <w:noBreakHyphen/>
        <w:t>mercaptopurine and less commonly, methotrexate) are commonly used to help control inflammation, maintain long term disease remission and prevent or reduce corticosteroid dependence; however, they are not ideal agents for induction of remission due to their slow onset of action.</w:t>
      </w:r>
      <w:r w:rsidRPr="004D4EDD">
        <w:rPr>
          <w:vertAlign w:val="superscript"/>
        </w:rPr>
        <w:fldChar w:fldCharType="begin"/>
      </w:r>
      <w:r w:rsidRPr="004D4EDD">
        <w:rPr>
          <w:vertAlign w:val="superscript"/>
        </w:rPr>
        <w:instrText xml:space="preserve"> NOTEREF _Ref112651086 \h  \* MERGEFORMAT </w:instrText>
      </w:r>
      <w:r w:rsidRPr="004D4EDD">
        <w:rPr>
          <w:vertAlign w:val="superscript"/>
        </w:rPr>
      </w:r>
      <w:r w:rsidRPr="004D4EDD">
        <w:rPr>
          <w:vertAlign w:val="superscript"/>
        </w:rPr>
        <w:fldChar w:fldCharType="separate"/>
      </w:r>
      <w:r w:rsidR="004D4EDD">
        <w:rPr>
          <w:vertAlign w:val="superscript"/>
        </w:rPr>
        <w:t>1</w:t>
      </w:r>
      <w:r w:rsidRPr="004D4EDD">
        <w:rPr>
          <w:vertAlign w:val="superscript"/>
        </w:rPr>
        <w:fldChar w:fldCharType="end"/>
      </w:r>
    </w:p>
    <w:p w14:paraId="01A73800" w14:textId="64260A4C" w:rsidR="00562AAA" w:rsidRPr="004D4EDD" w:rsidRDefault="00562AAA" w:rsidP="00E22ECF">
      <w:r w:rsidRPr="004D4EDD">
        <w:t>A</w:t>
      </w:r>
      <w:r w:rsidR="00F85D96" w:rsidRPr="004D4EDD">
        <w:t xml:space="preserve">nti-tumour necrosis factor </w:t>
      </w:r>
      <w:r w:rsidRPr="004D4EDD">
        <w:t>inhibitors are a group of biological agents that block the pro</w:t>
      </w:r>
      <w:r w:rsidRPr="004D4EDD">
        <w:noBreakHyphen/>
        <w:t>inflammatory effect of tumour necrosis factor (TNF), a pro</w:t>
      </w:r>
      <w:r w:rsidRPr="004D4EDD">
        <w:noBreakHyphen/>
        <w:t xml:space="preserve">inflammatory cytokine implicated in ulcerative colitis. These include </w:t>
      </w:r>
      <w:r w:rsidR="00F85D96" w:rsidRPr="004D4EDD">
        <w:t>infliximab (</w:t>
      </w:r>
      <w:r w:rsidR="000A2255" w:rsidRPr="004D4EDD">
        <w:t>Remicade</w:t>
      </w:r>
      <w:r w:rsidR="00F85D96" w:rsidRPr="004D4EDD">
        <w:t>);</w:t>
      </w:r>
      <w:r w:rsidR="000A2255" w:rsidRPr="004D4EDD">
        <w:rPr>
          <w:rStyle w:val="FootnoteReference"/>
        </w:rPr>
        <w:footnoteReference w:id="3"/>
      </w:r>
      <w:r w:rsidR="00E22ECF" w:rsidRPr="004D4EDD">
        <w:t xml:space="preserve"> </w:t>
      </w:r>
      <w:r w:rsidR="00F85D96" w:rsidRPr="004D4EDD">
        <w:t>and adalimumab (</w:t>
      </w:r>
      <w:r w:rsidR="00826D13" w:rsidRPr="004D4EDD">
        <w:t>Humira</w:t>
      </w:r>
      <w:r w:rsidR="00F85D96" w:rsidRPr="004D4EDD">
        <w:t>);</w:t>
      </w:r>
      <w:r w:rsidR="000A2255" w:rsidRPr="004D4EDD">
        <w:rPr>
          <w:rStyle w:val="FootnoteReference"/>
        </w:rPr>
        <w:footnoteReference w:id="4"/>
      </w:r>
      <w:r w:rsidR="00E22ECF" w:rsidRPr="004D4EDD">
        <w:t xml:space="preserve"> </w:t>
      </w:r>
      <w:r w:rsidR="00F85D96" w:rsidRPr="004D4EDD">
        <w:t>and their biosimilars</w:t>
      </w:r>
      <w:r w:rsidR="009627AB" w:rsidRPr="004D4EDD">
        <w:t>, along with</w:t>
      </w:r>
      <w:r w:rsidR="00D6450C" w:rsidRPr="004D4EDD">
        <w:t xml:space="preserve"> golimumab (Simponi)</w:t>
      </w:r>
      <w:r w:rsidR="009627AB" w:rsidRPr="004D4EDD">
        <w:rPr>
          <w:rStyle w:val="FootnoteReference"/>
        </w:rPr>
        <w:footnoteReference w:id="5"/>
      </w:r>
      <w:r w:rsidR="00F85D96" w:rsidRPr="004D4EDD">
        <w:t>.</w:t>
      </w:r>
    </w:p>
    <w:p w14:paraId="194848E8" w14:textId="4EA23E18" w:rsidR="00562AAA" w:rsidRPr="004D4EDD" w:rsidRDefault="009627AB" w:rsidP="00E22ECF">
      <w:r w:rsidRPr="004D4EDD">
        <w:t xml:space="preserve">Another monoclonal antibody, </w:t>
      </w:r>
      <w:r w:rsidR="004C3B3C" w:rsidRPr="004D4EDD">
        <w:t>vedolizumab (Entyvio)</w:t>
      </w:r>
      <w:r w:rsidR="004C3B3C" w:rsidRPr="004D4EDD">
        <w:rPr>
          <w:rStyle w:val="FootnoteReference"/>
        </w:rPr>
        <w:footnoteReference w:id="6"/>
      </w:r>
      <w:r w:rsidR="004C3B3C" w:rsidRPr="004D4EDD">
        <w:t xml:space="preserve"> binds to integrin α4β7 (LPAM-1, lymphocyte Peyer's patch adhesion molecule 1, a dimer of integrin alpha-4 and integrin beta-7), resulting in gut-specific anti-inflammatory activity.</w:t>
      </w:r>
    </w:p>
    <w:p w14:paraId="02C13B44" w14:textId="7605F0C1" w:rsidR="00F85D96" w:rsidRPr="004D4EDD" w:rsidRDefault="00323255" w:rsidP="00E22ECF">
      <w:r w:rsidRPr="004D4EDD">
        <w:t>Ustekinumab (Stelara);</w:t>
      </w:r>
      <w:bookmarkStart w:id="15" w:name="_Ref113484063"/>
      <w:r w:rsidRPr="004D4EDD">
        <w:rPr>
          <w:rStyle w:val="FootnoteReference"/>
        </w:rPr>
        <w:footnoteReference w:id="7"/>
      </w:r>
      <w:bookmarkEnd w:id="15"/>
      <w:r w:rsidRPr="004D4EDD">
        <w:t xml:space="preserve"> is another approved biologic, </w:t>
      </w:r>
      <w:r w:rsidR="002877DF" w:rsidRPr="004D4EDD">
        <w:t>targe</w:t>
      </w:r>
      <w:r w:rsidR="00562AAA" w:rsidRPr="004D4EDD">
        <w:t>ting interleukin (IL)-12 and IL</w:t>
      </w:r>
      <w:r w:rsidR="00562AAA" w:rsidRPr="004D4EDD">
        <w:noBreakHyphen/>
      </w:r>
      <w:r w:rsidR="002877DF" w:rsidRPr="004D4EDD">
        <w:t>23</w:t>
      </w:r>
      <w:r w:rsidR="00562AAA" w:rsidRPr="004D4EDD">
        <w:t xml:space="preserve"> by</w:t>
      </w:r>
      <w:r w:rsidR="002877DF" w:rsidRPr="004D4EDD">
        <w:t xml:space="preserve"> </w:t>
      </w:r>
      <w:r w:rsidR="00562AAA" w:rsidRPr="004D4EDD">
        <w:t>binding to the p40 protein subunit that IL-12 and IL-23 use, thereby modulating the immune response and help controlling immune-mediate inflammation in ulcerative colitis.</w:t>
      </w:r>
    </w:p>
    <w:p w14:paraId="083DB7D5" w14:textId="077B5EA9" w:rsidR="00E22ECF" w:rsidRPr="004D4EDD" w:rsidRDefault="004C3B3C" w:rsidP="00E22ECF">
      <w:r w:rsidRPr="004D4EDD">
        <w:t>G</w:t>
      </w:r>
      <w:r w:rsidR="00826D13" w:rsidRPr="004D4EDD">
        <w:t>olimumab</w:t>
      </w:r>
      <w:r w:rsidRPr="004D4EDD">
        <w:t xml:space="preserve"> (Simponi)</w:t>
      </w:r>
      <w:r w:rsidR="002877DF" w:rsidRPr="004D4EDD">
        <w:t xml:space="preserve">, </w:t>
      </w:r>
      <w:r w:rsidR="00826D13" w:rsidRPr="004D4EDD">
        <w:t>vedolizumab</w:t>
      </w:r>
      <w:r w:rsidRPr="004D4EDD">
        <w:t xml:space="preserve"> (Entyvio) </w:t>
      </w:r>
      <w:r w:rsidR="002877DF" w:rsidRPr="004D4EDD">
        <w:t xml:space="preserve">and </w:t>
      </w:r>
      <w:proofErr w:type="spellStart"/>
      <w:r w:rsidR="002877DF" w:rsidRPr="004D4EDD">
        <w:t>ustekinumb</w:t>
      </w:r>
      <w:proofErr w:type="spellEnd"/>
      <w:r w:rsidR="002877DF" w:rsidRPr="004D4EDD">
        <w:t xml:space="preserve"> (Stelara) </w:t>
      </w:r>
      <w:r w:rsidRPr="004D4EDD">
        <w:t xml:space="preserve">are </w:t>
      </w:r>
      <w:r w:rsidR="00E22ECF" w:rsidRPr="004D4EDD">
        <w:t xml:space="preserve">used </w:t>
      </w:r>
      <w:r w:rsidR="002877DF" w:rsidRPr="004D4EDD">
        <w:t xml:space="preserve">in </w:t>
      </w:r>
      <w:r w:rsidR="00E22ECF" w:rsidRPr="004D4EDD">
        <w:t>more severe disease</w:t>
      </w:r>
      <w:r w:rsidRPr="004D4EDD">
        <w:t xml:space="preserve">, and </w:t>
      </w:r>
      <w:r w:rsidR="00323255" w:rsidRPr="004D4EDD">
        <w:t xml:space="preserve">along with </w:t>
      </w:r>
      <w:r w:rsidRPr="004D4EDD">
        <w:t xml:space="preserve">all </w:t>
      </w:r>
      <w:r w:rsidR="00841F77" w:rsidRPr="004D4EDD">
        <w:t xml:space="preserve">such </w:t>
      </w:r>
      <w:r w:rsidRPr="004D4EDD">
        <w:t>biologics</w:t>
      </w:r>
      <w:r w:rsidR="002877DF" w:rsidRPr="004D4EDD">
        <w:t>,</w:t>
      </w:r>
      <w:r w:rsidRPr="004D4EDD">
        <w:t xml:space="preserve"> are approved for injection only, either via intravenous infusion or subcutaneous injection.</w:t>
      </w:r>
    </w:p>
    <w:p w14:paraId="2BC2B418" w14:textId="16FA3708" w:rsidR="00E22ECF" w:rsidRPr="004D4EDD" w:rsidRDefault="004C3B3C" w:rsidP="00E22ECF">
      <w:r w:rsidRPr="004D4EDD">
        <w:t>Tofacitinib</w:t>
      </w:r>
      <w:r w:rsidRPr="004D4EDD" w:rsidDel="004C3B3C">
        <w:t xml:space="preserve"> </w:t>
      </w:r>
      <w:r w:rsidRPr="004D4EDD">
        <w:t>(</w:t>
      </w:r>
      <w:r w:rsidR="00313F58" w:rsidRPr="004D4EDD">
        <w:t>Xeljanz</w:t>
      </w:r>
      <w:r w:rsidR="00826D13" w:rsidRPr="004D4EDD">
        <w:t>)</w:t>
      </w:r>
      <w:r w:rsidRPr="004D4EDD">
        <w:t xml:space="preserve"> is </w:t>
      </w:r>
      <w:r w:rsidR="00562AAA" w:rsidRPr="004D4EDD">
        <w:t>an</w:t>
      </w:r>
      <w:r w:rsidRPr="004D4EDD">
        <w:t xml:space="preserve"> approved agent for use in ulcerative colitis. It is a small molecule drug and not a </w:t>
      </w:r>
      <w:proofErr w:type="gramStart"/>
      <w:r w:rsidRPr="004D4EDD">
        <w:t>biological, and</w:t>
      </w:r>
      <w:proofErr w:type="gramEnd"/>
      <w:r w:rsidRPr="004D4EDD">
        <w:t xml:space="preserve"> is a </w:t>
      </w:r>
      <w:r w:rsidR="00841F77" w:rsidRPr="004D4EDD">
        <w:t>Janus</w:t>
      </w:r>
      <w:r w:rsidRPr="004D4EDD">
        <w:t xml:space="preserve"> kinase (JAK) inhibitor. Xeljanz</w:t>
      </w:r>
      <w:r w:rsidR="000A2255" w:rsidRPr="004D4EDD">
        <w:rPr>
          <w:rStyle w:val="FootnoteReference"/>
        </w:rPr>
        <w:footnoteReference w:id="8"/>
      </w:r>
      <w:r w:rsidR="00E22ECF" w:rsidRPr="004D4EDD">
        <w:t xml:space="preserve"> </w:t>
      </w:r>
      <w:r w:rsidRPr="004D4EDD">
        <w:t xml:space="preserve">oral </w:t>
      </w:r>
      <w:r w:rsidR="00E22ECF" w:rsidRPr="004D4EDD">
        <w:t>tablet</w:t>
      </w:r>
      <w:r w:rsidRPr="004D4EDD">
        <w:t>s</w:t>
      </w:r>
      <w:r w:rsidR="00E22ECF" w:rsidRPr="004D4EDD">
        <w:t xml:space="preserve"> </w:t>
      </w:r>
      <w:r w:rsidRPr="004D4EDD">
        <w:t>are</w:t>
      </w:r>
      <w:r w:rsidR="00E22ECF" w:rsidRPr="004D4EDD">
        <w:t xml:space="preserve"> </w:t>
      </w:r>
      <w:r w:rsidRPr="004D4EDD">
        <w:t>listed on</w:t>
      </w:r>
      <w:r w:rsidR="00E22ECF" w:rsidRPr="004D4EDD">
        <w:t xml:space="preserve"> the </w:t>
      </w:r>
      <w:r w:rsidR="00313F58" w:rsidRPr="004D4EDD">
        <w:t>Australian Register of Therapeutic Goods (</w:t>
      </w:r>
      <w:r w:rsidR="00E22ECF" w:rsidRPr="004D4EDD">
        <w:t>ARTG</w:t>
      </w:r>
      <w:r w:rsidR="00313F58" w:rsidRPr="004D4EDD">
        <w:t>)</w:t>
      </w:r>
      <w:r w:rsidRPr="004D4EDD">
        <w:t xml:space="preserve">, </w:t>
      </w:r>
      <w:r w:rsidR="00E22ECF" w:rsidRPr="004D4EDD">
        <w:t>indicated for the treatment of adult patients with moderately to severely active ulcerative colitis who have had an inadequate response, lost response, or were intolerant to either conventional therapy or a biological therapy.</w:t>
      </w:r>
    </w:p>
    <w:p w14:paraId="3E2D734D" w14:textId="33ACFAA6" w:rsidR="00E22ECF" w:rsidRPr="004D4EDD" w:rsidRDefault="00E22ECF" w:rsidP="00E22ECF">
      <w:r w:rsidRPr="004D4EDD">
        <w:t xml:space="preserve">The sponsor’s rationale </w:t>
      </w:r>
      <w:r w:rsidR="00313F58" w:rsidRPr="004D4EDD">
        <w:t xml:space="preserve">for developing </w:t>
      </w:r>
      <w:r w:rsidR="00D00225" w:rsidRPr="004D4EDD">
        <w:t>ozanimod (</w:t>
      </w:r>
      <w:r w:rsidR="00313F58" w:rsidRPr="004D4EDD">
        <w:t>Zeposia</w:t>
      </w:r>
      <w:r w:rsidR="00D00225" w:rsidRPr="004D4EDD">
        <w:t>)</w:t>
      </w:r>
      <w:r w:rsidR="00313F58" w:rsidRPr="004D4EDD">
        <w:t xml:space="preserve"> is </w:t>
      </w:r>
      <w:r w:rsidR="00D00225" w:rsidRPr="004D4EDD">
        <w:t>that there is an</w:t>
      </w:r>
      <w:r w:rsidRPr="004D4EDD">
        <w:t xml:space="preserve"> unmet need for highly effective oral therapies with a novel mechanism of action that provides a favourable safety and tolerability profile</w:t>
      </w:r>
      <w:r w:rsidR="00313F58" w:rsidRPr="004D4EDD">
        <w:t xml:space="preserve">, and </w:t>
      </w:r>
      <w:r w:rsidRPr="004D4EDD">
        <w:t xml:space="preserve">with the convenience of once daily dosing for patients with moderate to severe </w:t>
      </w:r>
      <w:r w:rsidR="00301384" w:rsidRPr="004D4EDD">
        <w:t>ulcerative colitis</w:t>
      </w:r>
      <w:r w:rsidRPr="004D4EDD">
        <w:t xml:space="preserve"> who are intolerant to or fail conventional therapy</w:t>
      </w:r>
      <w:r w:rsidR="00313F58" w:rsidRPr="004D4EDD">
        <w:t>,</w:t>
      </w:r>
      <w:r w:rsidRPr="004D4EDD">
        <w:t xml:space="preserve"> and those who are naïve to or who had primary or secondary nonresponse to an </w:t>
      </w:r>
      <w:r w:rsidR="00E96E13" w:rsidRPr="004D4EDD">
        <w:t>anti</w:t>
      </w:r>
      <w:r w:rsidR="00BE320A" w:rsidRPr="004D4EDD">
        <w:noBreakHyphen/>
      </w:r>
      <w:r w:rsidR="00E96E13" w:rsidRPr="004D4EDD">
        <w:t>tumour necrosis factor</w:t>
      </w:r>
      <w:r w:rsidR="00BE320A" w:rsidRPr="004D4EDD">
        <w:t xml:space="preserve"> (</w:t>
      </w:r>
      <w:r w:rsidRPr="004D4EDD">
        <w:t>anti-TNF</w:t>
      </w:r>
      <w:r w:rsidR="00BE320A" w:rsidRPr="004D4EDD">
        <w:t>)</w:t>
      </w:r>
      <w:r w:rsidRPr="004D4EDD">
        <w:t xml:space="preserve"> or other biologic therapy or were intolerant to either treatment.</w:t>
      </w:r>
    </w:p>
    <w:p w14:paraId="30753335" w14:textId="77777777" w:rsidR="008E7846" w:rsidRPr="004D4EDD" w:rsidRDefault="00386150" w:rsidP="008E7846">
      <w:pPr>
        <w:pStyle w:val="Heading3"/>
      </w:pPr>
      <w:bookmarkStart w:id="16" w:name="_Toc314842485"/>
      <w:bookmarkStart w:id="17" w:name="_Toc247691504"/>
      <w:bookmarkStart w:id="18" w:name="_Toc113536189"/>
      <w:r w:rsidRPr="004D4EDD">
        <w:lastRenderedPageBreak/>
        <w:t>Regulatory s</w:t>
      </w:r>
      <w:r w:rsidR="008E7846" w:rsidRPr="004D4EDD">
        <w:t>tatus</w:t>
      </w:r>
      <w:bookmarkEnd w:id="16"/>
      <w:bookmarkEnd w:id="17"/>
      <w:bookmarkEnd w:id="18"/>
    </w:p>
    <w:p w14:paraId="11297F43" w14:textId="3398A0E2" w:rsidR="005F15EE" w:rsidRPr="004D4EDD" w:rsidRDefault="005F15EE" w:rsidP="005F15EE">
      <w:bookmarkStart w:id="19" w:name="_Toc247691505"/>
      <w:bookmarkStart w:id="20" w:name="_Toc314842486"/>
      <w:r w:rsidRPr="004D4EDD">
        <w:t>The product received initial registration on the Australian Register of Therapeutic Goods (ARTG) on 17 July 2020</w:t>
      </w:r>
      <w:r w:rsidR="00AE531B" w:rsidRPr="004D4EDD">
        <w:t>;</w:t>
      </w:r>
      <w:bookmarkStart w:id="21" w:name="_Ref112654714"/>
      <w:r w:rsidR="00AE531B" w:rsidRPr="004D4EDD">
        <w:rPr>
          <w:rStyle w:val="FootnoteReference"/>
        </w:rPr>
        <w:footnoteReference w:id="9"/>
      </w:r>
      <w:bookmarkEnd w:id="21"/>
      <w:r w:rsidRPr="004D4EDD">
        <w:t xml:space="preserve"> for the following indication:</w:t>
      </w:r>
    </w:p>
    <w:p w14:paraId="66E4B0E0" w14:textId="76FAF1BF" w:rsidR="005F15EE" w:rsidRPr="004D4EDD" w:rsidRDefault="005F15EE" w:rsidP="005F15EE">
      <w:pPr>
        <w:ind w:left="720"/>
        <w:rPr>
          <w:b/>
          <w:bCs/>
          <w:i/>
          <w:iCs/>
        </w:rPr>
      </w:pPr>
      <w:r w:rsidRPr="004D4EDD">
        <w:rPr>
          <w:b/>
          <w:bCs/>
          <w:i/>
          <w:iCs/>
        </w:rPr>
        <w:t xml:space="preserve">Multiple </w:t>
      </w:r>
      <w:r w:rsidR="00313F58" w:rsidRPr="004D4EDD">
        <w:rPr>
          <w:b/>
          <w:bCs/>
          <w:i/>
          <w:iCs/>
        </w:rPr>
        <w:t>s</w:t>
      </w:r>
      <w:r w:rsidRPr="004D4EDD">
        <w:rPr>
          <w:b/>
          <w:bCs/>
          <w:i/>
          <w:iCs/>
        </w:rPr>
        <w:t>clerosis</w:t>
      </w:r>
    </w:p>
    <w:p w14:paraId="6E6261CE" w14:textId="166A20F8" w:rsidR="005F15EE" w:rsidRPr="004D4EDD" w:rsidRDefault="000E44DE" w:rsidP="005F15EE">
      <w:pPr>
        <w:ind w:left="720"/>
        <w:rPr>
          <w:i/>
          <w:iCs/>
        </w:rPr>
      </w:pPr>
      <w:r w:rsidRPr="004D4EDD">
        <w:rPr>
          <w:i/>
          <w:iCs/>
        </w:rPr>
        <w:t xml:space="preserve">Zeposia </w:t>
      </w:r>
      <w:r w:rsidR="005F15EE" w:rsidRPr="004D4EDD">
        <w:rPr>
          <w:i/>
          <w:iCs/>
        </w:rPr>
        <w:t>is indicated for the treatment of adult patients with relapsing forms of multiple sclerosis.</w:t>
      </w:r>
    </w:p>
    <w:p w14:paraId="3342B6D0" w14:textId="1FD7B811" w:rsidR="00332715" w:rsidRPr="004D4EDD" w:rsidRDefault="00332715" w:rsidP="00332715">
      <w:r w:rsidRPr="004D4EDD">
        <w:t xml:space="preserve">At the time the TGA considered this </w:t>
      </w:r>
      <w:r w:rsidR="00BB0B78" w:rsidRPr="004D4EDD">
        <w:t>submission</w:t>
      </w:r>
      <w:r w:rsidRPr="004D4EDD">
        <w:t xml:space="preserve">, similar </w:t>
      </w:r>
      <w:r w:rsidR="00BB0B78" w:rsidRPr="004D4EDD">
        <w:t>submission</w:t>
      </w:r>
      <w:r w:rsidR="003E4891" w:rsidRPr="004D4EDD">
        <w:t>s</w:t>
      </w:r>
      <w:r w:rsidRPr="004D4EDD">
        <w:t xml:space="preserve"> had been approved in </w:t>
      </w:r>
      <w:r w:rsidR="003E4891" w:rsidRPr="004D4EDD">
        <w:t>European Union</w:t>
      </w:r>
      <w:r w:rsidR="00313F58" w:rsidRPr="004D4EDD">
        <w:t xml:space="preserve"> (EU)</w:t>
      </w:r>
      <w:r w:rsidR="003E4891" w:rsidRPr="004D4EDD">
        <w:t xml:space="preserve"> </w:t>
      </w:r>
      <w:r w:rsidRPr="004D4EDD">
        <w:t xml:space="preserve">on </w:t>
      </w:r>
      <w:r w:rsidR="003E4891" w:rsidRPr="004D4EDD">
        <w:t>18 November 2021 and United States of America</w:t>
      </w:r>
      <w:r w:rsidR="00313F58" w:rsidRPr="004D4EDD">
        <w:t xml:space="preserve"> (USA)</w:t>
      </w:r>
      <w:r w:rsidR="003E4891" w:rsidRPr="004D4EDD">
        <w:t xml:space="preserve"> on 27</w:t>
      </w:r>
      <w:r w:rsidR="00313F58" w:rsidRPr="004D4EDD">
        <w:t> </w:t>
      </w:r>
      <w:r w:rsidR="003E4891" w:rsidRPr="004D4EDD">
        <w:t>May 2021</w:t>
      </w:r>
      <w:r w:rsidRPr="004D4EDD">
        <w:t xml:space="preserve">. </w:t>
      </w:r>
      <w:r w:rsidR="003E4891" w:rsidRPr="004D4EDD">
        <w:t>S</w:t>
      </w:r>
      <w:r w:rsidRPr="004D4EDD">
        <w:t xml:space="preserve">imilar </w:t>
      </w:r>
      <w:r w:rsidR="00BB0B78" w:rsidRPr="004D4EDD">
        <w:t>submission</w:t>
      </w:r>
      <w:r w:rsidR="003E4891" w:rsidRPr="004D4EDD">
        <w:t>s</w:t>
      </w:r>
      <w:r w:rsidRPr="004D4EDD">
        <w:t xml:space="preserve"> </w:t>
      </w:r>
      <w:r w:rsidR="003E4891" w:rsidRPr="004D4EDD">
        <w:t>were</w:t>
      </w:r>
      <w:r w:rsidRPr="004D4EDD">
        <w:t xml:space="preserve"> under consideration in </w:t>
      </w:r>
      <w:r w:rsidR="003E4891" w:rsidRPr="004D4EDD">
        <w:t xml:space="preserve">Canada </w:t>
      </w:r>
      <w:r w:rsidRPr="004D4EDD">
        <w:t xml:space="preserve">(submitted on </w:t>
      </w:r>
      <w:r w:rsidR="003E4891" w:rsidRPr="004D4EDD">
        <w:t>29</w:t>
      </w:r>
      <w:r w:rsidR="00313F58" w:rsidRPr="004D4EDD">
        <w:t> </w:t>
      </w:r>
      <w:r w:rsidR="003E4891" w:rsidRPr="004D4EDD">
        <w:t>January 2021</w:t>
      </w:r>
      <w:r w:rsidRPr="004D4EDD">
        <w:t>)</w:t>
      </w:r>
      <w:r w:rsidR="003E4891" w:rsidRPr="004D4EDD">
        <w:t xml:space="preserve"> and Switzerland (submitted on 21 December 2020)</w:t>
      </w:r>
      <w:r w:rsidRPr="004D4EDD">
        <w:t>.</w:t>
      </w:r>
    </w:p>
    <w:p w14:paraId="4A2A1406" w14:textId="77777777" w:rsidR="00332715" w:rsidRPr="004D4EDD" w:rsidRDefault="0072292E" w:rsidP="00332715">
      <w:r w:rsidRPr="004D4EDD">
        <w:t xml:space="preserve">The following table </w:t>
      </w:r>
      <w:r w:rsidR="00332715" w:rsidRPr="004D4EDD">
        <w:t xml:space="preserve">summarises these </w:t>
      </w:r>
      <w:r w:rsidR="00BB0B78" w:rsidRPr="004D4EDD">
        <w:t>submissions</w:t>
      </w:r>
      <w:r w:rsidR="00332715" w:rsidRPr="004D4EDD">
        <w:t xml:space="preserve"> and provides the indications where approved.</w:t>
      </w:r>
    </w:p>
    <w:p w14:paraId="4B4F0B5C" w14:textId="0E3AEF5F" w:rsidR="00324E45" w:rsidRPr="004D4EDD" w:rsidRDefault="00324E45" w:rsidP="00ED4392">
      <w:pPr>
        <w:pStyle w:val="TableTitle"/>
      </w:pPr>
      <w:bookmarkStart w:id="22" w:name="_Ref99705479"/>
      <w:r w:rsidRPr="004D4EDD">
        <w:t xml:space="preserve">Table </w:t>
      </w:r>
      <w:r w:rsidR="009C0FB4">
        <w:fldChar w:fldCharType="begin"/>
      </w:r>
      <w:r w:rsidR="009C0FB4">
        <w:instrText xml:space="preserve"> SEQ Table \* ARABIC </w:instrText>
      </w:r>
      <w:r w:rsidR="009C0FB4">
        <w:fldChar w:fldCharType="separate"/>
      </w:r>
      <w:r w:rsidR="004D4EDD">
        <w:rPr>
          <w:noProof/>
        </w:rPr>
        <w:t>1</w:t>
      </w:r>
      <w:r w:rsidR="009C0FB4">
        <w:rPr>
          <w:noProof/>
        </w:rPr>
        <w:fldChar w:fldCharType="end"/>
      </w:r>
      <w:bookmarkEnd w:id="22"/>
      <w:r w:rsidRPr="004D4EDD">
        <w:t>: International regulatory status</w:t>
      </w:r>
    </w:p>
    <w:tbl>
      <w:tblPr>
        <w:tblStyle w:val="TableTGAblue"/>
        <w:tblW w:w="0" w:type="auto"/>
        <w:tblLook w:val="04A0" w:firstRow="1" w:lastRow="0" w:firstColumn="1" w:lastColumn="0" w:noHBand="0" w:noVBand="1"/>
      </w:tblPr>
      <w:tblGrid>
        <w:gridCol w:w="1585"/>
        <w:gridCol w:w="2201"/>
        <w:gridCol w:w="2201"/>
        <w:gridCol w:w="2507"/>
      </w:tblGrid>
      <w:tr w:rsidR="00006FAB" w:rsidRPr="004D4EDD" w14:paraId="5401F677" w14:textId="77777777" w:rsidTr="00313F58">
        <w:trPr>
          <w:cnfStyle w:val="100000000000" w:firstRow="1" w:lastRow="0" w:firstColumn="0" w:lastColumn="0" w:oddVBand="0" w:evenVBand="0" w:oddHBand="0" w:evenHBand="0" w:firstRowFirstColumn="0" w:firstRowLastColumn="0" w:lastRowFirstColumn="0" w:lastRowLastColumn="0"/>
        </w:trPr>
        <w:tc>
          <w:tcPr>
            <w:tcW w:w="1585" w:type="dxa"/>
            <w:tcBorders>
              <w:top w:val="single" w:sz="4" w:space="0" w:color="auto"/>
              <w:left w:val="single" w:sz="4" w:space="0" w:color="auto"/>
              <w:bottom w:val="single" w:sz="4" w:space="0" w:color="auto"/>
              <w:right w:val="single" w:sz="4" w:space="0" w:color="auto"/>
            </w:tcBorders>
          </w:tcPr>
          <w:p w14:paraId="3273B8D1" w14:textId="77777777" w:rsidR="00006FAB" w:rsidRPr="004D4EDD" w:rsidRDefault="00006FAB" w:rsidP="00006FAB">
            <w:pPr>
              <w:ind w:left="0" w:right="0"/>
            </w:pPr>
            <w:r w:rsidRPr="004D4EDD">
              <w:t>Region</w:t>
            </w:r>
          </w:p>
        </w:tc>
        <w:tc>
          <w:tcPr>
            <w:tcW w:w="2201" w:type="dxa"/>
            <w:tcBorders>
              <w:top w:val="single" w:sz="4" w:space="0" w:color="auto"/>
              <w:left w:val="single" w:sz="4" w:space="0" w:color="auto"/>
              <w:bottom w:val="single" w:sz="4" w:space="0" w:color="auto"/>
              <w:right w:val="single" w:sz="4" w:space="0" w:color="auto"/>
            </w:tcBorders>
          </w:tcPr>
          <w:p w14:paraId="1C85EF16" w14:textId="77777777" w:rsidR="00006FAB" w:rsidRPr="004D4EDD" w:rsidRDefault="00006FAB" w:rsidP="00006FAB">
            <w:pPr>
              <w:ind w:left="0" w:right="0"/>
            </w:pPr>
            <w:r w:rsidRPr="004D4EDD">
              <w:t>Submission date</w:t>
            </w:r>
          </w:p>
        </w:tc>
        <w:tc>
          <w:tcPr>
            <w:tcW w:w="2201" w:type="dxa"/>
            <w:tcBorders>
              <w:top w:val="single" w:sz="4" w:space="0" w:color="auto"/>
              <w:left w:val="single" w:sz="4" w:space="0" w:color="auto"/>
              <w:bottom w:val="single" w:sz="4" w:space="0" w:color="auto"/>
              <w:right w:val="single" w:sz="4" w:space="0" w:color="auto"/>
            </w:tcBorders>
          </w:tcPr>
          <w:p w14:paraId="5931EB91" w14:textId="77777777" w:rsidR="00006FAB" w:rsidRPr="004D4EDD" w:rsidRDefault="00006FAB" w:rsidP="00006FAB">
            <w:pPr>
              <w:ind w:left="0" w:right="0"/>
            </w:pPr>
            <w:r w:rsidRPr="004D4EDD">
              <w:t>Status</w:t>
            </w:r>
          </w:p>
        </w:tc>
        <w:tc>
          <w:tcPr>
            <w:tcW w:w="2507" w:type="dxa"/>
            <w:tcBorders>
              <w:top w:val="single" w:sz="4" w:space="0" w:color="auto"/>
              <w:left w:val="single" w:sz="4" w:space="0" w:color="auto"/>
              <w:bottom w:val="single" w:sz="4" w:space="0" w:color="auto"/>
              <w:right w:val="single" w:sz="4" w:space="0" w:color="auto"/>
            </w:tcBorders>
          </w:tcPr>
          <w:p w14:paraId="6B270BF0" w14:textId="77777777" w:rsidR="00006FAB" w:rsidRPr="004D4EDD" w:rsidRDefault="00006FAB" w:rsidP="00006FAB">
            <w:pPr>
              <w:ind w:left="0" w:right="0"/>
            </w:pPr>
            <w:r w:rsidRPr="004D4EDD">
              <w:t>Approved indications</w:t>
            </w:r>
          </w:p>
        </w:tc>
      </w:tr>
      <w:tr w:rsidR="00006FAB" w:rsidRPr="004D4EDD" w14:paraId="387FA25C" w14:textId="77777777" w:rsidTr="00313F58">
        <w:tc>
          <w:tcPr>
            <w:tcW w:w="1585" w:type="dxa"/>
            <w:tcBorders>
              <w:top w:val="single" w:sz="4" w:space="0" w:color="auto"/>
            </w:tcBorders>
          </w:tcPr>
          <w:p w14:paraId="6A590BDE" w14:textId="53954058" w:rsidR="00006FAB" w:rsidRPr="004D4EDD" w:rsidRDefault="003E4891" w:rsidP="00006FAB">
            <w:pPr>
              <w:ind w:left="0" w:right="0"/>
            </w:pPr>
            <w:r w:rsidRPr="004D4EDD">
              <w:t>European Union</w:t>
            </w:r>
          </w:p>
        </w:tc>
        <w:tc>
          <w:tcPr>
            <w:tcW w:w="2201" w:type="dxa"/>
            <w:tcBorders>
              <w:top w:val="single" w:sz="4" w:space="0" w:color="auto"/>
            </w:tcBorders>
          </w:tcPr>
          <w:p w14:paraId="75293F47" w14:textId="4F672877" w:rsidR="00006FAB" w:rsidRPr="004D4EDD" w:rsidRDefault="003E4891" w:rsidP="003E4891">
            <w:pPr>
              <w:ind w:left="0"/>
            </w:pPr>
            <w:r w:rsidRPr="004D4EDD">
              <w:t>24</w:t>
            </w:r>
            <w:r w:rsidR="00313F58" w:rsidRPr="004D4EDD">
              <w:t> </w:t>
            </w:r>
            <w:r w:rsidRPr="004D4EDD">
              <w:t>November</w:t>
            </w:r>
            <w:r w:rsidR="00313F58" w:rsidRPr="004D4EDD">
              <w:t> </w:t>
            </w:r>
            <w:r w:rsidRPr="004D4EDD">
              <w:t>2020</w:t>
            </w:r>
          </w:p>
        </w:tc>
        <w:tc>
          <w:tcPr>
            <w:tcW w:w="2201" w:type="dxa"/>
            <w:tcBorders>
              <w:top w:val="single" w:sz="4" w:space="0" w:color="auto"/>
            </w:tcBorders>
          </w:tcPr>
          <w:p w14:paraId="4A6D7BC1" w14:textId="4D41EAD5" w:rsidR="00006FAB" w:rsidRPr="004D4EDD" w:rsidRDefault="00006FAB" w:rsidP="003E4891">
            <w:pPr>
              <w:ind w:left="0"/>
            </w:pPr>
            <w:r w:rsidRPr="004D4EDD">
              <w:t xml:space="preserve">Approved on </w:t>
            </w:r>
            <w:r w:rsidR="003E4891" w:rsidRPr="004D4EDD">
              <w:t>18</w:t>
            </w:r>
            <w:r w:rsidR="00313F58" w:rsidRPr="004D4EDD">
              <w:t> </w:t>
            </w:r>
            <w:r w:rsidR="003E4891" w:rsidRPr="004D4EDD">
              <w:t>November</w:t>
            </w:r>
            <w:r w:rsidR="00313F58" w:rsidRPr="004D4EDD">
              <w:t> </w:t>
            </w:r>
            <w:r w:rsidR="003E4891" w:rsidRPr="004D4EDD">
              <w:t>2021</w:t>
            </w:r>
          </w:p>
        </w:tc>
        <w:tc>
          <w:tcPr>
            <w:tcW w:w="2507" w:type="dxa"/>
            <w:tcBorders>
              <w:top w:val="single" w:sz="4" w:space="0" w:color="auto"/>
            </w:tcBorders>
          </w:tcPr>
          <w:p w14:paraId="653189C8" w14:textId="0E0F2921" w:rsidR="00006FAB" w:rsidRPr="004D4EDD" w:rsidRDefault="003E4891" w:rsidP="003E4891">
            <w:pPr>
              <w:ind w:left="0"/>
              <w:rPr>
                <w:i/>
                <w:iCs/>
              </w:rPr>
            </w:pPr>
            <w:r w:rsidRPr="004D4EDD">
              <w:rPr>
                <w:i/>
                <w:iCs/>
              </w:rPr>
              <w:t>Zeposia is indicated for the treatment of adult patients with moderately to severely active ulcerative colitis (UC) who have had an inadequate response, lost response, or were intolerant to either conventional therapy or a biologic agent.</w:t>
            </w:r>
          </w:p>
        </w:tc>
      </w:tr>
      <w:tr w:rsidR="003E4891" w:rsidRPr="004D4EDD" w14:paraId="59EEE6FE" w14:textId="77777777" w:rsidTr="00313F58">
        <w:tc>
          <w:tcPr>
            <w:tcW w:w="1585" w:type="dxa"/>
            <w:tcBorders>
              <w:top w:val="single" w:sz="4" w:space="0" w:color="auto"/>
            </w:tcBorders>
          </w:tcPr>
          <w:p w14:paraId="4AAB0EED" w14:textId="31D494B8" w:rsidR="003E4891" w:rsidRPr="004D4EDD" w:rsidRDefault="003E4891" w:rsidP="003E4891">
            <w:pPr>
              <w:ind w:left="0"/>
            </w:pPr>
            <w:r w:rsidRPr="004D4EDD">
              <w:t>United States of America</w:t>
            </w:r>
          </w:p>
        </w:tc>
        <w:tc>
          <w:tcPr>
            <w:tcW w:w="2201" w:type="dxa"/>
            <w:tcBorders>
              <w:top w:val="single" w:sz="4" w:space="0" w:color="auto"/>
            </w:tcBorders>
          </w:tcPr>
          <w:p w14:paraId="1F6876C9" w14:textId="5D657D26" w:rsidR="003E4891" w:rsidRPr="004D4EDD" w:rsidRDefault="003E4891" w:rsidP="003E4891">
            <w:pPr>
              <w:ind w:left="0"/>
            </w:pPr>
            <w:r w:rsidRPr="004D4EDD">
              <w:t>30</w:t>
            </w:r>
            <w:r w:rsidR="00313F58" w:rsidRPr="004D4EDD">
              <w:t> </w:t>
            </w:r>
            <w:r w:rsidRPr="004D4EDD">
              <w:t>November</w:t>
            </w:r>
            <w:r w:rsidR="00313F58" w:rsidRPr="004D4EDD">
              <w:t> </w:t>
            </w:r>
            <w:r w:rsidRPr="004D4EDD">
              <w:t>2020</w:t>
            </w:r>
          </w:p>
        </w:tc>
        <w:tc>
          <w:tcPr>
            <w:tcW w:w="2201" w:type="dxa"/>
            <w:tcBorders>
              <w:top w:val="single" w:sz="4" w:space="0" w:color="auto"/>
            </w:tcBorders>
          </w:tcPr>
          <w:p w14:paraId="05A1CAF3" w14:textId="74CFD019" w:rsidR="003E4891" w:rsidRPr="004D4EDD" w:rsidRDefault="003E4891" w:rsidP="003E4891">
            <w:pPr>
              <w:ind w:left="0"/>
            </w:pPr>
            <w:r w:rsidRPr="004D4EDD">
              <w:t>Approved on 27</w:t>
            </w:r>
            <w:r w:rsidR="00313F58" w:rsidRPr="004D4EDD">
              <w:t> </w:t>
            </w:r>
            <w:r w:rsidRPr="004D4EDD">
              <w:t>May</w:t>
            </w:r>
            <w:r w:rsidR="00313F58" w:rsidRPr="004D4EDD">
              <w:t> </w:t>
            </w:r>
            <w:r w:rsidRPr="004D4EDD">
              <w:t>2021</w:t>
            </w:r>
          </w:p>
        </w:tc>
        <w:tc>
          <w:tcPr>
            <w:tcW w:w="2507" w:type="dxa"/>
            <w:tcBorders>
              <w:top w:val="single" w:sz="4" w:space="0" w:color="auto"/>
            </w:tcBorders>
          </w:tcPr>
          <w:p w14:paraId="2AF37C28" w14:textId="5FCCF20E" w:rsidR="003E4891" w:rsidRPr="004D4EDD" w:rsidRDefault="000E44DE" w:rsidP="00313F58">
            <w:pPr>
              <w:ind w:left="0"/>
            </w:pPr>
            <w:r w:rsidRPr="004D4EDD">
              <w:rPr>
                <w:i/>
                <w:iCs/>
              </w:rPr>
              <w:t xml:space="preserve">Zeposia </w:t>
            </w:r>
            <w:r w:rsidR="003E4891" w:rsidRPr="004D4EDD">
              <w:rPr>
                <w:i/>
                <w:iCs/>
              </w:rPr>
              <w:t xml:space="preserve">(ozanimod) is indicated for the treatment </w:t>
            </w:r>
            <w:proofErr w:type="gramStart"/>
            <w:r w:rsidR="003E4891" w:rsidRPr="004D4EDD">
              <w:rPr>
                <w:i/>
                <w:iCs/>
              </w:rPr>
              <w:t>of:</w:t>
            </w:r>
            <w:proofErr w:type="gramEnd"/>
            <w:r w:rsidR="00313F58" w:rsidRPr="004D4EDD">
              <w:rPr>
                <w:i/>
                <w:iCs/>
              </w:rPr>
              <w:t xml:space="preserve"> </w:t>
            </w:r>
            <w:r w:rsidR="003E4891" w:rsidRPr="004D4EDD">
              <w:rPr>
                <w:i/>
                <w:iCs/>
              </w:rPr>
              <w:t>moderately to severely active ulcerative colitis (UC) in adults.</w:t>
            </w:r>
          </w:p>
        </w:tc>
      </w:tr>
      <w:tr w:rsidR="00006FAB" w:rsidRPr="004D4EDD" w14:paraId="17FA5F04" w14:textId="77777777" w:rsidTr="00313F58">
        <w:tc>
          <w:tcPr>
            <w:tcW w:w="1585" w:type="dxa"/>
          </w:tcPr>
          <w:p w14:paraId="1384820F" w14:textId="7AF877FE" w:rsidR="00006FAB" w:rsidRPr="004D4EDD" w:rsidRDefault="003E4891" w:rsidP="00006FAB">
            <w:pPr>
              <w:ind w:left="0" w:right="0"/>
            </w:pPr>
            <w:r w:rsidRPr="004D4EDD">
              <w:t>Canada</w:t>
            </w:r>
          </w:p>
        </w:tc>
        <w:tc>
          <w:tcPr>
            <w:tcW w:w="2201" w:type="dxa"/>
          </w:tcPr>
          <w:p w14:paraId="5D7E3CBC" w14:textId="00F68292" w:rsidR="00006FAB" w:rsidRPr="004D4EDD" w:rsidRDefault="003E4891" w:rsidP="00006FAB">
            <w:pPr>
              <w:ind w:left="0" w:right="0"/>
            </w:pPr>
            <w:r w:rsidRPr="004D4EDD">
              <w:t>29</w:t>
            </w:r>
            <w:r w:rsidR="00313F58" w:rsidRPr="004D4EDD">
              <w:t> </w:t>
            </w:r>
            <w:r w:rsidRPr="004D4EDD">
              <w:t>January</w:t>
            </w:r>
            <w:r w:rsidR="00313F58" w:rsidRPr="004D4EDD">
              <w:t> </w:t>
            </w:r>
            <w:r w:rsidRPr="004D4EDD">
              <w:t>2021</w:t>
            </w:r>
          </w:p>
        </w:tc>
        <w:tc>
          <w:tcPr>
            <w:tcW w:w="2201" w:type="dxa"/>
          </w:tcPr>
          <w:p w14:paraId="4EECD67B" w14:textId="77777777" w:rsidR="00006FAB" w:rsidRPr="004D4EDD" w:rsidRDefault="00006FAB" w:rsidP="00006FAB">
            <w:pPr>
              <w:ind w:left="0" w:right="0"/>
            </w:pPr>
            <w:r w:rsidRPr="004D4EDD">
              <w:t>Under consideration</w:t>
            </w:r>
          </w:p>
        </w:tc>
        <w:tc>
          <w:tcPr>
            <w:tcW w:w="2507" w:type="dxa"/>
          </w:tcPr>
          <w:p w14:paraId="6EED12E2" w14:textId="77777777" w:rsidR="00006FAB" w:rsidRPr="004D4EDD" w:rsidRDefault="00006FAB" w:rsidP="00006FAB">
            <w:pPr>
              <w:ind w:left="0" w:right="0"/>
            </w:pPr>
            <w:r w:rsidRPr="004D4EDD">
              <w:t>Under consideration</w:t>
            </w:r>
          </w:p>
        </w:tc>
      </w:tr>
      <w:tr w:rsidR="003E4891" w:rsidRPr="004D4EDD" w14:paraId="6A76F1CC" w14:textId="77777777" w:rsidTr="00313F58">
        <w:tc>
          <w:tcPr>
            <w:tcW w:w="1585" w:type="dxa"/>
          </w:tcPr>
          <w:p w14:paraId="725E117A" w14:textId="00A86B1B" w:rsidR="003E4891" w:rsidRPr="004D4EDD" w:rsidRDefault="003E4891" w:rsidP="003E4891">
            <w:pPr>
              <w:ind w:left="0"/>
            </w:pPr>
            <w:r w:rsidRPr="004D4EDD">
              <w:t>Switzerland</w:t>
            </w:r>
          </w:p>
        </w:tc>
        <w:tc>
          <w:tcPr>
            <w:tcW w:w="2201" w:type="dxa"/>
          </w:tcPr>
          <w:p w14:paraId="1DD15A7A" w14:textId="6521DA3F" w:rsidR="003E4891" w:rsidRPr="004D4EDD" w:rsidRDefault="003E4891" w:rsidP="003E4891">
            <w:pPr>
              <w:ind w:left="0"/>
            </w:pPr>
            <w:r w:rsidRPr="004D4EDD">
              <w:t>21</w:t>
            </w:r>
            <w:r w:rsidR="00313F58" w:rsidRPr="004D4EDD">
              <w:t> </w:t>
            </w:r>
            <w:r w:rsidRPr="004D4EDD">
              <w:t>December</w:t>
            </w:r>
            <w:r w:rsidR="00313F58" w:rsidRPr="004D4EDD">
              <w:t> </w:t>
            </w:r>
            <w:r w:rsidRPr="004D4EDD">
              <w:t>2020</w:t>
            </w:r>
          </w:p>
        </w:tc>
        <w:tc>
          <w:tcPr>
            <w:tcW w:w="2201" w:type="dxa"/>
          </w:tcPr>
          <w:p w14:paraId="0388B631" w14:textId="0515B09D" w:rsidR="003E4891" w:rsidRPr="004D4EDD" w:rsidRDefault="003E4891" w:rsidP="003E4891">
            <w:pPr>
              <w:ind w:left="0"/>
            </w:pPr>
            <w:r w:rsidRPr="004D4EDD">
              <w:t>Under consideration</w:t>
            </w:r>
          </w:p>
        </w:tc>
        <w:tc>
          <w:tcPr>
            <w:tcW w:w="2507" w:type="dxa"/>
          </w:tcPr>
          <w:p w14:paraId="2EC22E4C" w14:textId="2C252AD0" w:rsidR="003E4891" w:rsidRPr="004D4EDD" w:rsidRDefault="003E4891" w:rsidP="003E4891">
            <w:pPr>
              <w:ind w:left="0"/>
            </w:pPr>
            <w:r w:rsidRPr="004D4EDD">
              <w:t>Under consideration</w:t>
            </w:r>
          </w:p>
        </w:tc>
      </w:tr>
    </w:tbl>
    <w:p w14:paraId="7B1BDA1E" w14:textId="77777777" w:rsidR="008E7846" w:rsidRPr="004D4EDD" w:rsidRDefault="008E7846" w:rsidP="00940A89">
      <w:pPr>
        <w:pStyle w:val="Heading3"/>
      </w:pPr>
      <w:bookmarkStart w:id="23" w:name="_Toc113536190"/>
      <w:r w:rsidRPr="004D4EDD">
        <w:t>Product Information</w:t>
      </w:r>
      <w:bookmarkEnd w:id="19"/>
      <w:bookmarkEnd w:id="20"/>
      <w:bookmarkEnd w:id="23"/>
    </w:p>
    <w:p w14:paraId="768B9D8B" w14:textId="13FC69B8" w:rsidR="00332715" w:rsidRPr="004D4EDD" w:rsidRDefault="00332715" w:rsidP="00332715">
      <w:bookmarkStart w:id="24" w:name="_Toc504480011"/>
      <w:bookmarkStart w:id="25" w:name="_Toc247691506"/>
      <w:bookmarkStart w:id="26" w:name="_Toc314842487"/>
      <w:r w:rsidRPr="004D4EDD">
        <w:t xml:space="preserve">The Product Information (PI) approved with the submission which is described in this AusPAR can be found as Attachment 1. For the most recent PI, please refer to the TGA </w:t>
      </w:r>
      <w:hyperlink r:id="rId15" w:history="1">
        <w:r w:rsidRPr="004D4EDD">
          <w:rPr>
            <w:rStyle w:val="Hyperlink"/>
          </w:rPr>
          <w:t>PI/CMI search facility</w:t>
        </w:r>
        <w:r w:rsidRPr="004D4EDD">
          <w:rPr>
            <w:rStyle w:val="Hyperlink"/>
            <w:color w:val="auto"/>
            <w:u w:val="none"/>
          </w:rPr>
          <w:t>.</w:t>
        </w:r>
      </w:hyperlink>
    </w:p>
    <w:p w14:paraId="41E496A4" w14:textId="77777777" w:rsidR="00500337" w:rsidRPr="004D4EDD" w:rsidRDefault="00500337" w:rsidP="00500337">
      <w:pPr>
        <w:pStyle w:val="Heading2"/>
      </w:pPr>
      <w:bookmarkStart w:id="27" w:name="_Toc113536191"/>
      <w:r w:rsidRPr="004D4EDD">
        <w:lastRenderedPageBreak/>
        <w:t>Registration timeline</w:t>
      </w:r>
      <w:bookmarkEnd w:id="24"/>
      <w:bookmarkEnd w:id="27"/>
    </w:p>
    <w:p w14:paraId="7973EFD6" w14:textId="77777777" w:rsidR="0074163C" w:rsidRPr="004D4EDD" w:rsidRDefault="0074163C" w:rsidP="0074163C">
      <w:r w:rsidRPr="004D4EDD">
        <w:t xml:space="preserve">The following table captures the key steps and dates for this </w:t>
      </w:r>
      <w:r w:rsidR="00804D99" w:rsidRPr="004D4EDD">
        <w:t>submission</w:t>
      </w:r>
      <w:r w:rsidRPr="004D4EDD">
        <w:t>.</w:t>
      </w:r>
    </w:p>
    <w:p w14:paraId="0BEA7AAA" w14:textId="27B71230" w:rsidR="0074163C" w:rsidRPr="004D4EDD" w:rsidRDefault="0074163C" w:rsidP="00ED4392">
      <w:pPr>
        <w:pStyle w:val="TableTitle"/>
      </w:pPr>
      <w:r w:rsidRPr="004D4EDD">
        <w:t xml:space="preserve">Table </w:t>
      </w:r>
      <w:r w:rsidR="009C0FB4">
        <w:fldChar w:fldCharType="begin"/>
      </w:r>
      <w:r w:rsidR="009C0FB4">
        <w:instrText xml:space="preserve"> SEQ Table \* ARABIC </w:instrText>
      </w:r>
      <w:r w:rsidR="009C0FB4">
        <w:fldChar w:fldCharType="separate"/>
      </w:r>
      <w:r w:rsidR="004D4EDD">
        <w:rPr>
          <w:noProof/>
        </w:rPr>
        <w:t>2</w:t>
      </w:r>
      <w:r w:rsidR="009C0FB4">
        <w:rPr>
          <w:noProof/>
        </w:rPr>
        <w:fldChar w:fldCharType="end"/>
      </w:r>
      <w:r w:rsidRPr="004D4EDD">
        <w:t xml:space="preserve">: Timeline for Submission </w:t>
      </w:r>
      <w:r w:rsidR="00B02F83" w:rsidRPr="004D4EDD">
        <w:t>PM-2021-00444-1-1</w:t>
      </w:r>
    </w:p>
    <w:tbl>
      <w:tblPr>
        <w:tblStyle w:val="TableTGAblue"/>
        <w:tblW w:w="0" w:type="auto"/>
        <w:tblLook w:val="04A0" w:firstRow="1" w:lastRow="0" w:firstColumn="1" w:lastColumn="0" w:noHBand="0" w:noVBand="1"/>
      </w:tblPr>
      <w:tblGrid>
        <w:gridCol w:w="4265"/>
        <w:gridCol w:w="4229"/>
      </w:tblGrid>
      <w:tr w:rsidR="0074163C" w:rsidRPr="004D4EDD" w14:paraId="534BEB38" w14:textId="77777777" w:rsidTr="00B02F83">
        <w:trPr>
          <w:cnfStyle w:val="100000000000" w:firstRow="1" w:lastRow="0" w:firstColumn="0" w:lastColumn="0" w:oddVBand="0" w:evenVBand="0" w:oddHBand="0" w:evenHBand="0" w:firstRowFirstColumn="0" w:firstRowLastColumn="0" w:lastRowFirstColumn="0" w:lastRowLastColumn="0"/>
        </w:trPr>
        <w:tc>
          <w:tcPr>
            <w:tcW w:w="4265" w:type="dxa"/>
            <w:tcBorders>
              <w:top w:val="single" w:sz="4" w:space="0" w:color="auto"/>
              <w:left w:val="single" w:sz="4" w:space="0" w:color="auto"/>
              <w:bottom w:val="single" w:sz="4" w:space="0" w:color="auto"/>
              <w:right w:val="single" w:sz="4" w:space="0" w:color="auto"/>
            </w:tcBorders>
          </w:tcPr>
          <w:p w14:paraId="1FFED046" w14:textId="77777777" w:rsidR="0074163C" w:rsidRPr="004D4EDD" w:rsidRDefault="0074163C" w:rsidP="009E5A87">
            <w:r w:rsidRPr="004D4EDD">
              <w:t>Description</w:t>
            </w:r>
          </w:p>
        </w:tc>
        <w:tc>
          <w:tcPr>
            <w:tcW w:w="4229" w:type="dxa"/>
            <w:tcBorders>
              <w:top w:val="single" w:sz="4" w:space="0" w:color="auto"/>
              <w:left w:val="single" w:sz="4" w:space="0" w:color="auto"/>
              <w:bottom w:val="single" w:sz="4" w:space="0" w:color="auto"/>
              <w:right w:val="single" w:sz="4" w:space="0" w:color="auto"/>
            </w:tcBorders>
          </w:tcPr>
          <w:p w14:paraId="0D88C721" w14:textId="77777777" w:rsidR="0074163C" w:rsidRPr="004D4EDD" w:rsidRDefault="0074163C" w:rsidP="009E5A87">
            <w:r w:rsidRPr="004D4EDD">
              <w:t>Date</w:t>
            </w:r>
          </w:p>
        </w:tc>
      </w:tr>
      <w:tr w:rsidR="0074163C" w:rsidRPr="004D4EDD" w14:paraId="29BCF7BB" w14:textId="77777777" w:rsidTr="00B02F83">
        <w:tc>
          <w:tcPr>
            <w:tcW w:w="4265" w:type="dxa"/>
            <w:tcBorders>
              <w:top w:val="single" w:sz="4" w:space="0" w:color="auto"/>
            </w:tcBorders>
          </w:tcPr>
          <w:p w14:paraId="228B9FF5" w14:textId="77777777" w:rsidR="0074163C" w:rsidRPr="004D4EDD" w:rsidRDefault="0074163C" w:rsidP="009E5A87">
            <w:r w:rsidRPr="004D4EDD">
              <w:t>Submission dossier accepted and first round evaluation commenced</w:t>
            </w:r>
          </w:p>
        </w:tc>
        <w:tc>
          <w:tcPr>
            <w:tcW w:w="4229" w:type="dxa"/>
            <w:tcBorders>
              <w:top w:val="single" w:sz="4" w:space="0" w:color="auto"/>
            </w:tcBorders>
          </w:tcPr>
          <w:p w14:paraId="618440F6" w14:textId="4E38A109" w:rsidR="0074163C" w:rsidRPr="004D4EDD" w:rsidRDefault="003E4891" w:rsidP="009E5A87">
            <w:r w:rsidRPr="004D4EDD">
              <w:t>31 March 2021</w:t>
            </w:r>
          </w:p>
        </w:tc>
      </w:tr>
      <w:tr w:rsidR="0074163C" w:rsidRPr="004D4EDD" w14:paraId="1BC4A90F" w14:textId="77777777" w:rsidTr="00B02F83">
        <w:tc>
          <w:tcPr>
            <w:tcW w:w="4265" w:type="dxa"/>
          </w:tcPr>
          <w:p w14:paraId="51789D05" w14:textId="77777777" w:rsidR="0074163C" w:rsidRPr="004D4EDD" w:rsidRDefault="0074163C" w:rsidP="009E5A87">
            <w:r w:rsidRPr="004D4EDD">
              <w:t>First round evaluation completed</w:t>
            </w:r>
          </w:p>
        </w:tc>
        <w:tc>
          <w:tcPr>
            <w:tcW w:w="4229" w:type="dxa"/>
          </w:tcPr>
          <w:p w14:paraId="1B2CABB9" w14:textId="6B3ADAFD" w:rsidR="0074163C" w:rsidRPr="004D4EDD" w:rsidRDefault="003E4891" w:rsidP="009E5A87">
            <w:r w:rsidRPr="004D4EDD">
              <w:t>2 September 2021</w:t>
            </w:r>
          </w:p>
        </w:tc>
      </w:tr>
      <w:tr w:rsidR="0074163C" w:rsidRPr="004D4EDD" w14:paraId="503C7D80" w14:textId="77777777" w:rsidTr="00B02F83">
        <w:tc>
          <w:tcPr>
            <w:tcW w:w="4265" w:type="dxa"/>
          </w:tcPr>
          <w:p w14:paraId="6296578C" w14:textId="77777777" w:rsidR="0074163C" w:rsidRPr="004D4EDD" w:rsidRDefault="0074163C" w:rsidP="009E5A87">
            <w:r w:rsidRPr="004D4EDD">
              <w:t>Sponsor provides responses on questions raised in first round evaluation</w:t>
            </w:r>
          </w:p>
        </w:tc>
        <w:tc>
          <w:tcPr>
            <w:tcW w:w="4229" w:type="dxa"/>
          </w:tcPr>
          <w:p w14:paraId="3CA9916B" w14:textId="252CE8DF" w:rsidR="0074163C" w:rsidRPr="004D4EDD" w:rsidRDefault="003E4891" w:rsidP="009E5A87">
            <w:r w:rsidRPr="004D4EDD">
              <w:t>17 November 2021</w:t>
            </w:r>
          </w:p>
        </w:tc>
      </w:tr>
      <w:tr w:rsidR="0074163C" w:rsidRPr="004D4EDD" w14:paraId="113418E3" w14:textId="77777777" w:rsidTr="00B02F83">
        <w:tc>
          <w:tcPr>
            <w:tcW w:w="4265" w:type="dxa"/>
          </w:tcPr>
          <w:p w14:paraId="3BA78A37" w14:textId="77777777" w:rsidR="0074163C" w:rsidRPr="004D4EDD" w:rsidRDefault="0074163C" w:rsidP="009E5A87">
            <w:r w:rsidRPr="004D4EDD">
              <w:t>Second round evaluation completed</w:t>
            </w:r>
          </w:p>
        </w:tc>
        <w:tc>
          <w:tcPr>
            <w:tcW w:w="4229" w:type="dxa"/>
          </w:tcPr>
          <w:p w14:paraId="256E3D58" w14:textId="125FAD02" w:rsidR="0074163C" w:rsidRPr="004D4EDD" w:rsidRDefault="003E4891" w:rsidP="009E5A87">
            <w:r w:rsidRPr="004D4EDD">
              <w:t>23 November 2021</w:t>
            </w:r>
          </w:p>
        </w:tc>
      </w:tr>
      <w:tr w:rsidR="0074163C" w:rsidRPr="004D4EDD" w14:paraId="135C8B7D" w14:textId="77777777" w:rsidTr="00B02F83">
        <w:tc>
          <w:tcPr>
            <w:tcW w:w="4265" w:type="dxa"/>
          </w:tcPr>
          <w:p w14:paraId="16AB6D9F" w14:textId="68520F68" w:rsidR="0074163C" w:rsidRPr="004D4EDD" w:rsidRDefault="0074163C" w:rsidP="009E5A87">
            <w:r w:rsidRPr="004D4EDD">
              <w:t>Delegate’s Overall benefit-risk assessment and request for Advisory Committee advice</w:t>
            </w:r>
          </w:p>
        </w:tc>
        <w:tc>
          <w:tcPr>
            <w:tcW w:w="4229" w:type="dxa"/>
          </w:tcPr>
          <w:p w14:paraId="4999263B" w14:textId="64D6C650" w:rsidR="0074163C" w:rsidRPr="004D4EDD" w:rsidRDefault="003867FF" w:rsidP="009E5A87">
            <w:r w:rsidRPr="004D4EDD">
              <w:t>4 January 2022</w:t>
            </w:r>
          </w:p>
        </w:tc>
      </w:tr>
      <w:tr w:rsidR="0074163C" w:rsidRPr="004D4EDD" w14:paraId="42B37905" w14:textId="77777777" w:rsidTr="00B02F83">
        <w:tc>
          <w:tcPr>
            <w:tcW w:w="4265" w:type="dxa"/>
          </w:tcPr>
          <w:p w14:paraId="605FFD05" w14:textId="77777777" w:rsidR="0074163C" w:rsidRPr="004D4EDD" w:rsidRDefault="0074163C" w:rsidP="009E5A87">
            <w:r w:rsidRPr="004D4EDD">
              <w:t>Sponsor’s pre-Advisory Committee response</w:t>
            </w:r>
          </w:p>
        </w:tc>
        <w:tc>
          <w:tcPr>
            <w:tcW w:w="4229" w:type="dxa"/>
          </w:tcPr>
          <w:p w14:paraId="5D7A9503" w14:textId="0533F72C" w:rsidR="0074163C" w:rsidRPr="004D4EDD" w:rsidRDefault="003867FF" w:rsidP="009E5A87">
            <w:r w:rsidRPr="004D4EDD">
              <w:t>18 January 2022</w:t>
            </w:r>
          </w:p>
        </w:tc>
      </w:tr>
      <w:tr w:rsidR="0074163C" w:rsidRPr="004D4EDD" w14:paraId="7CD8AF54" w14:textId="77777777" w:rsidTr="00B02F83">
        <w:tc>
          <w:tcPr>
            <w:tcW w:w="4265" w:type="dxa"/>
          </w:tcPr>
          <w:p w14:paraId="7A3681FD" w14:textId="77777777" w:rsidR="0074163C" w:rsidRPr="004D4EDD" w:rsidRDefault="0074163C" w:rsidP="009E5A87">
            <w:r w:rsidRPr="004D4EDD">
              <w:t>Advisory Committee meeting</w:t>
            </w:r>
          </w:p>
        </w:tc>
        <w:tc>
          <w:tcPr>
            <w:tcW w:w="4229" w:type="dxa"/>
          </w:tcPr>
          <w:p w14:paraId="1825CA90" w14:textId="16CA9BB9" w:rsidR="0074163C" w:rsidRPr="004D4EDD" w:rsidRDefault="00C80FB5" w:rsidP="009E5A87">
            <w:r w:rsidRPr="004D4EDD">
              <w:t>3 and 4 February 2022</w:t>
            </w:r>
          </w:p>
        </w:tc>
      </w:tr>
      <w:tr w:rsidR="0074163C" w:rsidRPr="004D4EDD" w14:paraId="689B8B8C" w14:textId="77777777" w:rsidTr="00B02F83">
        <w:tc>
          <w:tcPr>
            <w:tcW w:w="4265" w:type="dxa"/>
          </w:tcPr>
          <w:p w14:paraId="1FCB327D" w14:textId="77777777" w:rsidR="0074163C" w:rsidRPr="004D4EDD" w:rsidRDefault="0074163C" w:rsidP="009E5A87">
            <w:r w:rsidRPr="004D4EDD">
              <w:t>Registration decision (Outcome)</w:t>
            </w:r>
          </w:p>
        </w:tc>
        <w:tc>
          <w:tcPr>
            <w:tcW w:w="4229" w:type="dxa"/>
          </w:tcPr>
          <w:p w14:paraId="515C9A62" w14:textId="0836ED31" w:rsidR="0074163C" w:rsidRPr="004D4EDD" w:rsidRDefault="00C80FB5" w:rsidP="009E5A87">
            <w:r w:rsidRPr="004D4EDD">
              <w:t>16 March 2022</w:t>
            </w:r>
          </w:p>
        </w:tc>
      </w:tr>
      <w:tr w:rsidR="0074163C" w:rsidRPr="004D4EDD" w14:paraId="28E14867" w14:textId="77777777" w:rsidTr="00B02F83">
        <w:tc>
          <w:tcPr>
            <w:tcW w:w="4265" w:type="dxa"/>
          </w:tcPr>
          <w:p w14:paraId="324573EB" w14:textId="77777777" w:rsidR="0074163C" w:rsidRPr="004D4EDD" w:rsidRDefault="0074163C" w:rsidP="009E5A87">
            <w:r w:rsidRPr="004D4EDD">
              <w:t>Completion of administrative activities and registration on the ARTG</w:t>
            </w:r>
          </w:p>
        </w:tc>
        <w:tc>
          <w:tcPr>
            <w:tcW w:w="4229" w:type="dxa"/>
          </w:tcPr>
          <w:p w14:paraId="2D7CD417" w14:textId="30C79BA4" w:rsidR="0074163C" w:rsidRPr="004D4EDD" w:rsidRDefault="00C80FB5" w:rsidP="009E5A87">
            <w:r w:rsidRPr="004D4EDD">
              <w:t>18 March 2022</w:t>
            </w:r>
          </w:p>
        </w:tc>
      </w:tr>
      <w:tr w:rsidR="0074163C" w:rsidRPr="004D4EDD" w14:paraId="4370477D" w14:textId="77777777" w:rsidTr="00B02F83">
        <w:tc>
          <w:tcPr>
            <w:tcW w:w="4265" w:type="dxa"/>
          </w:tcPr>
          <w:p w14:paraId="65A36D49" w14:textId="77777777" w:rsidR="0074163C" w:rsidRPr="004D4EDD" w:rsidRDefault="0074163C" w:rsidP="009E5A87">
            <w:r w:rsidRPr="004D4EDD">
              <w:t>Number of working days from submission dossier acceptance to registration decision*</w:t>
            </w:r>
          </w:p>
        </w:tc>
        <w:tc>
          <w:tcPr>
            <w:tcW w:w="4229" w:type="dxa"/>
          </w:tcPr>
          <w:p w14:paraId="49A46981" w14:textId="5DD4A132" w:rsidR="0074163C" w:rsidRPr="004D4EDD" w:rsidRDefault="003E4891" w:rsidP="009E5A87">
            <w:r w:rsidRPr="004D4EDD">
              <w:t>196</w:t>
            </w:r>
          </w:p>
        </w:tc>
      </w:tr>
    </w:tbl>
    <w:p w14:paraId="45736724" w14:textId="77777777" w:rsidR="0074163C" w:rsidRPr="004D4EDD" w:rsidRDefault="0074163C" w:rsidP="0074163C">
      <w:pPr>
        <w:pStyle w:val="TableDescription"/>
      </w:pPr>
      <w:r w:rsidRPr="004D4EDD">
        <w:t xml:space="preserve">*Statutory timeframe for standard </w:t>
      </w:r>
      <w:r w:rsidR="00BB0B78" w:rsidRPr="004D4EDD">
        <w:t>submission</w:t>
      </w:r>
      <w:r w:rsidRPr="004D4EDD">
        <w:t>s is 255 working days</w:t>
      </w:r>
    </w:p>
    <w:p w14:paraId="65F48C32" w14:textId="77777777" w:rsidR="008E7846" w:rsidRPr="004D4EDD" w:rsidRDefault="00006FAB" w:rsidP="008E7846">
      <w:pPr>
        <w:pStyle w:val="Heading2"/>
      </w:pPr>
      <w:bookmarkStart w:id="28" w:name="_Toc196046504"/>
      <w:bookmarkStart w:id="29" w:name="_Toc247691527"/>
      <w:bookmarkStart w:id="30" w:name="_Toc314842510"/>
      <w:bookmarkStart w:id="31" w:name="_Toc113536192"/>
      <w:bookmarkStart w:id="32" w:name="_Toc163441390"/>
      <w:bookmarkEnd w:id="25"/>
      <w:bookmarkEnd w:id="26"/>
      <w:bookmarkEnd w:id="1"/>
      <w:r w:rsidRPr="004D4EDD">
        <w:t xml:space="preserve">Submission overview </w:t>
      </w:r>
      <w:r w:rsidR="008E7846" w:rsidRPr="004D4EDD">
        <w:t>and risk/benefit assessment</w:t>
      </w:r>
      <w:bookmarkEnd w:id="28"/>
      <w:bookmarkEnd w:id="29"/>
      <w:bookmarkEnd w:id="30"/>
      <w:bookmarkEnd w:id="31"/>
    </w:p>
    <w:p w14:paraId="71B33A4B" w14:textId="436C8E01" w:rsidR="005A79F5" w:rsidRPr="004D4EDD" w:rsidRDefault="005A79F5" w:rsidP="0074163C">
      <w:pPr>
        <w:pStyle w:val="Instructions"/>
        <w:rPr>
          <w:i w:val="0"/>
          <w:color w:val="auto"/>
        </w:rPr>
      </w:pPr>
      <w:bookmarkStart w:id="33" w:name="_Toc247691528"/>
      <w:bookmarkStart w:id="34" w:name="_Toc314842511"/>
      <w:r w:rsidRPr="004D4EDD">
        <w:rPr>
          <w:i w:val="0"/>
          <w:color w:val="auto"/>
        </w:rPr>
        <w:t>A summary of the TGA’s assessment for this submission is provided below.</w:t>
      </w:r>
    </w:p>
    <w:p w14:paraId="60D9DD59" w14:textId="77777777" w:rsidR="00C80FB5" w:rsidRPr="004D4EDD" w:rsidRDefault="00C80FB5" w:rsidP="00C80FB5">
      <w:bookmarkStart w:id="35" w:name="_Hlk97819128"/>
      <w:r w:rsidRPr="004D4EDD">
        <w:t>Relevant guidelines or guidance documents referred to by the Delegate are listed below:</w:t>
      </w:r>
    </w:p>
    <w:bookmarkEnd w:id="35"/>
    <w:p w14:paraId="0E0C5EC3" w14:textId="20C59801" w:rsidR="00234443" w:rsidRPr="004D4EDD" w:rsidRDefault="00234443" w:rsidP="00234443">
      <w:pPr>
        <w:pStyle w:val="ListBullet"/>
      </w:pPr>
      <w:r w:rsidRPr="004D4EDD">
        <w:t xml:space="preserve">European Medicines Agency (EMA), Committee for Medicinal Products for Human Use (CHMP), Guideline on the </w:t>
      </w:r>
      <w:r w:rsidR="00313F58" w:rsidRPr="004D4EDD">
        <w:t xml:space="preserve">Development of New Medicinal Products for the Treatment </w:t>
      </w:r>
      <w:r w:rsidRPr="004D4EDD">
        <w:t>of Ulcerative Colitis, CHMP/EWP/18463/2006 Rev.1, 28 June 2018.</w:t>
      </w:r>
    </w:p>
    <w:p w14:paraId="62458488" w14:textId="6F6A3966" w:rsidR="00C80FB5" w:rsidRPr="004D4EDD" w:rsidRDefault="00234443" w:rsidP="000E44DE">
      <w:pPr>
        <w:pStyle w:val="ListBullet"/>
      </w:pPr>
      <w:r w:rsidRPr="004D4EDD">
        <w:t xml:space="preserve">European Medicines Evaluation Agency (EMEA), Committee for Proprietary Medicinal Products (CPMP), </w:t>
      </w:r>
      <w:r w:rsidR="00C80FB5" w:rsidRPr="004D4EDD">
        <w:t>ICH Topic E1 Population Exposure: The Extent of Population Exposure to Assess Clinical Safety</w:t>
      </w:r>
      <w:r w:rsidRPr="004D4EDD">
        <w:t xml:space="preserve">, Step 5, Note for Guidance on Population Exposure: </w:t>
      </w:r>
      <w:proofErr w:type="gramStart"/>
      <w:r w:rsidRPr="004D4EDD">
        <w:t>the</w:t>
      </w:r>
      <w:proofErr w:type="gramEnd"/>
      <w:r w:rsidRPr="004D4EDD">
        <w:t xml:space="preserve"> Extent of Population Exposure to Assess Clinical Safety, CPMP/ICH/375/95, June</w:t>
      </w:r>
      <w:r w:rsidR="00313F58" w:rsidRPr="004D4EDD">
        <w:t> </w:t>
      </w:r>
      <w:r w:rsidRPr="004D4EDD">
        <w:t>1995.</w:t>
      </w:r>
    </w:p>
    <w:p w14:paraId="562103D7" w14:textId="77777777" w:rsidR="008E7846" w:rsidRPr="004D4EDD" w:rsidRDefault="008E7846" w:rsidP="008E7846">
      <w:pPr>
        <w:pStyle w:val="Heading3"/>
      </w:pPr>
      <w:bookmarkStart w:id="36" w:name="_Toc113536193"/>
      <w:r w:rsidRPr="004D4EDD">
        <w:lastRenderedPageBreak/>
        <w:t>Quality</w:t>
      </w:r>
      <w:bookmarkEnd w:id="33"/>
      <w:bookmarkEnd w:id="34"/>
      <w:bookmarkEnd w:id="36"/>
    </w:p>
    <w:p w14:paraId="3EAB925C" w14:textId="2C0384C4" w:rsidR="0074163C" w:rsidRPr="004D4EDD" w:rsidRDefault="0074163C" w:rsidP="0074163C">
      <w:r w:rsidRPr="004D4EDD">
        <w:t>A full quality evaluation was conducted at the time this product received initial registration.</w:t>
      </w:r>
      <w:r w:rsidR="00AE531B" w:rsidRPr="004D4EDD">
        <w:rPr>
          <w:vertAlign w:val="superscript"/>
        </w:rPr>
        <w:fldChar w:fldCharType="begin"/>
      </w:r>
      <w:r w:rsidR="00AE531B" w:rsidRPr="004D4EDD">
        <w:rPr>
          <w:vertAlign w:val="superscript"/>
        </w:rPr>
        <w:instrText xml:space="preserve"> NOTEREF _Ref112654714 \h  \* MERGEFORMAT </w:instrText>
      </w:r>
      <w:r w:rsidR="00AE531B" w:rsidRPr="004D4EDD">
        <w:rPr>
          <w:vertAlign w:val="superscript"/>
        </w:rPr>
      </w:r>
      <w:r w:rsidR="00AE531B" w:rsidRPr="004D4EDD">
        <w:rPr>
          <w:vertAlign w:val="superscript"/>
        </w:rPr>
        <w:fldChar w:fldCharType="separate"/>
      </w:r>
      <w:r w:rsidR="004D4EDD">
        <w:rPr>
          <w:vertAlign w:val="superscript"/>
        </w:rPr>
        <w:t>9</w:t>
      </w:r>
      <w:r w:rsidR="00AE531B" w:rsidRPr="004D4EDD">
        <w:rPr>
          <w:vertAlign w:val="superscript"/>
        </w:rPr>
        <w:fldChar w:fldCharType="end"/>
      </w:r>
    </w:p>
    <w:p w14:paraId="571AA218" w14:textId="0B8EC170" w:rsidR="008E7846" w:rsidRPr="004D4EDD" w:rsidRDefault="008E7846" w:rsidP="008E7846">
      <w:pPr>
        <w:pStyle w:val="Heading3"/>
      </w:pPr>
      <w:bookmarkStart w:id="37" w:name="_Toc314842512"/>
      <w:bookmarkStart w:id="38" w:name="_Toc113536194"/>
      <w:r w:rsidRPr="004D4EDD">
        <w:t>Nonclinical</w:t>
      </w:r>
      <w:bookmarkEnd w:id="37"/>
      <w:bookmarkEnd w:id="38"/>
    </w:p>
    <w:p w14:paraId="7C3EEF9A" w14:textId="2B0E2D00" w:rsidR="004824D4" w:rsidRPr="004D4EDD" w:rsidRDefault="004824D4" w:rsidP="004824D4">
      <w:r w:rsidRPr="004D4EDD">
        <w:t xml:space="preserve">In support of the proposed extension of indication, the sponsor submitted five </w:t>
      </w:r>
      <w:r w:rsidRPr="004D4EDD">
        <w:rPr>
          <w:i/>
          <w:iCs/>
        </w:rPr>
        <w:t>in vivo</w:t>
      </w:r>
      <w:r w:rsidRPr="004D4EDD">
        <w:t xml:space="preserve"> pharmacology studies. Two additional </w:t>
      </w:r>
      <w:r w:rsidRPr="004D4EDD">
        <w:rPr>
          <w:i/>
          <w:iCs/>
        </w:rPr>
        <w:t>in vitro</w:t>
      </w:r>
      <w:r w:rsidRPr="004D4EDD">
        <w:t xml:space="preserve"> metabolite bindings studies were also submitted to address gaps in the nonclinical evaluation</w:t>
      </w:r>
      <w:r w:rsidR="00FB195F" w:rsidRPr="004D4EDD">
        <w:t xml:space="preserve"> in the original submission of new chemical entity</w:t>
      </w:r>
      <w:r w:rsidRPr="004D4EDD">
        <w:t>.</w:t>
      </w:r>
    </w:p>
    <w:p w14:paraId="157ADC5C" w14:textId="697D756E" w:rsidR="004824D4" w:rsidRPr="004D4EDD" w:rsidRDefault="004824D4" w:rsidP="004824D4">
      <w:r w:rsidRPr="004D4EDD">
        <w:t>Ozanimod hydrochloride (RPC1063)</w:t>
      </w:r>
      <w:r w:rsidRPr="004D4EDD">
        <w:rPr>
          <w:vertAlign w:val="superscript"/>
        </w:rPr>
        <w:footnoteReference w:id="10"/>
      </w:r>
      <w:r w:rsidRPr="004D4EDD">
        <w:t xml:space="preserve"> is a sphingosine 1-phosphate receptor (S1P) agonist, which binds with high affinity to S1P receptor subtype 1 (S1P1) and </w:t>
      </w:r>
      <w:r w:rsidR="00FB195F" w:rsidRPr="004D4EDD">
        <w:t xml:space="preserve">subtype </w:t>
      </w:r>
      <w:r w:rsidRPr="004D4EDD">
        <w:t xml:space="preserve">5 (S1P5), which are G-protein coupled receptors activated by binding </w:t>
      </w:r>
      <w:r w:rsidR="00FB195F" w:rsidRPr="004D4EDD">
        <w:t xml:space="preserve">to </w:t>
      </w:r>
      <w:r w:rsidRPr="004D4EDD">
        <w:t>S1P, and regulate various processes, including migration of lymphocytes , and thus by extension, inflammation and infection.</w:t>
      </w:r>
      <w:r w:rsidR="00FB195F" w:rsidRPr="004D4EDD">
        <w:rPr>
          <w:rStyle w:val="FootnoteReference"/>
        </w:rPr>
        <w:footnoteReference w:id="11"/>
      </w:r>
      <w:r w:rsidRPr="004D4EDD">
        <w:t xml:space="preserve"> There are five isoforms</w:t>
      </w:r>
      <w:r w:rsidR="00FB195F" w:rsidRPr="004D4EDD">
        <w:t xml:space="preserve"> (</w:t>
      </w:r>
      <w:r w:rsidRPr="004D4EDD">
        <w:t>S1P1</w:t>
      </w:r>
      <w:r w:rsidR="00FB195F" w:rsidRPr="004D4EDD">
        <w:t xml:space="preserve"> to S1P</w:t>
      </w:r>
      <w:r w:rsidRPr="004D4EDD">
        <w:t>5</w:t>
      </w:r>
      <w:r w:rsidR="00FB195F" w:rsidRPr="004D4EDD">
        <w:t>)</w:t>
      </w:r>
      <w:r w:rsidRPr="004D4EDD">
        <w:t xml:space="preserve">, and </w:t>
      </w:r>
      <w:r w:rsidR="00FB195F" w:rsidRPr="004D4EDD">
        <w:t xml:space="preserve">the </w:t>
      </w:r>
      <w:r w:rsidRPr="004D4EDD">
        <w:t>activation of S1P1 facilitates the egress of lymphocytes from lymphoid organs during an immune response.</w:t>
      </w:r>
    </w:p>
    <w:p w14:paraId="2564812D" w14:textId="499FDE6A" w:rsidR="004824D4" w:rsidRPr="004D4EDD" w:rsidRDefault="004824D4" w:rsidP="004824D4">
      <w:r w:rsidRPr="004D4EDD">
        <w:t xml:space="preserve">A pro-inflammatory role of S1P/S1P receptor signalling has been proposed to be associated with </w:t>
      </w:r>
      <w:r w:rsidR="00301384" w:rsidRPr="004D4EDD">
        <w:t>ulcerative colitis</w:t>
      </w:r>
      <w:r w:rsidRPr="004D4EDD">
        <w:t xml:space="preserve"> pathogenesis.</w:t>
      </w:r>
      <w:r w:rsidR="00FB195F" w:rsidRPr="004D4EDD">
        <w:rPr>
          <w:rStyle w:val="FootnoteReference"/>
        </w:rPr>
        <w:footnoteReference w:id="12"/>
      </w:r>
      <w:r w:rsidRPr="004D4EDD">
        <w:t xml:space="preserve"> To this end, previous studies have reported attenuation of symptoms and histopathological findings in </w:t>
      </w:r>
      <w:r w:rsidR="00FB195F" w:rsidRPr="004D4EDD">
        <w:t>non</w:t>
      </w:r>
      <w:r w:rsidRPr="004D4EDD">
        <w:t>clinical models of colitis when the number of circulating and colonic lymphocytes are reduced with activation of S1P1 or S1P1/S1P5 with small molecules.</w:t>
      </w:r>
      <w:r w:rsidR="00FB195F" w:rsidRPr="004D4EDD">
        <w:rPr>
          <w:rStyle w:val="FootnoteReference"/>
        </w:rPr>
        <w:footnoteReference w:id="13"/>
      </w:r>
      <w:r w:rsidR="00916435" w:rsidRPr="004D4EDD">
        <w:rPr>
          <w:vertAlign w:val="superscript"/>
        </w:rPr>
        <w:t>,</w:t>
      </w:r>
      <w:r w:rsidR="00916435" w:rsidRPr="004D4EDD">
        <w:rPr>
          <w:rStyle w:val="FootnoteReference"/>
        </w:rPr>
        <w:footnoteReference w:id="14"/>
      </w:r>
      <w:r w:rsidR="00916435" w:rsidRPr="004D4EDD">
        <w:rPr>
          <w:vertAlign w:val="superscript"/>
        </w:rPr>
        <w:t>,</w:t>
      </w:r>
      <w:r w:rsidR="00916435" w:rsidRPr="004D4EDD">
        <w:rPr>
          <w:rStyle w:val="FootnoteReference"/>
        </w:rPr>
        <w:footnoteReference w:id="15"/>
      </w:r>
      <w:r w:rsidR="00916435" w:rsidRPr="004D4EDD">
        <w:rPr>
          <w:vertAlign w:val="superscript"/>
        </w:rPr>
        <w:t>,</w:t>
      </w:r>
      <w:r w:rsidR="00916435" w:rsidRPr="004D4EDD">
        <w:rPr>
          <w:rStyle w:val="FootnoteReference"/>
        </w:rPr>
        <w:footnoteReference w:id="16"/>
      </w:r>
      <w:r w:rsidRPr="004D4EDD">
        <w:t xml:space="preserve"> Since S1P1 and S1P5 agonism has been shown experimentally to trigger enhanced neuronal and oligodendrocyte precursor cell survival, and maintenance of blood brain barrier integrity,</w:t>
      </w:r>
      <w:r w:rsidR="00FB195F" w:rsidRPr="004D4EDD">
        <w:rPr>
          <w:rStyle w:val="FootnoteReference"/>
        </w:rPr>
        <w:footnoteReference w:id="17"/>
      </w:r>
      <w:r w:rsidRPr="004D4EDD">
        <w:t xml:space="preserve"> the sponsor hypothesised that it is possible for S1P1 and S1P5 agonism to exert effects on local tissue cells and circulating inflammatory cells and also to modulate vascular barrier integrity, thus providing an analogous mechanism to achieve efficacy in the treatment of </w:t>
      </w:r>
      <w:r w:rsidR="00301384" w:rsidRPr="004D4EDD">
        <w:t>ulcerative colitis</w:t>
      </w:r>
      <w:r w:rsidRPr="004D4EDD">
        <w:t xml:space="preserve"> using a S1P receptor agonist.</w:t>
      </w:r>
    </w:p>
    <w:p w14:paraId="1BBC6754" w14:textId="6AC1AA9D" w:rsidR="004824D4" w:rsidRPr="004D4EDD" w:rsidRDefault="004824D4" w:rsidP="004824D4">
      <w:r w:rsidRPr="004D4EDD">
        <w:t xml:space="preserve">In support of the proposed hypothesis, the sponsor submitted two </w:t>
      </w:r>
      <w:r w:rsidRPr="004D4EDD">
        <w:rPr>
          <w:i/>
          <w:iCs/>
        </w:rPr>
        <w:t>in vivo</w:t>
      </w:r>
      <w:r w:rsidRPr="004D4EDD">
        <w:t xml:space="preserve"> studies in the rat model of inflammatory bowel disease (induced with </w:t>
      </w:r>
      <w:proofErr w:type="spellStart"/>
      <w:r w:rsidRPr="004D4EDD">
        <w:t>trinitrobenzenesulphonic</w:t>
      </w:r>
      <w:proofErr w:type="spellEnd"/>
      <w:r w:rsidRPr="004D4EDD">
        <w:t xml:space="preserve"> acid (TNBS) and three studies in the mouse model of </w:t>
      </w:r>
      <w:r w:rsidR="00F77DF0" w:rsidRPr="004D4EDD">
        <w:t>cluster of differentiation 4 (</w:t>
      </w:r>
      <w:r w:rsidRPr="004D4EDD">
        <w:t>CD</w:t>
      </w:r>
      <w:proofErr w:type="gramStart"/>
      <w:r w:rsidRPr="004D4EDD">
        <w:t>4</w:t>
      </w:r>
      <w:r w:rsidR="00F77DF0" w:rsidRPr="004D4EDD">
        <w:t>)</w:t>
      </w:r>
      <w:r w:rsidRPr="004D4EDD">
        <w:t>+</w:t>
      </w:r>
      <w:proofErr w:type="gramEnd"/>
      <w:r w:rsidRPr="004D4EDD">
        <w:t xml:space="preserve"> </w:t>
      </w:r>
      <w:r w:rsidR="00FB195F" w:rsidRPr="004D4EDD">
        <w:t>inflammatory bowel disease</w:t>
      </w:r>
      <w:r w:rsidRPr="004D4EDD">
        <w:t xml:space="preserve"> (adoptive transfer model of </w:t>
      </w:r>
      <w:r w:rsidR="00FB195F" w:rsidRPr="004D4EDD">
        <w:t>c</w:t>
      </w:r>
      <w:r w:rsidRPr="004D4EDD">
        <w:t xml:space="preserve">olitis). While the TNBS colitis model does not recapitulate the aetiopathogenesis of </w:t>
      </w:r>
      <w:r w:rsidR="00FB195F" w:rsidRPr="004D4EDD">
        <w:t>inflammatory bowel disease</w:t>
      </w:r>
      <w:r w:rsidRPr="004D4EDD">
        <w:t xml:space="preserve"> per se, the histopathology of TNBS</w:t>
      </w:r>
      <w:r w:rsidR="00155493" w:rsidRPr="004D4EDD">
        <w:noBreakHyphen/>
      </w:r>
      <w:r w:rsidRPr="004D4EDD">
        <w:t xml:space="preserve">induced colitis has broad comparability with clinical disease presentation, and thus presents as a reasonable model to assess the attenuation of pathological presentation. In contrast, the CD4+ </w:t>
      </w:r>
      <w:r w:rsidR="00FB195F" w:rsidRPr="004D4EDD">
        <w:t>inflammatory bowel disease</w:t>
      </w:r>
      <w:r w:rsidRPr="004D4EDD">
        <w:t xml:space="preserve"> model colonic inflammation develops </w:t>
      </w:r>
      <w:proofErr w:type="gramStart"/>
      <w:r w:rsidRPr="004D4EDD">
        <w:t>as a result of</w:t>
      </w:r>
      <w:proofErr w:type="gramEnd"/>
      <w:r w:rsidRPr="004D4EDD">
        <w:t xml:space="preserve"> enteric antigen-driven activation, polarisation, and homeostatic expansion of the naive (CD4+CD45RB</w:t>
      </w:r>
      <w:r w:rsidRPr="004D4EDD">
        <w:rPr>
          <w:vertAlign w:val="superscript"/>
        </w:rPr>
        <w:t>high</w:t>
      </w:r>
      <w:r w:rsidRPr="004D4EDD">
        <w:t>) T</w:t>
      </w:r>
      <w:r w:rsidR="00155493" w:rsidRPr="004D4EDD">
        <w:t>-</w:t>
      </w:r>
      <w:r w:rsidRPr="004D4EDD">
        <w:t xml:space="preserve">cells to produce </w:t>
      </w:r>
      <w:r w:rsidRPr="004D4EDD">
        <w:lastRenderedPageBreak/>
        <w:t>colitogenic effector cells such as</w:t>
      </w:r>
      <w:r w:rsidR="00F77DF0" w:rsidRPr="004D4EDD">
        <w:t xml:space="preserve"> T-helper cell (</w:t>
      </w:r>
      <w:r w:rsidRPr="004D4EDD">
        <w:t>T</w:t>
      </w:r>
      <w:r w:rsidRPr="004D4EDD">
        <w:rPr>
          <w:vertAlign w:val="subscript"/>
        </w:rPr>
        <w:t>h</w:t>
      </w:r>
      <w:r w:rsidR="00F77DF0" w:rsidRPr="004D4EDD">
        <w:t>)</w:t>
      </w:r>
      <w:r w:rsidRPr="004D4EDD">
        <w:t>1 and/or T</w:t>
      </w:r>
      <w:r w:rsidRPr="004D4EDD">
        <w:rPr>
          <w:vertAlign w:val="subscript"/>
        </w:rPr>
        <w:t>h</w:t>
      </w:r>
      <w:r w:rsidRPr="004D4EDD">
        <w:t>17.</w:t>
      </w:r>
      <w:r w:rsidR="00155493" w:rsidRPr="004D4EDD">
        <w:rPr>
          <w:rStyle w:val="FootnoteReference"/>
        </w:rPr>
        <w:footnoteReference w:id="18"/>
      </w:r>
      <w:r w:rsidRPr="004D4EDD">
        <w:t xml:space="preserve"> As a result, inflammatory tissue damage and dysfunction may occur in multiple tissues, in addition to the colon, potentially confounding interpretation of pathological findings. However, the model is adequately suited to investigate attenuation of colitis pathology following ozanimod administration.</w:t>
      </w:r>
    </w:p>
    <w:p w14:paraId="25D4BC09" w14:textId="6D8C4ECB" w:rsidR="004824D4" w:rsidRPr="004D4EDD" w:rsidRDefault="004824D4" w:rsidP="004824D4">
      <w:r w:rsidRPr="004D4EDD">
        <w:t>In the TNBS rat model, ozanimod, doses up to 1 mg/kg (</w:t>
      </w:r>
      <w:r w:rsidR="00155493" w:rsidRPr="004D4EDD">
        <w:t>taken orally</w:t>
      </w:r>
      <w:r w:rsidRPr="004D4EDD">
        <w:t xml:space="preserve"> daily) resulted in improvement of the inflammatory parameters, such as attenuation of body weight loss, decreases in adhesions, strictures, ulcer score, colon wall thickness and colonic scores. While the reduction in the number of ulcers was small </w:t>
      </w:r>
      <w:proofErr w:type="gramStart"/>
      <w:r w:rsidR="00155493" w:rsidRPr="004D4EDD">
        <w:t>compare</w:t>
      </w:r>
      <w:proofErr w:type="gramEnd"/>
      <w:r w:rsidR="00155493" w:rsidRPr="004D4EDD">
        <w:t xml:space="preserve"> to</w:t>
      </w:r>
      <w:r w:rsidRPr="004D4EDD">
        <w:t xml:space="preserve"> untreated control, a dose-related decrease in the size of ulcers was observed. At 1 mg/kg functional recovery (as determined by presence of faecal pellets </w:t>
      </w:r>
      <w:r w:rsidR="00155493" w:rsidRPr="004D4EDD">
        <w:t xml:space="preserve">compare to </w:t>
      </w:r>
      <w:r w:rsidRPr="004D4EDD">
        <w:t xml:space="preserve">controls or lower doses) and increased playing function was also noted. In the mouse CD4+ </w:t>
      </w:r>
      <w:r w:rsidR="00FB195F" w:rsidRPr="004D4EDD">
        <w:t>inflammatory bowel disease</w:t>
      </w:r>
      <w:r w:rsidRPr="004D4EDD">
        <w:t xml:space="preserve"> model, doses up to 1.2 mg/kg showed reductions in total colon inflammation, gland loss, hyperplasia, neutrophil scores, mucosal thickness, erosion, cytokine expression (</w:t>
      </w:r>
      <w:r w:rsidR="00F307AD" w:rsidRPr="004D4EDD">
        <w:t>i</w:t>
      </w:r>
      <w:r w:rsidR="00F77DF0" w:rsidRPr="004D4EDD">
        <w:t xml:space="preserve">nterleukin </w:t>
      </w:r>
      <w:r w:rsidR="00F307AD" w:rsidRPr="004D4EDD">
        <w:t>(</w:t>
      </w:r>
      <w:r w:rsidRPr="004D4EDD">
        <w:t>IL</w:t>
      </w:r>
      <w:r w:rsidR="00F307AD" w:rsidRPr="004D4EDD">
        <w:t>)</w:t>
      </w:r>
      <w:r w:rsidRPr="004D4EDD">
        <w:t>-10, IL-12 p70, IL-1β, IL-6 and TNF-α). The efficacious doses (3.6 mg/m</w:t>
      </w:r>
      <w:r w:rsidRPr="004D4EDD">
        <w:rPr>
          <w:vertAlign w:val="superscript"/>
        </w:rPr>
        <w:t>2</w:t>
      </w:r>
      <w:r w:rsidRPr="004D4EDD">
        <w:t xml:space="preserve"> in mice and 6 mg/m</w:t>
      </w:r>
      <w:r w:rsidRPr="004D4EDD">
        <w:rPr>
          <w:vertAlign w:val="superscript"/>
        </w:rPr>
        <w:t>2</w:t>
      </w:r>
      <w:r w:rsidRPr="004D4EDD">
        <w:t xml:space="preserve"> in rats) are above the intended clinical dose on a mg/m</w:t>
      </w:r>
      <w:r w:rsidRPr="004D4EDD">
        <w:rPr>
          <w:vertAlign w:val="superscript"/>
        </w:rPr>
        <w:t>2</w:t>
      </w:r>
      <w:r w:rsidRPr="004D4EDD">
        <w:t xml:space="preserve"> basis (0.6</w:t>
      </w:r>
      <w:r w:rsidR="00AE531B" w:rsidRPr="004D4EDD">
        <w:t> </w:t>
      </w:r>
      <w:r w:rsidRPr="004D4EDD">
        <w:t>mg/m</w:t>
      </w:r>
      <w:r w:rsidRPr="004D4EDD">
        <w:rPr>
          <w:vertAlign w:val="superscript"/>
        </w:rPr>
        <w:t>2</w:t>
      </w:r>
      <w:r w:rsidRPr="004D4EDD">
        <w:t xml:space="preserve"> in a 50 kg individual). Taken together, the rat and mouse </w:t>
      </w:r>
      <w:r w:rsidR="00FB195F" w:rsidRPr="004D4EDD">
        <w:t>inflammatory bowel disease</w:t>
      </w:r>
      <w:r w:rsidRPr="004D4EDD">
        <w:t xml:space="preserve"> model findings lend some support for the efficacy claim for ozanimod to attenuate pathological effects of </w:t>
      </w:r>
      <w:r w:rsidR="00301384" w:rsidRPr="004D4EDD">
        <w:t>ulcerative colitis</w:t>
      </w:r>
      <w:r w:rsidRPr="004D4EDD">
        <w:t>, but at doses higher than that proposed clinically.</w:t>
      </w:r>
    </w:p>
    <w:p w14:paraId="6D3E79C9" w14:textId="5A49646F" w:rsidR="004824D4" w:rsidRPr="004D4EDD" w:rsidRDefault="004824D4" w:rsidP="004824D4">
      <w:r w:rsidRPr="004D4EDD">
        <w:t xml:space="preserve">In Chinese </w:t>
      </w:r>
      <w:r w:rsidR="00155493" w:rsidRPr="004D4EDD">
        <w:t xml:space="preserve">hamster ovary </w:t>
      </w:r>
      <w:r w:rsidRPr="004D4EDD">
        <w:t>cell lines expressing monkey S1P1</w:t>
      </w:r>
      <w:r w:rsidR="00155493" w:rsidRPr="004D4EDD">
        <w:t xml:space="preserve"> to S1P</w:t>
      </w:r>
      <w:r w:rsidRPr="004D4EDD">
        <w:t>5, ozanimod and its downstream metabolites CC112273, CC1084037, RP101124, RP101075, RP101988, RP101442, RP112289 and RP112509, demonstrated preferential binding to S1P1 (</w:t>
      </w:r>
      <w:r w:rsidR="00F307AD" w:rsidRPr="004D4EDD">
        <w:t xml:space="preserve">half maximal </w:t>
      </w:r>
      <w:r w:rsidR="003A5E4F" w:rsidRPr="004D4EDD">
        <w:t xml:space="preserve">(50%) </w:t>
      </w:r>
      <w:r w:rsidR="00F307AD" w:rsidRPr="004D4EDD">
        <w:t>effective concentration (</w:t>
      </w:r>
      <w:r w:rsidRPr="004D4EDD">
        <w:t>EC</w:t>
      </w:r>
      <w:r w:rsidRPr="004D4EDD">
        <w:rPr>
          <w:vertAlign w:val="subscript"/>
        </w:rPr>
        <w:t>50</w:t>
      </w:r>
      <w:r w:rsidR="00F307AD" w:rsidRPr="004D4EDD">
        <w:t xml:space="preserve">) </w:t>
      </w:r>
      <w:r w:rsidR="00155493" w:rsidRPr="004D4EDD">
        <w:t xml:space="preserve">= </w:t>
      </w:r>
      <w:r w:rsidRPr="004D4EDD">
        <w:t xml:space="preserve">0.49 </w:t>
      </w:r>
      <w:proofErr w:type="spellStart"/>
      <w:r w:rsidRPr="004D4EDD">
        <w:t>nM</w:t>
      </w:r>
      <w:proofErr w:type="spellEnd"/>
      <w:r w:rsidRPr="004D4EDD">
        <w:t xml:space="preserve"> to 17.27 </w:t>
      </w:r>
      <w:proofErr w:type="spellStart"/>
      <w:r w:rsidRPr="004D4EDD">
        <w:t>nM</w:t>
      </w:r>
      <w:proofErr w:type="spellEnd"/>
      <w:r w:rsidRPr="004D4EDD">
        <w:t>) and S1P5 (EC</w:t>
      </w:r>
      <w:r w:rsidRPr="004D4EDD">
        <w:rPr>
          <w:vertAlign w:val="subscript"/>
        </w:rPr>
        <w:t>50</w:t>
      </w:r>
      <w:r w:rsidRPr="004D4EDD">
        <w:t xml:space="preserve"> </w:t>
      </w:r>
      <w:r w:rsidR="00155493" w:rsidRPr="004D4EDD">
        <w:t xml:space="preserve">= </w:t>
      </w:r>
      <w:r w:rsidRPr="004D4EDD">
        <w:t xml:space="preserve">10.10 </w:t>
      </w:r>
      <w:proofErr w:type="spellStart"/>
      <w:r w:rsidRPr="004D4EDD">
        <w:t>nM</w:t>
      </w:r>
      <w:proofErr w:type="spellEnd"/>
      <w:r w:rsidRPr="004D4EDD">
        <w:t xml:space="preserve"> to 86.40 </w:t>
      </w:r>
      <w:proofErr w:type="spellStart"/>
      <w:r w:rsidRPr="004D4EDD">
        <w:t>nM</w:t>
      </w:r>
      <w:proofErr w:type="spellEnd"/>
      <w:r w:rsidRPr="004D4EDD">
        <w:t xml:space="preserve">), </w:t>
      </w:r>
      <w:proofErr w:type="gramStart"/>
      <w:r w:rsidRPr="004D4EDD">
        <w:t>with the exception of</w:t>
      </w:r>
      <w:proofErr w:type="gramEnd"/>
      <w:r w:rsidRPr="004D4EDD">
        <w:t xml:space="preserve"> </w:t>
      </w:r>
      <w:r w:rsidR="00155493" w:rsidRPr="004D4EDD">
        <w:t xml:space="preserve">metabolite </w:t>
      </w:r>
      <w:r w:rsidRPr="004D4EDD">
        <w:t>RP101124, which appeared inactive across S1P1</w:t>
      </w:r>
      <w:r w:rsidR="00155493" w:rsidRPr="004D4EDD">
        <w:t xml:space="preserve"> to S1P</w:t>
      </w:r>
      <w:r w:rsidRPr="004D4EDD">
        <w:t>5. These observations were consistent with those previously observed for human S1P1</w:t>
      </w:r>
      <w:r w:rsidR="00155493" w:rsidRPr="004D4EDD">
        <w:t xml:space="preserve"> to S1P5</w:t>
      </w:r>
      <w:bookmarkStart w:id="39" w:name="_Ref81041241"/>
      <w:r w:rsidR="00155493" w:rsidRPr="004D4EDD">
        <w:t>.</w:t>
      </w:r>
      <w:bookmarkEnd w:id="39"/>
      <w:r w:rsidRPr="004D4EDD">
        <w:t xml:space="preserve"> The activity of ozanimod and its metabolites in rat S1P5 was reduced </w:t>
      </w:r>
      <w:proofErr w:type="gramStart"/>
      <w:r w:rsidR="00155493" w:rsidRPr="004D4EDD">
        <w:t>compare</w:t>
      </w:r>
      <w:proofErr w:type="gramEnd"/>
      <w:r w:rsidR="00155493" w:rsidRPr="004D4EDD">
        <w:t xml:space="preserve"> to</w:t>
      </w:r>
      <w:r w:rsidRPr="004D4EDD">
        <w:t xml:space="preserve"> the human homologue, most likely due to the greater difference in amino acid sequence. Ozanimod had a potency of &gt;</w:t>
      </w:r>
      <w:r w:rsidR="00155493" w:rsidRPr="004D4EDD">
        <w:t> </w:t>
      </w:r>
      <w:r w:rsidRPr="004D4EDD">
        <w:t xml:space="preserve">1,111 </w:t>
      </w:r>
      <w:proofErr w:type="spellStart"/>
      <w:r w:rsidRPr="004D4EDD">
        <w:t>nM</w:t>
      </w:r>
      <w:proofErr w:type="spellEnd"/>
      <w:r w:rsidRPr="004D4EDD">
        <w:t xml:space="preserve"> for rat S1P5. As with human and monkey S1P1 and </w:t>
      </w:r>
      <w:r w:rsidR="00155493" w:rsidRPr="004D4EDD">
        <w:t>S1P</w:t>
      </w:r>
      <w:r w:rsidRPr="004D4EDD">
        <w:t>5 no appreciable levels of activity were associated with metabolite RP101124.</w:t>
      </w:r>
    </w:p>
    <w:p w14:paraId="0C1AA7B3" w14:textId="77777777" w:rsidR="004824D4" w:rsidRPr="004D4EDD" w:rsidRDefault="004824D4" w:rsidP="004824D4">
      <w:r w:rsidRPr="004D4EDD">
        <w:t>There are no nonclinical objections to proposed extension of indication.</w:t>
      </w:r>
    </w:p>
    <w:p w14:paraId="2F145D6B" w14:textId="77777777" w:rsidR="008E7846" w:rsidRPr="004D4EDD" w:rsidRDefault="008E7846" w:rsidP="008E7846">
      <w:pPr>
        <w:pStyle w:val="Heading3"/>
      </w:pPr>
      <w:bookmarkStart w:id="40" w:name="_Toc247691530"/>
      <w:bookmarkStart w:id="41" w:name="_Toc314842513"/>
      <w:bookmarkStart w:id="42" w:name="_Toc113536195"/>
      <w:r w:rsidRPr="004D4EDD">
        <w:t>Clinical</w:t>
      </w:r>
      <w:bookmarkEnd w:id="40"/>
      <w:bookmarkEnd w:id="41"/>
      <w:bookmarkEnd w:id="42"/>
    </w:p>
    <w:p w14:paraId="1EEF8CC7" w14:textId="77777777" w:rsidR="0074163C" w:rsidRPr="004D4EDD" w:rsidRDefault="0074163C" w:rsidP="0074163C">
      <w:pPr>
        <w:pStyle w:val="Heading4"/>
      </w:pPr>
      <w:bookmarkStart w:id="43" w:name="_Toc98931928"/>
      <w:r w:rsidRPr="004D4EDD">
        <w:t>Summary of clinical studies</w:t>
      </w:r>
      <w:bookmarkEnd w:id="43"/>
    </w:p>
    <w:p w14:paraId="66F86B5C" w14:textId="22E2A1BD" w:rsidR="0074163C" w:rsidRPr="004D4EDD" w:rsidRDefault="0074163C" w:rsidP="0074163C">
      <w:r w:rsidRPr="004D4EDD">
        <w:t>The clinical dossier consisted of</w:t>
      </w:r>
      <w:r w:rsidR="00EB36D6" w:rsidRPr="004D4EDD">
        <w:t>:</w:t>
      </w:r>
    </w:p>
    <w:p w14:paraId="2EF6D9A5" w14:textId="7C274996" w:rsidR="00520AB7" w:rsidRPr="004D4EDD" w:rsidRDefault="003A5E4F" w:rsidP="00520AB7">
      <w:pPr>
        <w:pStyle w:val="ListBullet"/>
      </w:pPr>
      <w:r w:rsidRPr="004D4EDD">
        <w:t>f</w:t>
      </w:r>
      <w:r w:rsidR="00AE531B" w:rsidRPr="004D4EDD">
        <w:t>our</w:t>
      </w:r>
      <w:r w:rsidR="00520AB7" w:rsidRPr="004D4EDD">
        <w:t xml:space="preserve"> Phase I studies: Study RPC-1063-CP-001 and Study RPC01-1915 (clinical pharmacology studies); Study CLG-Certara-UC-358-1 and Study CLG-Certara-UC-358-2</w:t>
      </w:r>
      <w:r w:rsidR="00265C8D" w:rsidRPr="004D4EDD">
        <w:t xml:space="preserve"> (population pharmacokinetic analyses</w:t>
      </w:r>
      <w:proofErr w:type="gramStart"/>
      <w:r w:rsidR="00265C8D" w:rsidRPr="004D4EDD">
        <w:t>)</w:t>
      </w:r>
      <w:r w:rsidRPr="004D4EDD">
        <w:t>;</w:t>
      </w:r>
      <w:proofErr w:type="gramEnd"/>
    </w:p>
    <w:p w14:paraId="153C8C11" w14:textId="0A3F059E" w:rsidR="00520AB7" w:rsidRPr="004D4EDD" w:rsidRDefault="003A5E4F" w:rsidP="00520AB7">
      <w:pPr>
        <w:pStyle w:val="ListBullet"/>
      </w:pPr>
      <w:r w:rsidRPr="004D4EDD">
        <w:t>t</w:t>
      </w:r>
      <w:r w:rsidR="00AE531B" w:rsidRPr="004D4EDD">
        <w:t>wo</w:t>
      </w:r>
      <w:r w:rsidR="00520AB7" w:rsidRPr="004D4EDD">
        <w:t xml:space="preserve"> Phase II studies: Study RPC01-202 and Study RPC01-202 open label </w:t>
      </w:r>
      <w:proofErr w:type="gramStart"/>
      <w:r w:rsidR="00520AB7" w:rsidRPr="004D4EDD">
        <w:t>phase</w:t>
      </w:r>
      <w:r w:rsidRPr="004D4EDD">
        <w:t>;</w:t>
      </w:r>
      <w:proofErr w:type="gramEnd"/>
    </w:p>
    <w:p w14:paraId="633B83AF" w14:textId="2BA026BD" w:rsidR="0074163C" w:rsidRPr="004D4EDD" w:rsidRDefault="003A5E4F" w:rsidP="0074163C">
      <w:pPr>
        <w:pStyle w:val="ListBullet"/>
      </w:pPr>
      <w:r w:rsidRPr="004D4EDD">
        <w:t>t</w:t>
      </w:r>
      <w:r w:rsidR="00AE531B" w:rsidRPr="004D4EDD">
        <w:t>wo</w:t>
      </w:r>
      <w:r w:rsidR="0074163C" w:rsidRPr="004D4EDD">
        <w:t xml:space="preserve"> Phase </w:t>
      </w:r>
      <w:r w:rsidR="00520AB7" w:rsidRPr="004D4EDD">
        <w:t>III</w:t>
      </w:r>
      <w:r w:rsidR="0074163C" w:rsidRPr="004D4EDD">
        <w:t xml:space="preserve"> studies</w:t>
      </w:r>
      <w:r w:rsidR="00520AB7" w:rsidRPr="004D4EDD">
        <w:t>: Study RPC01-3101 (pivotal efficacy and safety study) and Study</w:t>
      </w:r>
      <w:r w:rsidR="00265C8D" w:rsidRPr="004D4EDD">
        <w:t> </w:t>
      </w:r>
      <w:r w:rsidR="00520AB7" w:rsidRPr="004D4EDD">
        <w:t>RPC01-3102 open</w:t>
      </w:r>
      <w:r w:rsidR="00265C8D" w:rsidRPr="004D4EDD">
        <w:t xml:space="preserve"> </w:t>
      </w:r>
      <w:r w:rsidR="00520AB7" w:rsidRPr="004D4EDD">
        <w:t>label extension</w:t>
      </w:r>
      <w:r w:rsidR="00AE531B" w:rsidRPr="004D4EDD">
        <w:t>.</w:t>
      </w:r>
    </w:p>
    <w:p w14:paraId="4BE0F2F5" w14:textId="77777777" w:rsidR="004824D4" w:rsidRPr="004D4EDD" w:rsidRDefault="004824D4" w:rsidP="004824D4">
      <w:pPr>
        <w:pStyle w:val="Heading4"/>
      </w:pPr>
      <w:r w:rsidRPr="004D4EDD">
        <w:lastRenderedPageBreak/>
        <w:t>Pharmacology</w:t>
      </w:r>
    </w:p>
    <w:p w14:paraId="0FD57AEC" w14:textId="5DE17565" w:rsidR="004824D4" w:rsidRPr="004D4EDD" w:rsidRDefault="004824D4" w:rsidP="004824D4">
      <w:r w:rsidRPr="004D4EDD">
        <w:t xml:space="preserve">Primary pharmacology studies were evaluated in </w:t>
      </w:r>
      <w:r w:rsidR="00520AB7" w:rsidRPr="004D4EDD">
        <w:t>S</w:t>
      </w:r>
      <w:r w:rsidRPr="004D4EDD">
        <w:t>ubmission PM-2019-02397-1-1.</w:t>
      </w:r>
      <w:r w:rsidR="00D61B49" w:rsidRPr="004D4EDD">
        <w:rPr>
          <w:vertAlign w:val="superscript"/>
        </w:rPr>
        <w:fldChar w:fldCharType="begin"/>
      </w:r>
      <w:r w:rsidR="00D61B49" w:rsidRPr="004D4EDD">
        <w:rPr>
          <w:vertAlign w:val="superscript"/>
        </w:rPr>
        <w:instrText xml:space="preserve"> NOTEREF _Ref112654714 \h  \* MERGEFORMAT </w:instrText>
      </w:r>
      <w:r w:rsidR="00D61B49" w:rsidRPr="004D4EDD">
        <w:rPr>
          <w:vertAlign w:val="superscript"/>
        </w:rPr>
      </w:r>
      <w:r w:rsidR="00D61B49" w:rsidRPr="004D4EDD">
        <w:rPr>
          <w:vertAlign w:val="superscript"/>
        </w:rPr>
        <w:fldChar w:fldCharType="separate"/>
      </w:r>
      <w:r w:rsidR="004D4EDD">
        <w:rPr>
          <w:vertAlign w:val="superscript"/>
        </w:rPr>
        <w:t>9</w:t>
      </w:r>
      <w:r w:rsidR="00D61B49" w:rsidRPr="004D4EDD">
        <w:rPr>
          <w:vertAlign w:val="superscript"/>
        </w:rPr>
        <w:fldChar w:fldCharType="end"/>
      </w:r>
      <w:r w:rsidRPr="004D4EDD">
        <w:t xml:space="preserve"> Clinical pharmacology studies provided in the current submission reported the following outcomes:</w:t>
      </w:r>
    </w:p>
    <w:p w14:paraId="0BD96204" w14:textId="316519B2" w:rsidR="004824D4" w:rsidRPr="004D4EDD" w:rsidRDefault="004824D4" w:rsidP="004824D4">
      <w:pPr>
        <w:pStyle w:val="ListBullet"/>
      </w:pPr>
      <w:r w:rsidRPr="004D4EDD">
        <w:t>After multiple dosing of ozanimod 1.84</w:t>
      </w:r>
      <w:r w:rsidR="00265C8D" w:rsidRPr="004D4EDD">
        <w:t xml:space="preserve"> </w:t>
      </w:r>
      <w:r w:rsidRPr="004D4EDD">
        <w:t xml:space="preserve">mg </w:t>
      </w:r>
      <w:r w:rsidR="00265C8D" w:rsidRPr="004D4EDD">
        <w:t>once daily</w:t>
      </w:r>
      <w:r w:rsidRPr="004D4EDD">
        <w:t xml:space="preserve"> for up to 28 days (preceded by 10</w:t>
      </w:r>
      <w:r w:rsidR="00265C8D" w:rsidRPr="004D4EDD">
        <w:noBreakHyphen/>
      </w:r>
      <w:r w:rsidRPr="004D4EDD">
        <w:t>day dose escalation of 0.23</w:t>
      </w:r>
      <w:r w:rsidR="00265C8D" w:rsidRPr="004D4EDD">
        <w:t xml:space="preserve"> </w:t>
      </w:r>
      <w:r w:rsidRPr="004D4EDD">
        <w:t>mg for 4 days, 0.46</w:t>
      </w:r>
      <w:r w:rsidR="00265C8D" w:rsidRPr="004D4EDD">
        <w:t xml:space="preserve"> </w:t>
      </w:r>
      <w:r w:rsidRPr="004D4EDD">
        <w:t>mg for 3 days, and 0.92</w:t>
      </w:r>
      <w:r w:rsidR="00265C8D" w:rsidRPr="004D4EDD">
        <w:t xml:space="preserve"> </w:t>
      </w:r>
      <w:r w:rsidRPr="004D4EDD">
        <w:t>mg for 3</w:t>
      </w:r>
      <w:r w:rsidR="00265C8D" w:rsidRPr="004D4EDD">
        <w:t> </w:t>
      </w:r>
      <w:r w:rsidRPr="004D4EDD">
        <w:t xml:space="preserve">days), absolute lymphocyte count appeared to return to </w:t>
      </w:r>
      <w:r w:rsidR="00D4390C" w:rsidRPr="004D4EDD">
        <w:t>Baseline</w:t>
      </w:r>
      <w:r w:rsidRPr="004D4EDD">
        <w:t xml:space="preserve"> by 65 to 85 days after the last dose of ozanimod.</w:t>
      </w:r>
    </w:p>
    <w:p w14:paraId="2D91E25C" w14:textId="4F0C16F7" w:rsidR="004824D4" w:rsidRPr="004D4EDD" w:rsidRDefault="004824D4" w:rsidP="004824D4">
      <w:pPr>
        <w:pStyle w:val="ListBullet"/>
        <w:numPr>
          <w:ilvl w:val="0"/>
          <w:numId w:val="0"/>
        </w:numPr>
        <w:ind w:left="360"/>
      </w:pPr>
      <w:r w:rsidRPr="004D4EDD">
        <w:t xml:space="preserve">Overall, no new safety findings were observed in this extension study compared to the parent </w:t>
      </w:r>
      <w:r w:rsidR="00265C8D" w:rsidRPr="004D4EDD">
        <w:t>S</w:t>
      </w:r>
      <w:r w:rsidRPr="004D4EDD">
        <w:t>tudies RPC01-1912, RPC01-1913, and RPC01-1914.</w:t>
      </w:r>
    </w:p>
    <w:p w14:paraId="50A5B205" w14:textId="77777777" w:rsidR="004824D4" w:rsidRPr="004D4EDD" w:rsidRDefault="004824D4" w:rsidP="004824D4">
      <w:pPr>
        <w:pStyle w:val="ListBullet"/>
      </w:pPr>
      <w:r w:rsidRPr="004D4EDD">
        <w:t>There was no significant difference in exposure of ozanimod or its metabolites CC112273, and CC1084037 with or without cyclosporine coadministration.</w:t>
      </w:r>
    </w:p>
    <w:p w14:paraId="7FAB5868" w14:textId="7F86D7E2" w:rsidR="004824D4" w:rsidRPr="004D4EDD" w:rsidRDefault="004824D4" w:rsidP="004824D4">
      <w:pPr>
        <w:pStyle w:val="ListBullet"/>
        <w:numPr>
          <w:ilvl w:val="0"/>
          <w:numId w:val="0"/>
        </w:numPr>
        <w:ind w:left="360"/>
      </w:pPr>
      <w:r w:rsidRPr="004D4EDD">
        <w:t xml:space="preserve">Cyclosporine significantly increased </w:t>
      </w:r>
      <w:r w:rsidR="00F307AD" w:rsidRPr="004D4EDD">
        <w:t>maximum serum concentration (</w:t>
      </w:r>
      <w:proofErr w:type="spellStart"/>
      <w:r w:rsidRPr="004D4EDD">
        <w:t>C</w:t>
      </w:r>
      <w:r w:rsidRPr="004D4EDD">
        <w:rPr>
          <w:vertAlign w:val="subscript"/>
        </w:rPr>
        <w:t>max</w:t>
      </w:r>
      <w:proofErr w:type="spellEnd"/>
      <w:r w:rsidR="00F307AD" w:rsidRPr="004D4EDD">
        <w:t>)</w:t>
      </w:r>
      <w:r w:rsidRPr="004D4EDD">
        <w:t xml:space="preserve"> and </w:t>
      </w:r>
      <w:r w:rsidR="00884201" w:rsidRPr="004D4EDD">
        <w:t xml:space="preserve">area under concentration time curve from time zero to </w:t>
      </w:r>
      <w:r w:rsidR="00D61B49" w:rsidRPr="004D4EDD">
        <w:t xml:space="preserve">the </w:t>
      </w:r>
      <w:r w:rsidR="00884201" w:rsidRPr="004D4EDD">
        <w:t>last measurable concentration (</w:t>
      </w:r>
      <w:r w:rsidRPr="004D4EDD">
        <w:t>AUC</w:t>
      </w:r>
      <w:r w:rsidR="00D61B49" w:rsidRPr="004D4EDD">
        <w:rPr>
          <w:vertAlign w:val="subscript"/>
        </w:rPr>
        <w:t>0-</w:t>
      </w:r>
      <w:r w:rsidRPr="004D4EDD">
        <w:rPr>
          <w:vertAlign w:val="subscript"/>
        </w:rPr>
        <w:t>last</w:t>
      </w:r>
      <w:r w:rsidR="00884201" w:rsidRPr="004D4EDD">
        <w:t>)</w:t>
      </w:r>
      <w:r w:rsidRPr="004D4EDD">
        <w:t xml:space="preserve"> for ozanimod metabolite RP101988. Because this is a minor active metabolite (accounting for approximately 5% of active moieties at steady state exposure to ozanimod and metabolites), this increase is not considered clinically meaningful.</w:t>
      </w:r>
    </w:p>
    <w:p w14:paraId="6B6B91E1" w14:textId="2223157F" w:rsidR="004824D4" w:rsidRPr="004D4EDD" w:rsidRDefault="004824D4" w:rsidP="004824D4">
      <w:pPr>
        <w:pStyle w:val="ListBullet"/>
      </w:pPr>
      <w:r w:rsidRPr="004D4EDD">
        <w:t xml:space="preserve">Population pharmacokinetic analysis indicated no meaningful differences in pharmacokinetic parameters in patients with relapsing </w:t>
      </w:r>
      <w:r w:rsidR="00265C8D" w:rsidRPr="004D4EDD">
        <w:t>multiple sclerosis</w:t>
      </w:r>
      <w:r w:rsidRPr="004D4EDD">
        <w:t xml:space="preserve"> or </w:t>
      </w:r>
      <w:r w:rsidR="00301384" w:rsidRPr="004D4EDD">
        <w:t>ulcerative colitis</w:t>
      </w:r>
      <w:r w:rsidRPr="004D4EDD">
        <w:t>.</w:t>
      </w:r>
    </w:p>
    <w:p w14:paraId="18C84792" w14:textId="77777777" w:rsidR="004824D4" w:rsidRPr="004D4EDD" w:rsidRDefault="004824D4" w:rsidP="001551AA">
      <w:pPr>
        <w:pStyle w:val="Heading4"/>
      </w:pPr>
      <w:r w:rsidRPr="004D4EDD">
        <w:t>Efficacy</w:t>
      </w:r>
    </w:p>
    <w:p w14:paraId="28458D5E" w14:textId="2F18E166" w:rsidR="004775E5" w:rsidRPr="004D4EDD" w:rsidRDefault="004824D4" w:rsidP="001551AA">
      <w:r w:rsidRPr="004D4EDD">
        <w:t>Study</w:t>
      </w:r>
      <w:r w:rsidR="00265C8D" w:rsidRPr="004D4EDD">
        <w:t> </w:t>
      </w:r>
      <w:r w:rsidRPr="004D4EDD">
        <w:t>RPC01-3101 was a multicentre, randomi</w:t>
      </w:r>
      <w:r w:rsidR="00265C8D" w:rsidRPr="004D4EDD">
        <w:t>s</w:t>
      </w:r>
      <w:r w:rsidRPr="004D4EDD">
        <w:t>ed, double</w:t>
      </w:r>
      <w:r w:rsidR="00265C8D" w:rsidRPr="004D4EDD">
        <w:t xml:space="preserve"> </w:t>
      </w:r>
      <w:r w:rsidRPr="004D4EDD">
        <w:t xml:space="preserve">blind, </w:t>
      </w:r>
      <w:proofErr w:type="gramStart"/>
      <w:r w:rsidRPr="004D4EDD">
        <w:t>placebo</w:t>
      </w:r>
      <w:r w:rsidR="00A178BA" w:rsidRPr="004D4EDD">
        <w:t xml:space="preserve"> </w:t>
      </w:r>
      <w:r w:rsidRPr="004D4EDD">
        <w:t>controlled</w:t>
      </w:r>
      <w:proofErr w:type="gramEnd"/>
      <w:r w:rsidRPr="004D4EDD">
        <w:t xml:space="preserve"> study of ozanimod as induction (up to 10 weeks) and maintenance therapy (from 10 to 52</w:t>
      </w:r>
      <w:r w:rsidR="00265C8D" w:rsidRPr="004D4EDD">
        <w:t> </w:t>
      </w:r>
      <w:r w:rsidRPr="004D4EDD">
        <w:t xml:space="preserve">weeks) for subjects with moderate to severe </w:t>
      </w:r>
      <w:r w:rsidR="00301384" w:rsidRPr="004D4EDD">
        <w:t>ulcerative colitis</w:t>
      </w:r>
      <w:r w:rsidRPr="004D4EDD">
        <w:t>.</w:t>
      </w:r>
    </w:p>
    <w:p w14:paraId="0E9E0C61" w14:textId="0D0EF885" w:rsidR="004775E5" w:rsidRPr="004D4EDD" w:rsidRDefault="004824D4" w:rsidP="001551AA">
      <w:r w:rsidRPr="004D4EDD">
        <w:t>The study was conducted from 12 August 2015 to 27 March 2020 at sites in North America, Europe, Australia, South America, and South Africa.</w:t>
      </w:r>
    </w:p>
    <w:p w14:paraId="566E75FE" w14:textId="1260CDF3" w:rsidR="004824D4" w:rsidRPr="004D4EDD" w:rsidRDefault="004824D4" w:rsidP="001551AA">
      <w:r w:rsidRPr="004D4EDD">
        <w:t xml:space="preserve">A total of 1012 participants were enrolled into the </w:t>
      </w:r>
      <w:r w:rsidR="00265C8D" w:rsidRPr="004D4EDD">
        <w:t xml:space="preserve">induction </w:t>
      </w:r>
      <w:r w:rsidRPr="004D4EDD">
        <w:t xml:space="preserve">period study, and of these 526 responders at </w:t>
      </w:r>
      <w:r w:rsidR="00265C8D" w:rsidRPr="004D4EDD">
        <w:t xml:space="preserve">Week </w:t>
      </w:r>
      <w:r w:rsidRPr="004D4EDD">
        <w:t>10 were re-randomi</w:t>
      </w:r>
      <w:r w:rsidR="00265C8D" w:rsidRPr="004D4EDD">
        <w:t>s</w:t>
      </w:r>
      <w:r w:rsidRPr="004D4EDD">
        <w:t xml:space="preserve">ed into the </w:t>
      </w:r>
      <w:r w:rsidR="00265C8D" w:rsidRPr="004D4EDD">
        <w:t xml:space="preserve">maintenance </w:t>
      </w:r>
      <w:r w:rsidRPr="004D4EDD">
        <w:t>period study.</w:t>
      </w:r>
    </w:p>
    <w:p w14:paraId="66B175D3" w14:textId="7862BC66" w:rsidR="004824D4" w:rsidRPr="004D4EDD" w:rsidRDefault="004824D4" w:rsidP="001551AA">
      <w:r w:rsidRPr="004D4EDD">
        <w:t xml:space="preserve">Moderate to severe </w:t>
      </w:r>
      <w:r w:rsidR="00301384" w:rsidRPr="004D4EDD">
        <w:t>ulcerative colitis</w:t>
      </w:r>
      <w:r w:rsidRPr="004D4EDD">
        <w:t xml:space="preserve"> was defined based on a 4-component Mayo score</w:t>
      </w:r>
      <w:r w:rsidR="004775E5" w:rsidRPr="004D4EDD">
        <w:t>;</w:t>
      </w:r>
      <w:bookmarkStart w:id="44" w:name="_Ref112666345"/>
      <w:r w:rsidR="004775E5" w:rsidRPr="004D4EDD">
        <w:rPr>
          <w:rStyle w:val="FootnoteReference"/>
        </w:rPr>
        <w:footnoteReference w:id="19"/>
      </w:r>
      <w:bookmarkEnd w:id="44"/>
      <w:r w:rsidRPr="004D4EDD">
        <w:t>of 6</w:t>
      </w:r>
      <w:r w:rsidR="00B206A1" w:rsidRPr="004D4EDD">
        <w:t> </w:t>
      </w:r>
      <w:r w:rsidRPr="004D4EDD">
        <w:t xml:space="preserve">to 12 inclusive, with endoscopic subscore of </w:t>
      </w:r>
      <w:r w:rsidR="00A178BA" w:rsidRPr="004D4EDD">
        <w:t>at least</w:t>
      </w:r>
      <w:r w:rsidRPr="004D4EDD">
        <w:t xml:space="preserve"> 2, a rectal bleeding score of </w:t>
      </w:r>
      <w:r w:rsidR="00A178BA" w:rsidRPr="004D4EDD">
        <w:t>at least</w:t>
      </w:r>
      <w:r w:rsidRPr="004D4EDD">
        <w:t xml:space="preserve"> </w:t>
      </w:r>
      <w:r w:rsidR="00A178BA" w:rsidRPr="004D4EDD">
        <w:t>one</w:t>
      </w:r>
      <w:r w:rsidRPr="004D4EDD">
        <w:t xml:space="preserve">, and a stool frequency score </w:t>
      </w:r>
      <w:r w:rsidR="00A178BA" w:rsidRPr="004D4EDD">
        <w:t>of at least one</w:t>
      </w:r>
      <w:r w:rsidRPr="004D4EDD">
        <w:t>.</w:t>
      </w:r>
    </w:p>
    <w:p w14:paraId="1933D0DC" w14:textId="77777777" w:rsidR="002F7DA0" w:rsidRPr="004D4EDD" w:rsidRDefault="004824D4" w:rsidP="001551AA">
      <w:r w:rsidRPr="004D4EDD">
        <w:lastRenderedPageBreak/>
        <w:t xml:space="preserve">Clinical remission was determined using the </w:t>
      </w:r>
      <w:r w:rsidR="00A20545" w:rsidRPr="004D4EDD">
        <w:t>3</w:t>
      </w:r>
      <w:r w:rsidR="00D4390C" w:rsidRPr="004D4EDD">
        <w:t xml:space="preserve">-component </w:t>
      </w:r>
      <w:r w:rsidRPr="004D4EDD">
        <w:t xml:space="preserve">Mayo score </w:t>
      </w:r>
      <w:r w:rsidR="00DE33D7" w:rsidRPr="004D4EDD">
        <w:t>(</w:t>
      </w:r>
      <w:r w:rsidRPr="004D4EDD">
        <w:t xml:space="preserve">unless otherwise stated in the clinical </w:t>
      </w:r>
      <w:r w:rsidR="00DE33D7" w:rsidRPr="004D4EDD">
        <w:t xml:space="preserve">study </w:t>
      </w:r>
      <w:r w:rsidRPr="004D4EDD">
        <w:t>report</w:t>
      </w:r>
      <w:r w:rsidR="00DE33D7" w:rsidRPr="004D4EDD">
        <w:t>)</w:t>
      </w:r>
      <w:r w:rsidR="002F7DA0" w:rsidRPr="004D4EDD">
        <w:t>.</w:t>
      </w:r>
    </w:p>
    <w:p w14:paraId="169355D8" w14:textId="3C87BEB3" w:rsidR="004775E5" w:rsidRPr="004D4EDD" w:rsidRDefault="002F7DA0" w:rsidP="001551AA">
      <w:r w:rsidRPr="004D4EDD">
        <w:t xml:space="preserve">Clinical remission, when determined using the 3-component Mayo score, </w:t>
      </w:r>
      <w:r w:rsidR="004824D4" w:rsidRPr="004D4EDD">
        <w:t>was defined</w:t>
      </w:r>
      <w:r w:rsidR="004775E5" w:rsidRPr="004D4EDD">
        <w:t xml:space="preserve"> </w:t>
      </w:r>
      <w:r w:rsidR="004824D4" w:rsidRPr="004D4EDD">
        <w:t>as</w:t>
      </w:r>
      <w:r w:rsidR="004775E5" w:rsidRPr="004D4EDD">
        <w:t>:</w:t>
      </w:r>
    </w:p>
    <w:p w14:paraId="3DEB0E7C" w14:textId="6BF46549" w:rsidR="004775E5" w:rsidRPr="004D4EDD" w:rsidRDefault="004775E5" w:rsidP="00B326AA">
      <w:pPr>
        <w:pStyle w:val="ListBullet"/>
      </w:pPr>
      <w:r w:rsidRPr="004D4EDD">
        <w:t>a</w:t>
      </w:r>
      <w:r w:rsidR="002F7DA0" w:rsidRPr="004D4EDD">
        <w:t xml:space="preserve"> </w:t>
      </w:r>
      <w:r w:rsidR="00D4390C" w:rsidRPr="004D4EDD">
        <w:t xml:space="preserve">rectal bleeding </w:t>
      </w:r>
      <w:r w:rsidR="00DE33D7" w:rsidRPr="004D4EDD">
        <w:t>sub</w:t>
      </w:r>
      <w:r w:rsidR="00D4390C" w:rsidRPr="004D4EDD">
        <w:t>score</w:t>
      </w:r>
      <w:r w:rsidR="004824D4" w:rsidRPr="004D4EDD">
        <w:t xml:space="preserve"> </w:t>
      </w:r>
      <w:r w:rsidR="00DE33D7" w:rsidRPr="004D4EDD">
        <w:t>of</w:t>
      </w:r>
      <w:r w:rsidR="004824D4" w:rsidRPr="004D4EDD">
        <w:t xml:space="preserve"> </w:t>
      </w:r>
      <w:proofErr w:type="gramStart"/>
      <w:r w:rsidR="00A178BA" w:rsidRPr="004D4EDD">
        <w:t>zero</w:t>
      </w:r>
      <w:r w:rsidRPr="004D4EDD">
        <w:t>;</w:t>
      </w:r>
      <w:proofErr w:type="gramEnd"/>
    </w:p>
    <w:p w14:paraId="092E585C" w14:textId="49C79BED" w:rsidR="004775E5" w:rsidRPr="004D4EDD" w:rsidRDefault="004775E5" w:rsidP="00B326AA">
      <w:pPr>
        <w:pStyle w:val="ListBullet"/>
      </w:pPr>
      <w:r w:rsidRPr="004D4EDD">
        <w:t xml:space="preserve">a </w:t>
      </w:r>
      <w:r w:rsidR="00D4390C" w:rsidRPr="004D4EDD">
        <w:t xml:space="preserve">stool frequency </w:t>
      </w:r>
      <w:r w:rsidR="00DE33D7" w:rsidRPr="004D4EDD">
        <w:t>sub</w:t>
      </w:r>
      <w:r w:rsidR="00D4390C" w:rsidRPr="004D4EDD">
        <w:t>score</w:t>
      </w:r>
      <w:r w:rsidR="004824D4" w:rsidRPr="004D4EDD">
        <w:t xml:space="preserve"> </w:t>
      </w:r>
      <w:r w:rsidR="00DE33D7" w:rsidRPr="004D4EDD">
        <w:t>of</w:t>
      </w:r>
      <w:r w:rsidR="004824D4" w:rsidRPr="004D4EDD">
        <w:t xml:space="preserve"> </w:t>
      </w:r>
      <w:r w:rsidR="00A178BA" w:rsidRPr="004D4EDD">
        <w:t>one</w:t>
      </w:r>
      <w:r w:rsidR="004824D4" w:rsidRPr="004D4EDD">
        <w:t xml:space="preserve"> </w:t>
      </w:r>
      <w:r w:rsidR="00DE33D7" w:rsidRPr="004D4EDD">
        <w:t xml:space="preserve">or less, </w:t>
      </w:r>
      <w:r w:rsidR="004824D4" w:rsidRPr="004D4EDD">
        <w:t xml:space="preserve">(and a decrease of </w:t>
      </w:r>
      <w:r w:rsidR="00DE33D7" w:rsidRPr="004D4EDD">
        <w:t xml:space="preserve">at least </w:t>
      </w:r>
      <w:r w:rsidR="00A178BA" w:rsidRPr="004D4EDD">
        <w:t>one</w:t>
      </w:r>
      <w:r w:rsidR="004824D4" w:rsidRPr="004D4EDD">
        <w:t xml:space="preserve"> point from the baseline </w:t>
      </w:r>
      <w:r w:rsidR="00D4390C" w:rsidRPr="004D4EDD">
        <w:t xml:space="preserve">stool frequency </w:t>
      </w:r>
      <w:r w:rsidR="00333269" w:rsidRPr="004D4EDD">
        <w:t>sub</w:t>
      </w:r>
      <w:r w:rsidR="00D4390C" w:rsidRPr="004D4EDD">
        <w:t>score</w:t>
      </w:r>
      <w:r w:rsidR="004824D4" w:rsidRPr="004D4EDD">
        <w:t>)</w:t>
      </w:r>
      <w:r w:rsidRPr="004D4EDD">
        <w:t xml:space="preserve">; </w:t>
      </w:r>
      <w:r w:rsidR="004824D4" w:rsidRPr="004D4EDD">
        <w:t>and</w:t>
      </w:r>
    </w:p>
    <w:p w14:paraId="4B703F20" w14:textId="22C1BB09" w:rsidR="004775E5" w:rsidRPr="004D4EDD" w:rsidRDefault="004824D4" w:rsidP="00B326AA">
      <w:pPr>
        <w:pStyle w:val="ListBullet"/>
      </w:pPr>
      <w:r w:rsidRPr="004D4EDD">
        <w:t xml:space="preserve">an endoscopy subscore </w:t>
      </w:r>
      <w:r w:rsidR="00DE33D7" w:rsidRPr="004D4EDD">
        <w:t>or</w:t>
      </w:r>
      <w:r w:rsidRPr="004D4EDD">
        <w:t xml:space="preserve"> </w:t>
      </w:r>
      <w:r w:rsidR="00A178BA" w:rsidRPr="004D4EDD">
        <w:t>one</w:t>
      </w:r>
      <w:r w:rsidR="00DE33D7" w:rsidRPr="004D4EDD">
        <w:t xml:space="preserve"> or less</w:t>
      </w:r>
      <w:r w:rsidRPr="004D4EDD">
        <w:t>.</w:t>
      </w:r>
    </w:p>
    <w:p w14:paraId="2AE62D24" w14:textId="1DE88EAC" w:rsidR="004775E5" w:rsidRPr="004D4EDD" w:rsidRDefault="002F7DA0">
      <w:r w:rsidRPr="004D4EDD">
        <w:t>C</w:t>
      </w:r>
      <w:r w:rsidR="004824D4" w:rsidRPr="004D4EDD">
        <w:t>linical remission</w:t>
      </w:r>
      <w:r w:rsidRPr="004D4EDD">
        <w:t>, when</w:t>
      </w:r>
      <w:r w:rsidR="004824D4" w:rsidRPr="004D4EDD">
        <w:t xml:space="preserve"> determined using the </w:t>
      </w:r>
      <w:r w:rsidR="00A20545" w:rsidRPr="004D4EDD">
        <w:t>4</w:t>
      </w:r>
      <w:r w:rsidR="00A20545" w:rsidRPr="004D4EDD">
        <w:noBreakHyphen/>
      </w:r>
      <w:r w:rsidR="004824D4" w:rsidRPr="004D4EDD">
        <w:t>component Mayo score, was defined as</w:t>
      </w:r>
      <w:r w:rsidR="004775E5" w:rsidRPr="004D4EDD">
        <w:t>:</w:t>
      </w:r>
    </w:p>
    <w:p w14:paraId="58342C2A" w14:textId="08306573" w:rsidR="004775E5" w:rsidRPr="004D4EDD" w:rsidRDefault="004824D4" w:rsidP="00B326AA">
      <w:pPr>
        <w:pStyle w:val="ListBullet"/>
      </w:pPr>
      <w:r w:rsidRPr="004D4EDD">
        <w:t xml:space="preserve">a </w:t>
      </w:r>
      <w:r w:rsidR="00D4390C" w:rsidRPr="004D4EDD">
        <w:t xml:space="preserve">complete </w:t>
      </w:r>
      <w:r w:rsidRPr="004D4EDD">
        <w:t>Mayo score of 2</w:t>
      </w:r>
      <w:r w:rsidR="00DE33D7" w:rsidRPr="004D4EDD">
        <w:t xml:space="preserve"> or less</w:t>
      </w:r>
      <w:r w:rsidRPr="004D4EDD">
        <w:t xml:space="preserve"> points with no individual subscore of </w:t>
      </w:r>
      <w:r w:rsidR="00DE33D7" w:rsidRPr="004D4EDD">
        <w:t>more than</w:t>
      </w:r>
      <w:r w:rsidRPr="004D4EDD">
        <w:t xml:space="preserve"> </w:t>
      </w:r>
      <w:r w:rsidR="00A178BA" w:rsidRPr="004D4EDD">
        <w:t>one</w:t>
      </w:r>
      <w:r w:rsidR="002F7DA0" w:rsidRPr="004D4EDD">
        <w:t> </w:t>
      </w:r>
      <w:r w:rsidRPr="004D4EDD">
        <w:t>point.</w:t>
      </w:r>
    </w:p>
    <w:p w14:paraId="1C56F619" w14:textId="7A9F23C3" w:rsidR="00DE33D7" w:rsidRPr="004D4EDD" w:rsidRDefault="004824D4">
      <w:r w:rsidRPr="004D4EDD">
        <w:t xml:space="preserve">Clinical response determined using the </w:t>
      </w:r>
      <w:r w:rsidR="00A20545" w:rsidRPr="004D4EDD">
        <w:t>3</w:t>
      </w:r>
      <w:r w:rsidRPr="004D4EDD">
        <w:t>-component Mayo score was defined as</w:t>
      </w:r>
      <w:r w:rsidR="00DE33D7" w:rsidRPr="004D4EDD">
        <w:t>:</w:t>
      </w:r>
    </w:p>
    <w:p w14:paraId="577CC091" w14:textId="462BDA8A" w:rsidR="00DE33D7" w:rsidRPr="004D4EDD" w:rsidRDefault="004824D4" w:rsidP="00B326AA">
      <w:pPr>
        <w:pStyle w:val="ListBullet"/>
      </w:pPr>
      <w:r w:rsidRPr="004D4EDD">
        <w:t xml:space="preserve">a reduction from </w:t>
      </w:r>
      <w:r w:rsidR="00D4390C" w:rsidRPr="004D4EDD">
        <w:t>Baseline</w:t>
      </w:r>
      <w:r w:rsidRPr="004D4EDD">
        <w:t xml:space="preserve"> in the </w:t>
      </w:r>
      <w:r w:rsidR="00DE33D7" w:rsidRPr="004D4EDD">
        <w:t>3-component (</w:t>
      </w:r>
      <w:r w:rsidRPr="004D4EDD">
        <w:t>9-point</w:t>
      </w:r>
      <w:r w:rsidR="00DE33D7" w:rsidRPr="004D4EDD">
        <w:t>)</w:t>
      </w:r>
      <w:r w:rsidRPr="004D4EDD">
        <w:t xml:space="preserve"> Mayo score of</w:t>
      </w:r>
    </w:p>
    <w:p w14:paraId="2393801E" w14:textId="385641C7" w:rsidR="00DE33D7" w:rsidRPr="004D4EDD" w:rsidRDefault="00DE33D7" w:rsidP="00B326AA">
      <w:pPr>
        <w:pStyle w:val="ListBullet2"/>
      </w:pPr>
      <w:r w:rsidRPr="004D4EDD">
        <w:t xml:space="preserve">at least </w:t>
      </w:r>
      <w:r w:rsidR="004824D4" w:rsidRPr="004D4EDD">
        <w:t>2</w:t>
      </w:r>
      <w:r w:rsidR="00D4390C" w:rsidRPr="004D4EDD">
        <w:t> </w:t>
      </w:r>
      <w:r w:rsidR="004824D4" w:rsidRPr="004D4EDD">
        <w:t xml:space="preserve">points and </w:t>
      </w:r>
      <w:r w:rsidR="00333269" w:rsidRPr="004D4EDD">
        <w:t>at least</w:t>
      </w:r>
      <w:r w:rsidR="004824D4" w:rsidRPr="004D4EDD">
        <w:t xml:space="preserve"> 35%</w:t>
      </w:r>
      <w:r w:rsidRPr="004D4EDD">
        <w:t xml:space="preserve"> overall; and</w:t>
      </w:r>
    </w:p>
    <w:p w14:paraId="66497304" w14:textId="6EDC0981" w:rsidR="00DE33D7" w:rsidRPr="004D4EDD" w:rsidRDefault="004824D4" w:rsidP="00B326AA">
      <w:pPr>
        <w:pStyle w:val="ListBullet2"/>
      </w:pPr>
      <w:r w:rsidRPr="004D4EDD">
        <w:t xml:space="preserve">a reduction from </w:t>
      </w:r>
      <w:r w:rsidR="00D4390C" w:rsidRPr="004D4EDD">
        <w:t>Baseline</w:t>
      </w:r>
      <w:r w:rsidRPr="004D4EDD">
        <w:t xml:space="preserve"> in the </w:t>
      </w:r>
      <w:r w:rsidR="00D4390C" w:rsidRPr="004D4EDD">
        <w:t xml:space="preserve">rectal bleeding </w:t>
      </w:r>
      <w:r w:rsidR="00DE33D7" w:rsidRPr="004D4EDD">
        <w:t>sub</w:t>
      </w:r>
      <w:r w:rsidR="00D4390C" w:rsidRPr="004D4EDD">
        <w:t>score</w:t>
      </w:r>
      <w:r w:rsidRPr="004D4EDD">
        <w:t xml:space="preserve"> of </w:t>
      </w:r>
      <w:r w:rsidR="00DE33D7" w:rsidRPr="004D4EDD">
        <w:t>at least</w:t>
      </w:r>
      <w:r w:rsidR="00A178BA" w:rsidRPr="004D4EDD">
        <w:t xml:space="preserve"> one </w:t>
      </w:r>
      <w:r w:rsidRPr="004D4EDD">
        <w:t>point</w:t>
      </w:r>
      <w:r w:rsidR="00DE33D7" w:rsidRPr="004D4EDD">
        <w:t xml:space="preserve">, </w:t>
      </w:r>
      <w:r w:rsidRPr="004D4EDD">
        <w:t>or a</w:t>
      </w:r>
      <w:r w:rsidR="00DE33D7" w:rsidRPr="004D4EDD">
        <w:t>n</w:t>
      </w:r>
      <w:r w:rsidRPr="004D4EDD">
        <w:t xml:space="preserve"> </w:t>
      </w:r>
      <w:r w:rsidR="002F7DA0" w:rsidRPr="004D4EDD">
        <w:t>absolute (</w:t>
      </w:r>
      <w:r w:rsidR="00DE33D7" w:rsidRPr="004D4EDD">
        <w:t>end of study</w:t>
      </w:r>
      <w:r w:rsidR="002F7DA0" w:rsidRPr="004D4EDD">
        <w:t>)</w:t>
      </w:r>
      <w:r w:rsidR="00DE33D7" w:rsidRPr="004D4EDD">
        <w:t xml:space="preserve"> </w:t>
      </w:r>
      <w:r w:rsidR="00D4390C" w:rsidRPr="004D4EDD">
        <w:t xml:space="preserve">rectal bleeding </w:t>
      </w:r>
      <w:r w:rsidR="00DE33D7" w:rsidRPr="004D4EDD">
        <w:t>sub</w:t>
      </w:r>
      <w:r w:rsidR="00D4390C" w:rsidRPr="004D4EDD">
        <w:t>score</w:t>
      </w:r>
      <w:r w:rsidRPr="004D4EDD">
        <w:t xml:space="preserve"> of </w:t>
      </w:r>
      <w:r w:rsidR="00DE33D7" w:rsidRPr="004D4EDD">
        <w:t>no more than</w:t>
      </w:r>
      <w:r w:rsidRPr="004D4EDD">
        <w:t xml:space="preserve"> </w:t>
      </w:r>
      <w:r w:rsidR="00A178BA" w:rsidRPr="004D4EDD">
        <w:t>one</w:t>
      </w:r>
      <w:r w:rsidRPr="004D4EDD">
        <w:t xml:space="preserve"> point.</w:t>
      </w:r>
    </w:p>
    <w:p w14:paraId="47AA2599" w14:textId="54E4BBE2" w:rsidR="00DE33D7" w:rsidRPr="004D4EDD" w:rsidRDefault="004824D4">
      <w:r w:rsidRPr="004D4EDD">
        <w:t xml:space="preserve">Clinical response determined by </w:t>
      </w:r>
      <w:r w:rsidR="00A20545" w:rsidRPr="004D4EDD">
        <w:t>4</w:t>
      </w:r>
      <w:r w:rsidR="00D4390C" w:rsidRPr="004D4EDD">
        <w:noBreakHyphen/>
      </w:r>
      <w:r w:rsidRPr="004D4EDD">
        <w:t xml:space="preserve">component </w:t>
      </w:r>
      <w:r w:rsidR="00333269" w:rsidRPr="004D4EDD">
        <w:t xml:space="preserve">(12-point) </w:t>
      </w:r>
      <w:r w:rsidRPr="004D4EDD">
        <w:t xml:space="preserve">Mayo </w:t>
      </w:r>
      <w:r w:rsidR="00D4390C" w:rsidRPr="004D4EDD">
        <w:t xml:space="preserve">score </w:t>
      </w:r>
      <w:r w:rsidRPr="004D4EDD">
        <w:t>was</w:t>
      </w:r>
      <w:r w:rsidR="00333269" w:rsidRPr="004D4EDD">
        <w:t xml:space="preserve"> defined as</w:t>
      </w:r>
      <w:r w:rsidR="00DE33D7" w:rsidRPr="004D4EDD">
        <w:t>:</w:t>
      </w:r>
    </w:p>
    <w:p w14:paraId="02D90FA1" w14:textId="6608B77F" w:rsidR="003F3813" w:rsidRPr="004D4EDD" w:rsidRDefault="004824D4" w:rsidP="00B326AA">
      <w:pPr>
        <w:pStyle w:val="ListBullet"/>
      </w:pPr>
      <w:r w:rsidRPr="004D4EDD">
        <w:t xml:space="preserve">a reduction from </w:t>
      </w:r>
      <w:r w:rsidR="00D4390C" w:rsidRPr="004D4EDD">
        <w:t>Baseline</w:t>
      </w:r>
      <w:r w:rsidRPr="004D4EDD">
        <w:t xml:space="preserve"> in </w:t>
      </w:r>
      <w:r w:rsidR="00333269" w:rsidRPr="004D4EDD">
        <w:t xml:space="preserve">the </w:t>
      </w:r>
      <w:r w:rsidRPr="004D4EDD">
        <w:t>complete Mayo score of</w:t>
      </w:r>
      <w:r w:rsidR="003F3813" w:rsidRPr="004D4EDD">
        <w:t>:</w:t>
      </w:r>
    </w:p>
    <w:p w14:paraId="3888B099" w14:textId="100F3CBF" w:rsidR="00333269" w:rsidRPr="004D4EDD" w:rsidRDefault="00333269" w:rsidP="00B326AA">
      <w:pPr>
        <w:pStyle w:val="ListBullet2"/>
      </w:pPr>
      <w:r w:rsidRPr="004D4EDD">
        <w:t>at least</w:t>
      </w:r>
      <w:r w:rsidR="00D4390C" w:rsidRPr="004D4EDD">
        <w:t> </w:t>
      </w:r>
      <w:r w:rsidR="004824D4" w:rsidRPr="004D4EDD">
        <w:t>3</w:t>
      </w:r>
      <w:r w:rsidR="00D4390C" w:rsidRPr="004D4EDD">
        <w:t> </w:t>
      </w:r>
      <w:r w:rsidR="004824D4" w:rsidRPr="004D4EDD">
        <w:t>points</w:t>
      </w:r>
      <w:r w:rsidR="00DE33D7" w:rsidRPr="004D4EDD">
        <w:t xml:space="preserve"> </w:t>
      </w:r>
      <w:r w:rsidR="004824D4" w:rsidRPr="004D4EDD">
        <w:t xml:space="preserve">and </w:t>
      </w:r>
      <w:r w:rsidRPr="004D4EDD">
        <w:t>at least</w:t>
      </w:r>
      <w:r w:rsidR="004824D4" w:rsidRPr="004D4EDD">
        <w:t xml:space="preserve"> 30%</w:t>
      </w:r>
      <w:r w:rsidRPr="004D4EDD">
        <w:t xml:space="preserve"> overall; and</w:t>
      </w:r>
    </w:p>
    <w:p w14:paraId="082E3603" w14:textId="03F076DA" w:rsidR="004824D4" w:rsidRPr="004D4EDD" w:rsidRDefault="00333269" w:rsidP="00B326AA">
      <w:pPr>
        <w:pStyle w:val="ListBullet2"/>
      </w:pPr>
      <w:r w:rsidRPr="004D4EDD">
        <w:t>a</w:t>
      </w:r>
      <w:r w:rsidR="004824D4" w:rsidRPr="004D4EDD">
        <w:t xml:space="preserve"> reduction </w:t>
      </w:r>
      <w:r w:rsidRPr="004D4EDD">
        <w:t xml:space="preserve">from Baseline in the </w:t>
      </w:r>
      <w:r w:rsidR="00D4390C" w:rsidRPr="004D4EDD">
        <w:t xml:space="preserve">rectal bleeding </w:t>
      </w:r>
      <w:r w:rsidRPr="004D4EDD">
        <w:t>sub</w:t>
      </w:r>
      <w:r w:rsidR="00D4390C" w:rsidRPr="004D4EDD">
        <w:t>score</w:t>
      </w:r>
      <w:r w:rsidR="004824D4" w:rsidRPr="004D4EDD">
        <w:t xml:space="preserve"> of </w:t>
      </w:r>
      <w:r w:rsidRPr="004D4EDD">
        <w:t xml:space="preserve">at least </w:t>
      </w:r>
      <w:r w:rsidR="00A178BA" w:rsidRPr="004D4EDD">
        <w:t>one</w:t>
      </w:r>
      <w:r w:rsidR="004824D4" w:rsidRPr="004D4EDD">
        <w:t xml:space="preserve"> point</w:t>
      </w:r>
      <w:r w:rsidR="002F7DA0" w:rsidRPr="004D4EDD">
        <w:t>;</w:t>
      </w:r>
      <w:r w:rsidR="004824D4" w:rsidRPr="004D4EDD">
        <w:t xml:space="preserve"> or a</w:t>
      </w:r>
      <w:r w:rsidRPr="004D4EDD">
        <w:t>n absolute (end of study)</w:t>
      </w:r>
      <w:r w:rsidR="004824D4" w:rsidRPr="004D4EDD">
        <w:t xml:space="preserve"> </w:t>
      </w:r>
      <w:r w:rsidR="00D4390C" w:rsidRPr="004D4EDD">
        <w:t xml:space="preserve">rectal bleeding </w:t>
      </w:r>
      <w:r w:rsidR="003F3813" w:rsidRPr="004D4EDD">
        <w:t>sub</w:t>
      </w:r>
      <w:r w:rsidR="00D4390C" w:rsidRPr="004D4EDD">
        <w:t>score</w:t>
      </w:r>
      <w:r w:rsidR="004824D4" w:rsidRPr="004D4EDD">
        <w:t xml:space="preserve"> of</w:t>
      </w:r>
      <w:r w:rsidRPr="004D4EDD">
        <w:t xml:space="preserve"> no more than</w:t>
      </w:r>
      <w:r w:rsidR="004824D4" w:rsidRPr="004D4EDD">
        <w:t xml:space="preserve"> </w:t>
      </w:r>
      <w:r w:rsidR="00A178BA" w:rsidRPr="004D4EDD">
        <w:t>one</w:t>
      </w:r>
      <w:r w:rsidR="004824D4" w:rsidRPr="004D4EDD">
        <w:t xml:space="preserve"> point.</w:t>
      </w:r>
    </w:p>
    <w:p w14:paraId="6FDAC829" w14:textId="079E3294" w:rsidR="004824D4" w:rsidRPr="004D4EDD" w:rsidRDefault="004824D4" w:rsidP="001551AA">
      <w:r w:rsidRPr="004D4EDD">
        <w:t xml:space="preserve">In the </w:t>
      </w:r>
      <w:r w:rsidR="00D4390C" w:rsidRPr="004D4EDD">
        <w:t>induction perio</w:t>
      </w:r>
      <w:r w:rsidRPr="004D4EDD">
        <w:t>d two cohorts of participants were treated for a total of 10 weeks and evaluated for clinical response and remission:</w:t>
      </w:r>
    </w:p>
    <w:p w14:paraId="373DBA24" w14:textId="6E958876" w:rsidR="004824D4" w:rsidRPr="004D4EDD" w:rsidRDefault="004824D4" w:rsidP="001551AA">
      <w:pPr>
        <w:pStyle w:val="ListBullet"/>
      </w:pPr>
      <w:r w:rsidRPr="004D4EDD">
        <w:t>Cohort 1: participants were randomi</w:t>
      </w:r>
      <w:r w:rsidR="00265C8D" w:rsidRPr="004D4EDD">
        <w:t>s</w:t>
      </w:r>
      <w:r w:rsidRPr="004D4EDD">
        <w:t>ed in a 2:1 ratio to receive either ozanimod 1</w:t>
      </w:r>
      <w:r w:rsidR="00265C8D" w:rsidRPr="004D4EDD">
        <w:t> </w:t>
      </w:r>
      <w:r w:rsidRPr="004D4EDD">
        <w:t xml:space="preserve">mg or placebo once daily in a </w:t>
      </w:r>
      <w:proofErr w:type="gramStart"/>
      <w:r w:rsidRPr="004D4EDD">
        <w:t>double</w:t>
      </w:r>
      <w:r w:rsidR="00A20545" w:rsidRPr="004D4EDD">
        <w:t xml:space="preserve"> </w:t>
      </w:r>
      <w:r w:rsidRPr="004D4EDD">
        <w:t>blind</w:t>
      </w:r>
      <w:proofErr w:type="gramEnd"/>
      <w:r w:rsidRPr="004D4EDD">
        <w:t xml:space="preserve"> fashion, stratified by corticosteroid use at </w:t>
      </w:r>
      <w:r w:rsidR="00A20545" w:rsidRPr="004D4EDD">
        <w:t>s</w:t>
      </w:r>
      <w:r w:rsidRPr="004D4EDD">
        <w:t>creening (yes or no), and prior anti-TNF therapy (yes or no)</w:t>
      </w:r>
    </w:p>
    <w:p w14:paraId="561ACA9F" w14:textId="6A79243A" w:rsidR="004824D4" w:rsidRPr="004D4EDD" w:rsidRDefault="004824D4" w:rsidP="001551AA">
      <w:pPr>
        <w:pStyle w:val="ListBullet"/>
      </w:pPr>
      <w:r w:rsidRPr="004D4EDD">
        <w:t>Cohort 2: participants received open label ozanimod 1</w:t>
      </w:r>
      <w:r w:rsidR="00265C8D" w:rsidRPr="004D4EDD">
        <w:t> </w:t>
      </w:r>
      <w:r w:rsidRPr="004D4EDD">
        <w:t>mg once daily. Cohort 2 was enrolled to ensure that sufficient responders could be enrolled into the maintenance period study.</w:t>
      </w:r>
    </w:p>
    <w:p w14:paraId="5CDC23E8" w14:textId="47A8EE2D" w:rsidR="004824D4" w:rsidRPr="004D4EDD" w:rsidRDefault="004824D4" w:rsidP="001551AA">
      <w:r w:rsidRPr="004D4EDD">
        <w:t xml:space="preserve">All participants in the induction period had to be on stable current treatment </w:t>
      </w:r>
      <w:r w:rsidR="003F3813" w:rsidRPr="004D4EDD">
        <w:t xml:space="preserve">comprised of taking </w:t>
      </w:r>
      <w:r w:rsidRPr="004D4EDD">
        <w:t xml:space="preserve">at least one of oral </w:t>
      </w:r>
      <w:r w:rsidR="00DC0E31" w:rsidRPr="004D4EDD">
        <w:t>5-</w:t>
      </w:r>
      <w:r w:rsidR="00A65269" w:rsidRPr="004D4EDD">
        <w:t>aminosalicylate</w:t>
      </w:r>
      <w:r w:rsidR="007C591F" w:rsidRPr="004D4EDD">
        <w:t xml:space="preserve"> agent</w:t>
      </w:r>
      <w:r w:rsidR="003F3813" w:rsidRPr="004D4EDD">
        <w:t>;</w:t>
      </w:r>
      <w:r w:rsidRPr="004D4EDD">
        <w:t xml:space="preserve"> </w:t>
      </w:r>
      <w:r w:rsidR="007C591F" w:rsidRPr="004D4EDD">
        <w:t xml:space="preserve">or either oral </w:t>
      </w:r>
      <w:r w:rsidRPr="004D4EDD">
        <w:t xml:space="preserve">prednisone </w:t>
      </w:r>
      <w:r w:rsidR="007C591F" w:rsidRPr="004D4EDD">
        <w:t>(</w:t>
      </w:r>
      <w:r w:rsidRPr="004D4EDD">
        <w:t>≤ 20</w:t>
      </w:r>
      <w:r w:rsidR="00265C8D" w:rsidRPr="004D4EDD">
        <w:t> </w:t>
      </w:r>
      <w:r w:rsidRPr="004D4EDD">
        <w:t>mg per day</w:t>
      </w:r>
      <w:r w:rsidR="007C591F" w:rsidRPr="004D4EDD">
        <w:t xml:space="preserve">, </w:t>
      </w:r>
      <w:r w:rsidRPr="004D4EDD">
        <w:t>or equivalent) or oral budesonide multi</w:t>
      </w:r>
      <w:r w:rsidR="00A20545" w:rsidRPr="004D4EDD">
        <w:noBreakHyphen/>
      </w:r>
      <w:r w:rsidRPr="004D4EDD">
        <w:t>matrix formulation, which was to be continued during the induction period.</w:t>
      </w:r>
    </w:p>
    <w:p w14:paraId="18919729" w14:textId="066FB11E" w:rsidR="004824D4" w:rsidRPr="004D4EDD" w:rsidRDefault="004824D4" w:rsidP="001551AA">
      <w:r w:rsidRPr="004D4EDD">
        <w:t xml:space="preserve">In the </w:t>
      </w:r>
      <w:r w:rsidR="00A20545" w:rsidRPr="004D4EDD">
        <w:t xml:space="preserve">maintenance period </w:t>
      </w:r>
      <w:r w:rsidRPr="004D4EDD">
        <w:t>participants who satisfied requirements for a clinical response or remission by either 3-component or 4-component Mayo definition at 10 weeks were re</w:t>
      </w:r>
      <w:r w:rsidR="00A20545" w:rsidRPr="004D4EDD">
        <w:noBreakHyphen/>
      </w:r>
      <w:r w:rsidRPr="004D4EDD">
        <w:t>randomi</w:t>
      </w:r>
      <w:r w:rsidR="00265C8D" w:rsidRPr="004D4EDD">
        <w:t>s</w:t>
      </w:r>
      <w:r w:rsidRPr="004D4EDD">
        <w:t>ed to receive either ozanimod 1</w:t>
      </w:r>
      <w:r w:rsidR="00265C8D" w:rsidRPr="004D4EDD">
        <w:t> </w:t>
      </w:r>
      <w:r w:rsidRPr="004D4EDD">
        <w:t>mg or matching placebo in a 1:1 ratio in a blinded fashion. Participants who were randomi</w:t>
      </w:r>
      <w:r w:rsidR="00265C8D" w:rsidRPr="004D4EDD">
        <w:t>s</w:t>
      </w:r>
      <w:r w:rsidRPr="004D4EDD">
        <w:t xml:space="preserve">ed to placebo in the </w:t>
      </w:r>
      <w:r w:rsidR="00A20545" w:rsidRPr="004D4EDD">
        <w:t>induction period</w:t>
      </w:r>
      <w:r w:rsidRPr="004D4EDD">
        <w:t xml:space="preserve"> and had at least a clinical response at Week 10 continued to receive placebo in the </w:t>
      </w:r>
      <w:r w:rsidR="00A20545" w:rsidRPr="004D4EDD">
        <w:t>maintenance p</w:t>
      </w:r>
      <w:r w:rsidRPr="004D4EDD">
        <w:t xml:space="preserve">eriod in a </w:t>
      </w:r>
      <w:proofErr w:type="gramStart"/>
      <w:r w:rsidRPr="004D4EDD">
        <w:t>double</w:t>
      </w:r>
      <w:r w:rsidR="00A20545" w:rsidRPr="004D4EDD">
        <w:t xml:space="preserve"> </w:t>
      </w:r>
      <w:r w:rsidRPr="004D4EDD">
        <w:t>blind</w:t>
      </w:r>
      <w:proofErr w:type="gramEnd"/>
      <w:r w:rsidRPr="004D4EDD">
        <w:t xml:space="preserve"> manner. Participants re-randomi</w:t>
      </w:r>
      <w:r w:rsidR="00265C8D" w:rsidRPr="004D4EDD">
        <w:t>s</w:t>
      </w:r>
      <w:r w:rsidRPr="004D4EDD">
        <w:t xml:space="preserve">ed in the </w:t>
      </w:r>
      <w:r w:rsidR="00A20545" w:rsidRPr="004D4EDD">
        <w:t>maintenance p</w:t>
      </w:r>
      <w:r w:rsidRPr="004D4EDD">
        <w:t>eriod were stratified prior to randomi</w:t>
      </w:r>
      <w:r w:rsidR="00A20545" w:rsidRPr="004D4EDD">
        <w:t>s</w:t>
      </w:r>
      <w:r w:rsidRPr="004D4EDD">
        <w:t>ation by clinical remission status at Week</w:t>
      </w:r>
      <w:r w:rsidR="00A20545" w:rsidRPr="004D4EDD">
        <w:t> </w:t>
      </w:r>
      <w:r w:rsidRPr="004D4EDD">
        <w:t>10 (yes or no) and corticosteroid use at Week 10 (yes or no).</w:t>
      </w:r>
    </w:p>
    <w:p w14:paraId="05EA6FB8" w14:textId="7FF682C1" w:rsidR="00ED4392" w:rsidRPr="004D4EDD" w:rsidRDefault="00ED4392" w:rsidP="00703839">
      <w:pPr>
        <w:pStyle w:val="FigureTitle"/>
      </w:pPr>
      <w:r w:rsidRPr="004D4EDD">
        <w:lastRenderedPageBreak/>
        <w:t xml:space="preserve">Figure </w:t>
      </w:r>
      <w:r w:rsidR="009C0FB4">
        <w:fldChar w:fldCharType="begin"/>
      </w:r>
      <w:r w:rsidR="009C0FB4">
        <w:instrText xml:space="preserve"> SEQ Figure \* ARABIC </w:instrText>
      </w:r>
      <w:r w:rsidR="009C0FB4">
        <w:fldChar w:fldCharType="separate"/>
      </w:r>
      <w:r w:rsidR="004D4EDD">
        <w:rPr>
          <w:noProof/>
        </w:rPr>
        <w:t>1</w:t>
      </w:r>
      <w:r w:rsidR="009C0FB4">
        <w:rPr>
          <w:noProof/>
        </w:rPr>
        <w:fldChar w:fldCharType="end"/>
      </w:r>
      <w:r w:rsidRPr="004D4EDD">
        <w:t xml:space="preserve">: Study RPC01-3101 </w:t>
      </w:r>
      <w:r w:rsidR="00E07F30" w:rsidRPr="004D4EDD">
        <w:t>Study schematic for Cohort 1 and Cohort 2</w:t>
      </w:r>
    </w:p>
    <w:p w14:paraId="2EC7FE6C" w14:textId="77777777" w:rsidR="004824D4" w:rsidRPr="004D4EDD" w:rsidRDefault="004824D4" w:rsidP="00703839">
      <w:r w:rsidRPr="004D4EDD">
        <w:rPr>
          <w:noProof/>
          <w:lang w:val="en-GB" w:eastAsia="en-GB"/>
        </w:rPr>
        <w:drawing>
          <wp:inline distT="0" distB="0" distL="0" distR="0" wp14:anchorId="14F2CE73" wp14:editId="2CAE2742">
            <wp:extent cx="5051834" cy="2769959"/>
            <wp:effectExtent l="0" t="0" r="0" b="0"/>
            <wp:docPr id="21" name="Picture 21" descr="Figure 1: Study RPC01-3101 Study schematic for Cohort 1 and Cohort 2&#10;&#10;Study RPC01-3101 was composed of 2 periods: induction and maintenance.&#10;&#10;Screening:&#10;Subject eligibility for the induction period was determined during a 5-week screening period prior to entry into either Cohort 1 or 2.&#10;&#10;Induction period:&#10;The induction period of the study was composed of 2 cohorts in which subjects were treated for a total of 10 weeks and evaluated for clinical response/remission. For Cohort 1, subjects were randomised in a 2:1 ratio to receive either ozanimod 1 mg or placebo once daily in a double blind fashion, stratified prior to randomisation by corticosteroid use at screening and prior anti-tumour necrosis factor therapy. For Cohort 2, subjects received open label ozanimod 1 mg once daily.&#10;&#10;Subjects from Cohort 1 or Cohort 2 with clinical response at the end of the induction period proceeded through to the maintenance period. Subjects who completed the induction period and did not have a clinical response could participate in an optional open-label extension study.&#10;&#10;Maintenance period:&#10;Subjects in clinical response at Week 10 of the induction period from either Cohort 1 or Cohort 2 were rerandomised in a 1:1 ratio to receive either ozanimod 1 mg or matching placebo in a blinded fashion. Subjects who were randomised to placebo in the induction period and had at least a clinical response at Week 10 continued to receive placebo in the maintenance period in a double blind manner.&#10;&#10;Subjects rerandomised in the maintenance period were stratified prior to randomisation by clinical remission status at Week 10 and corticosteroid use at Week 10. Subjects were evaluated for disease activity/efficacy at Week 52 of the maintenance period. Subjects who completed the maintenance period, or those who experienced disease relapse during the maintenance period, had the option to enter a separate open label extension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Figure 1: Study RPC01-3101 Study schematic for Cohort 1 and Cohort 2&#10;&#10;Study RPC01-3101 was composed of 2 periods: induction and maintenance.&#10;&#10;Screening:&#10;Subject eligibility for the induction period was determined during a 5-week screening period prior to entry into either Cohort 1 or 2.&#10;&#10;Induction period:&#10;The induction period of the study was composed of 2 cohorts in which subjects were treated for a total of 10 weeks and evaluated for clinical response/remission. For Cohort 1, subjects were randomised in a 2:1 ratio to receive either ozanimod 1 mg or placebo once daily in a double blind fashion, stratified prior to randomisation by corticosteroid use at screening and prior anti-tumour necrosis factor therapy. For Cohort 2, subjects received open label ozanimod 1 mg once daily.&#10;&#10;Subjects from Cohort 1 or Cohort 2 with clinical response at the end of the induction period proceeded through to the maintenance period. Subjects who completed the induction period and did not have a clinical response could participate in an optional open-label extension study.&#10;&#10;Maintenance period:&#10;Subjects in clinical response at Week 10 of the induction period from either Cohort 1 or Cohort 2 were rerandomised in a 1:1 ratio to receive either ozanimod 1 mg or matching placebo in a blinded fashion. Subjects who were randomised to placebo in the induction period and had at least a clinical response at Week 10 continued to receive placebo in the maintenance period in a double blind manner.&#10;&#10;Subjects rerandomised in the maintenance period were stratified prior to randomisation by clinical remission status at Week 10 and corticosteroid use at Week 10. Subjects were evaluated for disease activity/efficacy at Week 52 of the maintenance period. Subjects who completed the maintenance period, or those who experienced disease relapse during the maintenance period, had the option to enter a separate open label extension study."/>
                    <pic:cNvPicPr/>
                  </pic:nvPicPr>
                  <pic:blipFill>
                    <a:blip r:embed="rId16"/>
                    <a:stretch>
                      <a:fillRect/>
                    </a:stretch>
                  </pic:blipFill>
                  <pic:spPr>
                    <a:xfrm>
                      <a:off x="0" y="0"/>
                      <a:ext cx="5144015" cy="2820503"/>
                    </a:xfrm>
                    <a:prstGeom prst="rect">
                      <a:avLst/>
                    </a:prstGeom>
                  </pic:spPr>
                </pic:pic>
              </a:graphicData>
            </a:graphic>
          </wp:inline>
        </w:drawing>
      </w:r>
    </w:p>
    <w:p w14:paraId="6A068F79" w14:textId="0F646B0C" w:rsidR="00E07F30" w:rsidRPr="004D4EDD" w:rsidRDefault="00AF7F79" w:rsidP="00703839">
      <w:pPr>
        <w:pStyle w:val="FigureDescription"/>
      </w:pPr>
      <w:r w:rsidRPr="004D4EDD">
        <w:t xml:space="preserve">Abbreviation: </w:t>
      </w:r>
      <w:proofErr w:type="spellStart"/>
      <w:r w:rsidR="00E07F30" w:rsidRPr="004D4EDD">
        <w:t>wk</w:t>
      </w:r>
      <w:proofErr w:type="spellEnd"/>
      <w:r w:rsidR="00E07F30" w:rsidRPr="004D4EDD">
        <w:t xml:space="preserve"> = week.</w:t>
      </w:r>
    </w:p>
    <w:p w14:paraId="0A75AF41" w14:textId="4AE382CD" w:rsidR="00E07F30" w:rsidRPr="004D4EDD" w:rsidRDefault="00E07F30" w:rsidP="00703839">
      <w:pPr>
        <w:pStyle w:val="FigureDescription"/>
      </w:pPr>
      <w:r w:rsidRPr="004D4EDD">
        <w:t>a Subjects stratified by prior tumour necrosis factor exposure (yes/no) and corticosteroid use (yes/no) at screening. The randomisation in the maintenance period stratified by clinical remission status at Week 10 (yes/no) and corticosteroids use at Week 10 (yes/no).</w:t>
      </w:r>
    </w:p>
    <w:p w14:paraId="4A1F3EB6" w14:textId="4B86014D" w:rsidR="00E07F30" w:rsidRPr="004D4EDD" w:rsidRDefault="00E07F30" w:rsidP="00703839">
      <w:pPr>
        <w:pStyle w:val="FigureDescription"/>
      </w:pPr>
      <w:r w:rsidRPr="004D4EDD">
        <w:t xml:space="preserve">Subjects in Cohort 1 were randomised to receive ozanimod or placebo in a 2:1 ratio in a double blinded manner. Subjects in Cohort 2 received ozanimod in an open label manner. Subjects in clinical response at Week 10 of the induction period who were randomized to placebo (Cohort 1) continued to receive placebo in the maintenance period in a </w:t>
      </w:r>
      <w:proofErr w:type="gramStart"/>
      <w:r w:rsidRPr="004D4EDD">
        <w:t>double blind</w:t>
      </w:r>
      <w:proofErr w:type="gramEnd"/>
      <w:r w:rsidRPr="004D4EDD">
        <w:t xml:space="preserve"> manner. Only responders assigned to ozanimod (Cohort 1 and 2) in the induction period were randomized to receive ozanimod or placebo in a 1:1 ratio in a double blinded manner when entering the maintenance period.</w:t>
      </w:r>
    </w:p>
    <w:p w14:paraId="49785238" w14:textId="10F60B61" w:rsidR="004824D4" w:rsidRPr="004D4EDD" w:rsidRDefault="004824D4" w:rsidP="001551AA">
      <w:r w:rsidRPr="004D4EDD">
        <w:t>The primary objective for both the induction and maintenance periods was to demonstrate the efficacy of ozanimod versus placebo therapy on clinical remission in adults.</w:t>
      </w:r>
    </w:p>
    <w:p w14:paraId="27F71825" w14:textId="699B4004" w:rsidR="004824D4" w:rsidRPr="004D4EDD" w:rsidRDefault="004824D4" w:rsidP="001551AA">
      <w:r w:rsidRPr="004D4EDD">
        <w:t xml:space="preserve">The clinical study report included analyses for multiple secondary and other endpoints in both the induction and maintenance periods. Patient reported outcomes included the </w:t>
      </w:r>
      <w:proofErr w:type="gramStart"/>
      <w:r w:rsidRPr="004D4EDD">
        <w:t>health</w:t>
      </w:r>
      <w:r w:rsidR="00A20545" w:rsidRPr="004D4EDD">
        <w:t xml:space="preserve"> </w:t>
      </w:r>
      <w:r w:rsidRPr="004D4EDD">
        <w:t>related</w:t>
      </w:r>
      <w:proofErr w:type="gramEnd"/>
      <w:r w:rsidRPr="004D4EDD">
        <w:t xml:space="preserve"> quality of life assessments SF-36</w:t>
      </w:r>
      <w:r w:rsidR="00884201" w:rsidRPr="004D4EDD">
        <w:t>;</w:t>
      </w:r>
      <w:r w:rsidR="00884201" w:rsidRPr="004D4EDD">
        <w:rPr>
          <w:rStyle w:val="FootnoteReference"/>
        </w:rPr>
        <w:footnoteReference w:id="20"/>
      </w:r>
      <w:r w:rsidRPr="004D4EDD">
        <w:t xml:space="preserve"> and EQ-5D,</w:t>
      </w:r>
      <w:r w:rsidR="00884201" w:rsidRPr="004D4EDD">
        <w:rPr>
          <w:rStyle w:val="FootnoteReference"/>
        </w:rPr>
        <w:footnoteReference w:id="21"/>
      </w:r>
      <w:r w:rsidRPr="004D4EDD">
        <w:t xml:space="preserve"> health resource utili</w:t>
      </w:r>
      <w:r w:rsidR="00A20545" w:rsidRPr="004D4EDD">
        <w:t>s</w:t>
      </w:r>
      <w:r w:rsidRPr="004D4EDD">
        <w:t xml:space="preserve">ation and work productivity, which were not included in the hierarchical statistical analysis framework. Only the results of the primary (the proportion of patients in clinical remission after 10 weeks in the induction period; the proportion of participants in clinical remission at 52 weeks in the maintenance period) and the key secondary endpoints for each period are considered in this overview. A protocol variation changed the hierarchical order for statistical testing of the endpoints in the maintenance period, which did not affect the first three objectives. Statistical methods were appropriate, applying </w:t>
      </w:r>
      <w:r w:rsidR="00A20545" w:rsidRPr="004D4EDD">
        <w:t>2</w:t>
      </w:r>
      <w:r w:rsidRPr="004D4EDD">
        <w:t xml:space="preserve">-sided Cochran-Mantel-Haenszel tests at the 5% level of significance on the </w:t>
      </w:r>
      <w:r w:rsidR="00F307AD" w:rsidRPr="004D4EDD">
        <w:t xml:space="preserve">intention-to-treat </w:t>
      </w:r>
      <w:r w:rsidR="00F307AD" w:rsidRPr="004D4EDD">
        <w:lastRenderedPageBreak/>
        <w:t>(</w:t>
      </w:r>
      <w:r w:rsidRPr="004D4EDD">
        <w:t>ITT</w:t>
      </w:r>
      <w:r w:rsidR="00F307AD" w:rsidRPr="004D4EDD">
        <w:t>)</w:t>
      </w:r>
      <w:r w:rsidR="00884201" w:rsidRPr="004D4EDD">
        <w:rPr>
          <w:rStyle w:val="FootnoteReference"/>
        </w:rPr>
        <w:footnoteReference w:id="22"/>
      </w:r>
      <w:r w:rsidRPr="004D4EDD">
        <w:t xml:space="preserve"> population, and applying a closed hierarchical testing procedure to the primary and key secondary endpoints to control Type 1 error. Changes expressed as changes from </w:t>
      </w:r>
      <w:r w:rsidR="00D4390C" w:rsidRPr="004D4EDD">
        <w:t>Baseline</w:t>
      </w:r>
      <w:r w:rsidRPr="004D4EDD">
        <w:t xml:space="preserve"> were analysed using </w:t>
      </w:r>
      <w:r w:rsidR="00F307AD" w:rsidRPr="004D4EDD">
        <w:t xml:space="preserve">analysis of covariance </w:t>
      </w:r>
      <w:r w:rsidRPr="004D4EDD">
        <w:t>models.</w:t>
      </w:r>
    </w:p>
    <w:p w14:paraId="4D660933" w14:textId="77777777" w:rsidR="004824D4" w:rsidRPr="004D4EDD" w:rsidRDefault="004824D4" w:rsidP="00E96E13">
      <w:pPr>
        <w:pStyle w:val="Heading5"/>
      </w:pPr>
      <w:r w:rsidRPr="004D4EDD">
        <w:t>Induction period</w:t>
      </w:r>
    </w:p>
    <w:p w14:paraId="5E7BC77C" w14:textId="4D813D35" w:rsidR="004824D4" w:rsidRPr="004D4EDD" w:rsidRDefault="004824D4" w:rsidP="001551AA">
      <w:r w:rsidRPr="004D4EDD">
        <w:t xml:space="preserve">For the induction period, baseline demographics were comparable between </w:t>
      </w:r>
      <w:r w:rsidR="00E96E13" w:rsidRPr="004D4EDD">
        <w:t>Cohort </w:t>
      </w:r>
      <w:r w:rsidRPr="004D4EDD">
        <w:t>1 placebo (n</w:t>
      </w:r>
      <w:r w:rsidR="00E96E13" w:rsidRPr="004D4EDD">
        <w:t xml:space="preserve"> </w:t>
      </w:r>
      <w:r w:rsidRPr="004D4EDD">
        <w:t>=</w:t>
      </w:r>
      <w:r w:rsidR="00E96E13" w:rsidRPr="004D4EDD">
        <w:t xml:space="preserve"> </w:t>
      </w:r>
      <w:r w:rsidRPr="004D4EDD">
        <w:t xml:space="preserve">216), </w:t>
      </w:r>
      <w:r w:rsidR="00E96E13" w:rsidRPr="004D4EDD">
        <w:t xml:space="preserve">Cohort </w:t>
      </w:r>
      <w:r w:rsidRPr="004D4EDD">
        <w:t>1 ozanimod (n</w:t>
      </w:r>
      <w:r w:rsidR="00E96E13" w:rsidRPr="004D4EDD">
        <w:t xml:space="preserve"> </w:t>
      </w:r>
      <w:r w:rsidRPr="004D4EDD">
        <w:t>=</w:t>
      </w:r>
      <w:r w:rsidR="00E96E13" w:rsidRPr="004D4EDD">
        <w:t xml:space="preserve"> </w:t>
      </w:r>
      <w:r w:rsidRPr="004D4EDD">
        <w:t xml:space="preserve">429) and </w:t>
      </w:r>
      <w:r w:rsidR="00E96E13" w:rsidRPr="004D4EDD">
        <w:t xml:space="preserve">Cohort </w:t>
      </w:r>
      <w:r w:rsidRPr="004D4EDD">
        <w:t>2 ozanimod (n</w:t>
      </w:r>
      <w:r w:rsidR="00E96E13" w:rsidRPr="004D4EDD">
        <w:t xml:space="preserve"> </w:t>
      </w:r>
      <w:r w:rsidRPr="004D4EDD">
        <w:t>=</w:t>
      </w:r>
      <w:r w:rsidR="00E96E13" w:rsidRPr="004D4EDD">
        <w:t xml:space="preserve"> </w:t>
      </w:r>
      <w:r w:rsidRPr="004D4EDD">
        <w:t>367) groups, although moderately more men were enrolled in the placebo group (66.2%) compared to ozanimod groups (</w:t>
      </w:r>
      <w:r w:rsidR="00E96E13" w:rsidRPr="004D4EDD">
        <w:t>57.1%</w:t>
      </w:r>
      <w:r w:rsidR="007C591F" w:rsidRPr="004D4EDD">
        <w:t xml:space="preserve"> male </w:t>
      </w:r>
      <w:r w:rsidR="00E96E13" w:rsidRPr="004D4EDD">
        <w:t xml:space="preserve">for Cohort </w:t>
      </w:r>
      <w:r w:rsidRPr="004D4EDD">
        <w:t xml:space="preserve">1, </w:t>
      </w:r>
      <w:r w:rsidR="00E96E13" w:rsidRPr="004D4EDD">
        <w:t xml:space="preserve">58.3% for Cohort </w:t>
      </w:r>
      <w:r w:rsidRPr="004D4EDD">
        <w:t xml:space="preserve">2). Between 4.4% and 6.5% of participants in each arm were aged 65 years or over (total 54 participants). Disease characteristics and treatment history at </w:t>
      </w:r>
      <w:r w:rsidR="00D4390C" w:rsidRPr="004D4EDD">
        <w:t>Baseline</w:t>
      </w:r>
      <w:r w:rsidRPr="004D4EDD">
        <w:t xml:space="preserve"> were also comparable between the treatment arms. Concomitant corticosteroids for systemic use (predominantly prednisone) were used in 27.7% of subjects in the Cohort 1 ozanimod group, 32.4% of subjects in the placebo group, and 33.8% of subjects in Cohort 2 ozanimod group. Approximately 30% of participants in Cohort 1 had received prior anti-TNF therapy,</w:t>
      </w:r>
      <w:r w:rsidRPr="004D4EDD">
        <w:rPr>
          <w:vertAlign w:val="superscript"/>
        </w:rPr>
        <w:footnoteReference w:id="23"/>
      </w:r>
      <w:r w:rsidRPr="004D4EDD">
        <w:t xml:space="preserve"> whereas approximately 43% of participants in Cohort 2 had received prior anti</w:t>
      </w:r>
      <w:r w:rsidR="00E96E13" w:rsidRPr="004D4EDD">
        <w:noBreakHyphen/>
      </w:r>
      <w:r w:rsidRPr="004D4EDD">
        <w:t>TNF therapy.</w:t>
      </w:r>
    </w:p>
    <w:p w14:paraId="4DA0D7B5" w14:textId="5C55A8F1" w:rsidR="004824D4" w:rsidRPr="004D4EDD" w:rsidRDefault="004824D4" w:rsidP="001551AA">
      <w:r w:rsidRPr="004D4EDD">
        <w:t xml:space="preserve">A statistically significantly greater proportion of participants achieved clinical remission in the </w:t>
      </w:r>
      <w:r w:rsidR="00E96E13" w:rsidRPr="004D4EDD">
        <w:t xml:space="preserve">Cohort </w:t>
      </w:r>
      <w:r w:rsidRPr="004D4EDD">
        <w:t xml:space="preserve">1 ozanimod group (18.4%) compared to the </w:t>
      </w:r>
      <w:r w:rsidR="007C591F" w:rsidRPr="004D4EDD">
        <w:t xml:space="preserve">Cohort 1 </w:t>
      </w:r>
      <w:r w:rsidRPr="004D4EDD">
        <w:t>placebo group (6.0%) at Week</w:t>
      </w:r>
      <w:r w:rsidR="00E96E13" w:rsidRPr="004D4EDD">
        <w:t> </w:t>
      </w:r>
      <w:r w:rsidRPr="004D4EDD">
        <w:t xml:space="preserve">10 of the </w:t>
      </w:r>
      <w:r w:rsidR="00A20545" w:rsidRPr="004D4EDD">
        <w:t>induction period</w:t>
      </w:r>
      <w:r w:rsidRPr="004D4EDD">
        <w:t xml:space="preserve"> (p &lt; 0.0001, </w:t>
      </w:r>
      <w:r w:rsidR="00E96E13" w:rsidRPr="004D4EDD">
        <w:t xml:space="preserve">see </w:t>
      </w:r>
      <w:r w:rsidR="00E96E13" w:rsidRPr="004D4EDD">
        <w:fldChar w:fldCharType="begin"/>
      </w:r>
      <w:r w:rsidR="00E96E13" w:rsidRPr="004D4EDD">
        <w:instrText xml:space="preserve"> REF _Ref110109002 \h </w:instrText>
      </w:r>
      <w:r w:rsidR="000F3BD0" w:rsidRPr="004D4EDD">
        <w:instrText xml:space="preserve"> \* MERGEFORMAT </w:instrText>
      </w:r>
      <w:r w:rsidR="00E96E13" w:rsidRPr="004D4EDD">
        <w:fldChar w:fldCharType="separate"/>
      </w:r>
      <w:r w:rsidR="004D4EDD" w:rsidRPr="004D4EDD">
        <w:t xml:space="preserve">Table </w:t>
      </w:r>
      <w:r w:rsidR="004D4EDD">
        <w:rPr>
          <w:noProof/>
        </w:rPr>
        <w:t>3</w:t>
      </w:r>
      <w:r w:rsidR="00E96E13" w:rsidRPr="004D4EDD">
        <w:fldChar w:fldCharType="end"/>
      </w:r>
      <w:r w:rsidR="00E96E13" w:rsidRPr="004D4EDD">
        <w:t xml:space="preserve"> below</w:t>
      </w:r>
      <w:r w:rsidRPr="004D4EDD">
        <w:t>). Sensitivity analyses supported the result. Key secondary outcomes were also significantly better in the ozanimod treatment arm compared to placebo (</w:t>
      </w:r>
      <w:r w:rsidR="00E96E13" w:rsidRPr="004D4EDD">
        <w:t xml:space="preserve">see </w:t>
      </w:r>
      <w:r w:rsidR="00E96E13" w:rsidRPr="004D4EDD">
        <w:fldChar w:fldCharType="begin"/>
      </w:r>
      <w:r w:rsidR="00E96E13" w:rsidRPr="004D4EDD">
        <w:instrText xml:space="preserve"> REF _Ref110109040 \h </w:instrText>
      </w:r>
      <w:r w:rsidR="000F3BD0" w:rsidRPr="004D4EDD">
        <w:instrText xml:space="preserve"> \* MERGEFORMAT </w:instrText>
      </w:r>
      <w:r w:rsidR="00E96E13" w:rsidRPr="004D4EDD">
        <w:fldChar w:fldCharType="separate"/>
      </w:r>
      <w:r w:rsidR="004D4EDD" w:rsidRPr="004D4EDD">
        <w:t xml:space="preserve">Table </w:t>
      </w:r>
      <w:r w:rsidR="004D4EDD">
        <w:rPr>
          <w:noProof/>
        </w:rPr>
        <w:t>4</w:t>
      </w:r>
      <w:r w:rsidR="00E96E13" w:rsidRPr="004D4EDD">
        <w:fldChar w:fldCharType="end"/>
      </w:r>
      <w:r w:rsidR="00E96E13" w:rsidRPr="004D4EDD">
        <w:t xml:space="preserve"> below</w:t>
      </w:r>
      <w:r w:rsidRPr="004D4EDD">
        <w:t>).</w:t>
      </w:r>
    </w:p>
    <w:p w14:paraId="2E8017AB" w14:textId="1C806DEC" w:rsidR="004824D4" w:rsidRPr="004D4EDD" w:rsidRDefault="00E96E13" w:rsidP="00703839">
      <w:pPr>
        <w:pStyle w:val="TableTitle"/>
      </w:pPr>
      <w:bookmarkStart w:id="45" w:name="_Ref110109002"/>
      <w:bookmarkStart w:id="46" w:name="_Toc88033857"/>
      <w:r w:rsidRPr="004D4EDD">
        <w:t xml:space="preserve">Table </w:t>
      </w:r>
      <w:r w:rsidR="009C0FB4">
        <w:fldChar w:fldCharType="begin"/>
      </w:r>
      <w:r w:rsidR="009C0FB4">
        <w:instrText xml:space="preserve"> SEQ Table \* ARABIC </w:instrText>
      </w:r>
      <w:r w:rsidR="009C0FB4">
        <w:fldChar w:fldCharType="separate"/>
      </w:r>
      <w:r w:rsidR="004D4EDD">
        <w:rPr>
          <w:noProof/>
        </w:rPr>
        <w:t>3</w:t>
      </w:r>
      <w:r w:rsidR="009C0FB4">
        <w:rPr>
          <w:noProof/>
        </w:rPr>
        <w:fldChar w:fldCharType="end"/>
      </w:r>
      <w:bookmarkEnd w:id="45"/>
      <w:r w:rsidR="004824D4" w:rsidRPr="004D4EDD">
        <w:t xml:space="preserve">: </w:t>
      </w:r>
      <w:r w:rsidR="00D57CA8" w:rsidRPr="004D4EDD">
        <w:t xml:space="preserve">Studies RPC01-3101 </w:t>
      </w:r>
      <w:r w:rsidR="004824D4" w:rsidRPr="004D4EDD">
        <w:t xml:space="preserve">Proportion of participants in </w:t>
      </w:r>
      <w:r w:rsidRPr="004D4EDD">
        <w:t xml:space="preserve">clinical remission </w:t>
      </w:r>
      <w:r w:rsidR="004824D4" w:rsidRPr="004D4EDD">
        <w:t>(3</w:t>
      </w:r>
      <w:r w:rsidR="007C591F" w:rsidRPr="004D4EDD">
        <w:noBreakHyphen/>
      </w:r>
      <w:r w:rsidR="004824D4" w:rsidRPr="004D4EDD">
        <w:t xml:space="preserve">component Mayo </w:t>
      </w:r>
      <w:r w:rsidRPr="004D4EDD">
        <w:t xml:space="preserve">definition using </w:t>
      </w:r>
      <w:r w:rsidR="004824D4" w:rsidRPr="004D4EDD">
        <w:t xml:space="preserve">7-day </w:t>
      </w:r>
      <w:r w:rsidRPr="004D4EDD">
        <w:t>scoring algorithm</w:t>
      </w:r>
      <w:r w:rsidR="004824D4" w:rsidRPr="004D4EDD">
        <w:t xml:space="preserve">) at Week 10 </w:t>
      </w:r>
      <w:r w:rsidR="007C591F" w:rsidRPr="004D4EDD">
        <w:t xml:space="preserve">of </w:t>
      </w:r>
      <w:r w:rsidR="00A20545" w:rsidRPr="004D4EDD">
        <w:t>induction period</w:t>
      </w:r>
      <w:r w:rsidR="004824D4" w:rsidRPr="004D4EDD">
        <w:t xml:space="preserve"> (</w:t>
      </w:r>
      <w:r w:rsidRPr="004D4EDD">
        <w:t>intention</w:t>
      </w:r>
      <w:r w:rsidRPr="004D4EDD">
        <w:noBreakHyphen/>
        <w:t>to-treat</w:t>
      </w:r>
      <w:r w:rsidR="004824D4" w:rsidRPr="004D4EDD">
        <w:t xml:space="preserve"> </w:t>
      </w:r>
      <w:r w:rsidRPr="004D4EDD">
        <w:t>population, non-responder imputation</w:t>
      </w:r>
      <w:r w:rsidR="004824D4" w:rsidRPr="004D4EDD">
        <w:t>)</w:t>
      </w:r>
      <w:bookmarkEnd w:id="46"/>
    </w:p>
    <w:p w14:paraId="0318B798" w14:textId="77777777" w:rsidR="004824D4" w:rsidRPr="004D4EDD" w:rsidRDefault="004824D4" w:rsidP="00703839">
      <w:r w:rsidRPr="004D4EDD">
        <w:rPr>
          <w:noProof/>
          <w:lang w:val="en-GB" w:eastAsia="en-GB"/>
        </w:rPr>
        <w:drawing>
          <wp:inline distT="0" distB="0" distL="0" distR="0" wp14:anchorId="4CA5E63C" wp14:editId="41265C0B">
            <wp:extent cx="5225143" cy="1466215"/>
            <wp:effectExtent l="0" t="0" r="0" b="635"/>
            <wp:docPr id="54" name="Picture 54" descr="Table 3: Studies RPC01-3101 Proportion of participants in clinical remission (3-component Mayo definition using 7-day scoring algorithm) at Week 10 of induction period (intention-to-treat population, non-responder impu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Table 3: Studies RPC01-3101 Proportion of participants in clinical remission (3-component Mayo definition using 7-day scoring algorithm) at Week 10 of induction period (intention-to-treat population, non-responder imputation)"/>
                    <pic:cNvPicPr/>
                  </pic:nvPicPr>
                  <pic:blipFill rotWithShape="1">
                    <a:blip r:embed="rId17"/>
                    <a:srcRect b="3024"/>
                    <a:stretch/>
                  </pic:blipFill>
                  <pic:spPr bwMode="auto">
                    <a:xfrm>
                      <a:off x="0" y="0"/>
                      <a:ext cx="5342411" cy="1499121"/>
                    </a:xfrm>
                    <a:prstGeom prst="rect">
                      <a:avLst/>
                    </a:prstGeom>
                    <a:ln>
                      <a:noFill/>
                    </a:ln>
                    <a:extLst>
                      <a:ext uri="{53640926-AAD7-44D8-BBD7-CCE9431645EC}">
                        <a14:shadowObscured xmlns:a14="http://schemas.microsoft.com/office/drawing/2010/main"/>
                      </a:ext>
                    </a:extLst>
                  </pic:spPr>
                </pic:pic>
              </a:graphicData>
            </a:graphic>
          </wp:inline>
        </w:drawing>
      </w:r>
    </w:p>
    <w:p w14:paraId="6091C529" w14:textId="2BA55B6E" w:rsidR="00E96E13" w:rsidRPr="004D4EDD" w:rsidRDefault="00AF7F79" w:rsidP="00703839">
      <w:pPr>
        <w:pStyle w:val="TableDescription"/>
      </w:pPr>
      <w:r w:rsidRPr="004D4EDD">
        <w:t xml:space="preserve">Abbreviations: </w:t>
      </w:r>
      <w:r w:rsidR="00E96E13" w:rsidRPr="004D4EDD">
        <w:t>CI = confidence interval; N = number of subjects; n = number of subjects in group.</w:t>
      </w:r>
    </w:p>
    <w:p w14:paraId="6F453AE2" w14:textId="544D81FE" w:rsidR="004824D4" w:rsidRPr="004D4EDD" w:rsidRDefault="004824D4" w:rsidP="00703839">
      <w:pPr>
        <w:pStyle w:val="TableDescription"/>
      </w:pPr>
      <w:r w:rsidRPr="004D4EDD">
        <w:t xml:space="preserve">a Clinical remission is defined as: </w:t>
      </w:r>
      <w:r w:rsidR="00E96E13" w:rsidRPr="004D4EDD">
        <w:t xml:space="preserve">rectal bleeding subscore </w:t>
      </w:r>
      <w:r w:rsidRPr="004D4EDD">
        <w:t xml:space="preserve">= 0 point and </w:t>
      </w:r>
      <w:r w:rsidR="00E96E13" w:rsidRPr="004D4EDD">
        <w:t xml:space="preserve">stool frequency subscore </w:t>
      </w:r>
      <w:r w:rsidRPr="004D4EDD">
        <w:t>≤</w:t>
      </w:r>
      <w:r w:rsidR="00E96E13" w:rsidRPr="004D4EDD">
        <w:t> </w:t>
      </w:r>
      <w:r w:rsidRPr="004D4EDD">
        <w:t>1</w:t>
      </w:r>
      <w:r w:rsidR="00E96E13" w:rsidRPr="004D4EDD">
        <w:t> </w:t>
      </w:r>
      <w:r w:rsidRPr="004D4EDD">
        <w:t xml:space="preserve">point (and a decrease of ≥ 1 point from the Baseline </w:t>
      </w:r>
      <w:r w:rsidR="00E96E13" w:rsidRPr="004D4EDD">
        <w:t>stool frequency subscore</w:t>
      </w:r>
      <w:r w:rsidRPr="004D4EDD">
        <w:t xml:space="preserve">) and </w:t>
      </w:r>
      <w:r w:rsidR="00E96E13" w:rsidRPr="004D4EDD">
        <w:t xml:space="preserve">endoscopy subscore </w:t>
      </w:r>
      <w:r w:rsidRPr="004D4EDD">
        <w:t>≤ 1 point without friability.</w:t>
      </w:r>
    </w:p>
    <w:p w14:paraId="3C700D44" w14:textId="15C40F7D" w:rsidR="001551AA" w:rsidRPr="004D4EDD" w:rsidRDefault="004824D4" w:rsidP="00703839">
      <w:pPr>
        <w:pStyle w:val="TableDescription"/>
      </w:pPr>
      <w:r w:rsidRPr="004D4EDD">
        <w:t>b Odds ratio (active</w:t>
      </w:r>
      <w:r w:rsidR="00E96E13" w:rsidRPr="004D4EDD">
        <w:t xml:space="preserve"> to </w:t>
      </w:r>
      <w:r w:rsidRPr="004D4EDD">
        <w:t xml:space="preserve">placebo), treatment difference, and 2-side 95% Wald CI and p-value for comparison between the Cohort 1 ozanimod and placebo group are based on the </w:t>
      </w:r>
      <w:r w:rsidR="00E96E13" w:rsidRPr="004D4EDD">
        <w:t>Cochran</w:t>
      </w:r>
      <w:r w:rsidR="00E96E13" w:rsidRPr="004D4EDD">
        <w:noBreakHyphen/>
        <w:t>Mantel</w:t>
      </w:r>
      <w:r w:rsidR="00E96E13" w:rsidRPr="004D4EDD">
        <w:noBreakHyphen/>
        <w:t xml:space="preserve">Haenszel </w:t>
      </w:r>
      <w:r w:rsidRPr="004D4EDD">
        <w:t xml:space="preserve">test, stratified by corticosteroid use at </w:t>
      </w:r>
      <w:r w:rsidR="00E96E13" w:rsidRPr="004D4EDD">
        <w:t>s</w:t>
      </w:r>
      <w:r w:rsidRPr="004D4EDD">
        <w:t>creening and prior anti-</w:t>
      </w:r>
      <w:r w:rsidR="00BE320A" w:rsidRPr="004D4EDD">
        <w:t>tumour necrosis factor</w:t>
      </w:r>
      <w:r w:rsidRPr="004D4EDD">
        <w:t xml:space="preserve"> use (yes or no).</w:t>
      </w:r>
    </w:p>
    <w:p w14:paraId="0ECF2DBB" w14:textId="7B8F2C89" w:rsidR="004824D4" w:rsidRPr="004D4EDD" w:rsidRDefault="004824D4" w:rsidP="00703839">
      <w:pPr>
        <w:pStyle w:val="TableDescription"/>
      </w:pPr>
      <w:r w:rsidRPr="004D4EDD">
        <w:t xml:space="preserve">Subjects with any of </w:t>
      </w:r>
      <w:r w:rsidR="00E96E13" w:rsidRPr="004D4EDD">
        <w:t>rectal bleeding subscore</w:t>
      </w:r>
      <w:r w:rsidRPr="004D4EDD">
        <w:t xml:space="preserve">, </w:t>
      </w:r>
      <w:r w:rsidR="00E96E13" w:rsidRPr="004D4EDD">
        <w:t xml:space="preserve">stool frequency </w:t>
      </w:r>
      <w:proofErr w:type="spellStart"/>
      <w:r w:rsidR="00E96E13" w:rsidRPr="004D4EDD">
        <w:t>subscore</w:t>
      </w:r>
      <w:proofErr w:type="spellEnd"/>
      <w:r w:rsidRPr="004D4EDD">
        <w:t xml:space="preserve">, and endoscopy </w:t>
      </w:r>
      <w:proofErr w:type="spellStart"/>
      <w:r w:rsidRPr="004D4EDD">
        <w:t>subscores</w:t>
      </w:r>
      <w:proofErr w:type="spellEnd"/>
      <w:r w:rsidRPr="004D4EDD">
        <w:t xml:space="preserve"> missing at Week 10 are classified as non-remitters.</w:t>
      </w:r>
      <w:bookmarkStart w:id="47" w:name="_Toc88033859"/>
    </w:p>
    <w:p w14:paraId="3D1A0FDD" w14:textId="6428214D" w:rsidR="004824D4" w:rsidRPr="004D4EDD" w:rsidRDefault="00E96E13" w:rsidP="00703839">
      <w:pPr>
        <w:pStyle w:val="TableTitle"/>
      </w:pPr>
      <w:bookmarkStart w:id="48" w:name="_Ref110109040"/>
      <w:r w:rsidRPr="004D4EDD">
        <w:lastRenderedPageBreak/>
        <w:t xml:space="preserve">Table </w:t>
      </w:r>
      <w:r w:rsidR="009C0FB4">
        <w:fldChar w:fldCharType="begin"/>
      </w:r>
      <w:r w:rsidR="009C0FB4">
        <w:instrText xml:space="preserve"> SEQ Table \* ARABIC </w:instrText>
      </w:r>
      <w:r w:rsidR="009C0FB4">
        <w:fldChar w:fldCharType="separate"/>
      </w:r>
      <w:r w:rsidR="004D4EDD">
        <w:rPr>
          <w:noProof/>
        </w:rPr>
        <w:t>4</w:t>
      </w:r>
      <w:r w:rsidR="009C0FB4">
        <w:rPr>
          <w:noProof/>
        </w:rPr>
        <w:fldChar w:fldCharType="end"/>
      </w:r>
      <w:bookmarkEnd w:id="48"/>
      <w:r w:rsidR="004824D4" w:rsidRPr="004D4EDD">
        <w:t xml:space="preserve">: </w:t>
      </w:r>
      <w:r w:rsidR="004826B1" w:rsidRPr="004D4EDD">
        <w:t xml:space="preserve">Study RPC01-3101 </w:t>
      </w:r>
      <w:r w:rsidR="004824D4" w:rsidRPr="004D4EDD">
        <w:t xml:space="preserve">Results for secondary efficacy outcomes </w:t>
      </w:r>
      <w:r w:rsidR="007C591F" w:rsidRPr="004D4EDD">
        <w:t>(</w:t>
      </w:r>
      <w:r w:rsidR="00A20545" w:rsidRPr="004D4EDD">
        <w:t>induction period</w:t>
      </w:r>
      <w:bookmarkEnd w:id="47"/>
      <w:r w:rsidR="007C591F" w:rsidRPr="004D4EDD">
        <w:t>)</w:t>
      </w:r>
    </w:p>
    <w:tbl>
      <w:tblPr>
        <w:tblStyle w:val="TableTGAblue"/>
        <w:tblW w:w="8354" w:type="dxa"/>
        <w:tblLook w:val="04A0" w:firstRow="1" w:lastRow="0" w:firstColumn="1" w:lastColumn="0" w:noHBand="0" w:noVBand="1"/>
      </w:tblPr>
      <w:tblGrid>
        <w:gridCol w:w="1550"/>
        <w:gridCol w:w="1417"/>
        <w:gridCol w:w="1418"/>
        <w:gridCol w:w="1417"/>
        <w:gridCol w:w="1418"/>
        <w:gridCol w:w="1134"/>
      </w:tblGrid>
      <w:tr w:rsidR="000A6A58" w:rsidRPr="004D4EDD" w14:paraId="0457091F" w14:textId="77777777" w:rsidTr="00703839">
        <w:trPr>
          <w:cnfStyle w:val="100000000000" w:firstRow="1" w:lastRow="0" w:firstColumn="0" w:lastColumn="0" w:oddVBand="0" w:evenVBand="0" w:oddHBand="0" w:evenHBand="0" w:firstRowFirstColumn="0" w:firstRowLastColumn="0" w:lastRowFirstColumn="0" w:lastRowLastColumn="0"/>
        </w:trPr>
        <w:tc>
          <w:tcPr>
            <w:tcW w:w="1550" w:type="dxa"/>
          </w:tcPr>
          <w:p w14:paraId="2BDF5C37" w14:textId="77777777" w:rsidR="004824D4" w:rsidRPr="004D4EDD" w:rsidRDefault="004824D4" w:rsidP="00BE320A">
            <w:pPr>
              <w:ind w:left="0" w:right="0"/>
              <w:rPr>
                <w:rFonts w:asciiTheme="minorHAnsi" w:hAnsiTheme="minorHAnsi"/>
                <w:sz w:val="19"/>
                <w:szCs w:val="19"/>
                <w:lang w:eastAsia="ja-JP"/>
              </w:rPr>
            </w:pPr>
          </w:p>
        </w:tc>
        <w:tc>
          <w:tcPr>
            <w:tcW w:w="1417" w:type="dxa"/>
            <w:vAlign w:val="center"/>
          </w:tcPr>
          <w:p w14:paraId="32E17609" w14:textId="28D8EAD2" w:rsidR="004824D4" w:rsidRPr="004D4EDD" w:rsidRDefault="004824D4">
            <w:pPr>
              <w:spacing w:before="0" w:after="0"/>
              <w:ind w:left="0" w:right="0"/>
              <w:jc w:val="center"/>
              <w:rPr>
                <w:rFonts w:asciiTheme="minorHAnsi" w:hAnsiTheme="minorHAnsi"/>
                <w:sz w:val="19"/>
                <w:szCs w:val="19"/>
                <w:lang w:eastAsia="ja-JP"/>
              </w:rPr>
            </w:pPr>
            <w:r w:rsidRPr="004D4EDD">
              <w:rPr>
                <w:rFonts w:asciiTheme="minorHAnsi" w:hAnsiTheme="minorHAnsi"/>
                <w:sz w:val="19"/>
                <w:szCs w:val="19"/>
                <w:lang w:eastAsia="ja-JP"/>
              </w:rPr>
              <w:t>Ozanimod 1</w:t>
            </w:r>
            <w:r w:rsidR="00265C8D" w:rsidRPr="004D4EDD">
              <w:rPr>
                <w:rFonts w:asciiTheme="minorHAnsi" w:hAnsiTheme="minorHAnsi"/>
                <w:sz w:val="19"/>
                <w:szCs w:val="19"/>
                <w:lang w:eastAsia="ja-JP"/>
              </w:rPr>
              <w:t> </w:t>
            </w:r>
            <w:r w:rsidRPr="004D4EDD">
              <w:rPr>
                <w:rFonts w:asciiTheme="minorHAnsi" w:hAnsiTheme="minorHAnsi"/>
                <w:sz w:val="19"/>
                <w:szCs w:val="19"/>
                <w:lang w:eastAsia="ja-JP"/>
              </w:rPr>
              <w:t>mg</w:t>
            </w:r>
          </w:p>
          <w:p w14:paraId="0E79F8C3" w14:textId="77777777" w:rsidR="004824D4" w:rsidRPr="004D4EDD" w:rsidRDefault="004824D4">
            <w:pPr>
              <w:spacing w:before="0" w:after="0"/>
              <w:ind w:left="0" w:right="0"/>
              <w:jc w:val="center"/>
              <w:rPr>
                <w:rFonts w:asciiTheme="minorHAnsi" w:hAnsiTheme="minorHAnsi"/>
                <w:sz w:val="19"/>
                <w:szCs w:val="19"/>
                <w:lang w:eastAsia="ja-JP"/>
              </w:rPr>
            </w:pPr>
            <w:r w:rsidRPr="004D4EDD">
              <w:rPr>
                <w:rFonts w:asciiTheme="minorHAnsi" w:hAnsiTheme="minorHAnsi"/>
                <w:sz w:val="19"/>
                <w:szCs w:val="19"/>
                <w:lang w:eastAsia="ja-JP"/>
              </w:rPr>
              <w:t>(N = 429)</w:t>
            </w:r>
          </w:p>
          <w:p w14:paraId="7848FADF" w14:textId="77777777" w:rsidR="004824D4" w:rsidRPr="004D4EDD" w:rsidRDefault="004824D4">
            <w:pPr>
              <w:spacing w:before="0" w:after="0"/>
              <w:ind w:left="0" w:right="0"/>
              <w:jc w:val="center"/>
              <w:rPr>
                <w:rFonts w:asciiTheme="minorHAnsi" w:hAnsiTheme="minorHAnsi"/>
                <w:sz w:val="19"/>
                <w:szCs w:val="19"/>
                <w:lang w:eastAsia="ja-JP"/>
              </w:rPr>
            </w:pPr>
            <w:r w:rsidRPr="004D4EDD">
              <w:rPr>
                <w:rFonts w:asciiTheme="minorHAnsi" w:hAnsiTheme="minorHAnsi" w:cs="TimesNewRoman"/>
                <w:sz w:val="19"/>
                <w:szCs w:val="19"/>
              </w:rPr>
              <w:t>n (%)</w:t>
            </w:r>
          </w:p>
        </w:tc>
        <w:tc>
          <w:tcPr>
            <w:tcW w:w="1418" w:type="dxa"/>
            <w:vAlign w:val="center"/>
          </w:tcPr>
          <w:p w14:paraId="22CD3965" w14:textId="77777777" w:rsidR="004824D4" w:rsidRPr="004D4EDD" w:rsidRDefault="004824D4">
            <w:pPr>
              <w:spacing w:before="0" w:after="0"/>
              <w:ind w:left="0" w:right="0"/>
              <w:jc w:val="center"/>
              <w:rPr>
                <w:rFonts w:asciiTheme="minorHAnsi" w:hAnsiTheme="minorHAnsi"/>
                <w:sz w:val="19"/>
                <w:szCs w:val="19"/>
                <w:lang w:eastAsia="ja-JP"/>
              </w:rPr>
            </w:pPr>
            <w:r w:rsidRPr="004D4EDD">
              <w:rPr>
                <w:rFonts w:asciiTheme="minorHAnsi" w:hAnsiTheme="minorHAnsi"/>
                <w:sz w:val="19"/>
                <w:szCs w:val="19"/>
                <w:lang w:eastAsia="ja-JP"/>
              </w:rPr>
              <w:t>Placebo</w:t>
            </w:r>
          </w:p>
          <w:p w14:paraId="361F9F40" w14:textId="77777777" w:rsidR="004824D4" w:rsidRPr="004D4EDD" w:rsidRDefault="004824D4">
            <w:pPr>
              <w:spacing w:before="0" w:after="0"/>
              <w:ind w:left="0" w:right="0"/>
              <w:jc w:val="center"/>
              <w:rPr>
                <w:rFonts w:asciiTheme="minorHAnsi" w:hAnsiTheme="minorHAnsi"/>
                <w:sz w:val="19"/>
                <w:szCs w:val="19"/>
                <w:lang w:eastAsia="ja-JP"/>
              </w:rPr>
            </w:pPr>
            <w:r w:rsidRPr="004D4EDD">
              <w:rPr>
                <w:rFonts w:asciiTheme="minorHAnsi" w:hAnsiTheme="minorHAnsi"/>
                <w:sz w:val="19"/>
                <w:szCs w:val="19"/>
                <w:lang w:eastAsia="ja-JP"/>
              </w:rPr>
              <w:t>(N = 216)</w:t>
            </w:r>
          </w:p>
          <w:p w14:paraId="762D1FA1" w14:textId="77777777" w:rsidR="004824D4" w:rsidRPr="004D4EDD" w:rsidRDefault="004824D4">
            <w:pPr>
              <w:spacing w:before="0" w:after="0"/>
              <w:ind w:left="0" w:right="0"/>
              <w:jc w:val="center"/>
              <w:rPr>
                <w:rFonts w:asciiTheme="minorHAnsi" w:hAnsiTheme="minorHAnsi"/>
                <w:sz w:val="19"/>
                <w:szCs w:val="19"/>
                <w:lang w:eastAsia="ja-JP"/>
              </w:rPr>
            </w:pPr>
            <w:r w:rsidRPr="004D4EDD">
              <w:rPr>
                <w:rFonts w:asciiTheme="minorHAnsi" w:hAnsiTheme="minorHAnsi" w:cs="TimesNewRoman"/>
                <w:sz w:val="19"/>
                <w:szCs w:val="19"/>
              </w:rPr>
              <w:t>n (%)</w:t>
            </w:r>
          </w:p>
        </w:tc>
        <w:tc>
          <w:tcPr>
            <w:tcW w:w="1417" w:type="dxa"/>
            <w:vAlign w:val="center"/>
          </w:tcPr>
          <w:p w14:paraId="08671AC4" w14:textId="77777777" w:rsidR="00BE320A" w:rsidRPr="004D4EDD" w:rsidRDefault="004824D4">
            <w:pPr>
              <w:spacing w:before="0" w:after="0"/>
              <w:ind w:left="0" w:right="0"/>
              <w:jc w:val="center"/>
              <w:rPr>
                <w:rFonts w:asciiTheme="minorHAnsi" w:hAnsiTheme="minorHAnsi" w:cs="TimesNewRoman"/>
                <w:b w:val="0"/>
                <w:sz w:val="19"/>
                <w:szCs w:val="19"/>
              </w:rPr>
            </w:pPr>
            <w:r w:rsidRPr="004D4EDD">
              <w:rPr>
                <w:rFonts w:asciiTheme="minorHAnsi" w:hAnsiTheme="minorHAnsi" w:cs="TimesNewRoman"/>
                <w:sz w:val="19"/>
                <w:szCs w:val="19"/>
              </w:rPr>
              <w:t>Odds ratio</w:t>
            </w:r>
          </w:p>
          <w:p w14:paraId="3C236B55" w14:textId="041DDAFF" w:rsidR="004824D4" w:rsidRPr="004D4EDD" w:rsidRDefault="004824D4">
            <w:pPr>
              <w:spacing w:before="0" w:after="0"/>
              <w:ind w:left="0" w:right="0"/>
              <w:jc w:val="center"/>
              <w:rPr>
                <w:rFonts w:asciiTheme="minorHAnsi" w:hAnsiTheme="minorHAnsi"/>
                <w:sz w:val="19"/>
                <w:szCs w:val="19"/>
                <w:lang w:eastAsia="ja-JP"/>
              </w:rPr>
            </w:pPr>
            <w:r w:rsidRPr="004D4EDD">
              <w:rPr>
                <w:rFonts w:asciiTheme="minorHAnsi" w:hAnsiTheme="minorHAnsi" w:cs="TimesNewRoman"/>
                <w:sz w:val="19"/>
                <w:szCs w:val="19"/>
              </w:rPr>
              <w:t>(95% CI)</w:t>
            </w:r>
          </w:p>
        </w:tc>
        <w:tc>
          <w:tcPr>
            <w:tcW w:w="1418" w:type="dxa"/>
            <w:vAlign w:val="center"/>
          </w:tcPr>
          <w:p w14:paraId="35D981DB" w14:textId="77777777" w:rsidR="004824D4" w:rsidRPr="004D4EDD" w:rsidRDefault="004824D4">
            <w:pPr>
              <w:spacing w:before="0" w:after="0"/>
              <w:ind w:left="0" w:right="0"/>
              <w:jc w:val="center"/>
              <w:rPr>
                <w:rFonts w:asciiTheme="minorHAnsi" w:hAnsiTheme="minorHAnsi" w:cs="TimesNewRoman"/>
                <w:sz w:val="19"/>
                <w:szCs w:val="19"/>
              </w:rPr>
            </w:pPr>
            <w:r w:rsidRPr="004D4EDD">
              <w:rPr>
                <w:rFonts w:asciiTheme="minorHAnsi" w:hAnsiTheme="minorHAnsi" w:cs="TimesNewRoman"/>
                <w:sz w:val="19"/>
                <w:szCs w:val="19"/>
              </w:rPr>
              <w:t>Difference in proportions</w:t>
            </w:r>
          </w:p>
          <w:p w14:paraId="74579090" w14:textId="77777777" w:rsidR="004824D4" w:rsidRPr="004D4EDD" w:rsidRDefault="004824D4">
            <w:pPr>
              <w:spacing w:before="0" w:after="0"/>
              <w:ind w:left="0" w:right="0"/>
              <w:jc w:val="center"/>
              <w:rPr>
                <w:rFonts w:asciiTheme="minorHAnsi" w:hAnsiTheme="minorHAnsi"/>
                <w:sz w:val="19"/>
                <w:szCs w:val="19"/>
                <w:lang w:eastAsia="ja-JP"/>
              </w:rPr>
            </w:pPr>
            <w:r w:rsidRPr="004D4EDD">
              <w:rPr>
                <w:rFonts w:asciiTheme="minorHAnsi" w:hAnsiTheme="minorHAnsi" w:cs="TimesNewRoman"/>
                <w:sz w:val="19"/>
                <w:szCs w:val="19"/>
              </w:rPr>
              <w:t>(95% CI)</w:t>
            </w:r>
          </w:p>
        </w:tc>
        <w:tc>
          <w:tcPr>
            <w:tcW w:w="1134" w:type="dxa"/>
            <w:vAlign w:val="center"/>
          </w:tcPr>
          <w:p w14:paraId="5E51D4A1" w14:textId="77777777" w:rsidR="004824D4" w:rsidRPr="004D4EDD" w:rsidRDefault="004824D4">
            <w:pPr>
              <w:ind w:left="0" w:right="0"/>
              <w:jc w:val="center"/>
              <w:rPr>
                <w:rFonts w:asciiTheme="minorHAnsi" w:hAnsiTheme="minorHAnsi"/>
                <w:sz w:val="19"/>
                <w:szCs w:val="19"/>
                <w:lang w:eastAsia="ja-JP"/>
              </w:rPr>
            </w:pPr>
            <w:r w:rsidRPr="004D4EDD">
              <w:rPr>
                <w:rFonts w:asciiTheme="minorHAnsi" w:hAnsiTheme="minorHAnsi" w:cs="TimesNewRoman"/>
                <w:sz w:val="19"/>
                <w:szCs w:val="19"/>
              </w:rPr>
              <w:t>p-value</w:t>
            </w:r>
          </w:p>
        </w:tc>
      </w:tr>
      <w:tr w:rsidR="007C591F" w:rsidRPr="004D4EDD" w14:paraId="7FD96826" w14:textId="77777777" w:rsidTr="00703839">
        <w:tc>
          <w:tcPr>
            <w:tcW w:w="1550" w:type="dxa"/>
          </w:tcPr>
          <w:p w14:paraId="1A059B91" w14:textId="77777777" w:rsidR="004824D4" w:rsidRPr="004D4EDD" w:rsidRDefault="004824D4" w:rsidP="00BE320A">
            <w:pPr>
              <w:ind w:left="0" w:right="0"/>
              <w:rPr>
                <w:rFonts w:asciiTheme="minorHAnsi" w:hAnsiTheme="minorHAnsi"/>
                <w:sz w:val="19"/>
                <w:szCs w:val="19"/>
                <w:lang w:eastAsia="ja-JP"/>
              </w:rPr>
            </w:pPr>
            <w:r w:rsidRPr="004D4EDD">
              <w:rPr>
                <w:rFonts w:asciiTheme="minorHAnsi" w:hAnsiTheme="minorHAnsi"/>
                <w:sz w:val="19"/>
                <w:szCs w:val="19"/>
                <w:lang w:eastAsia="ja-JP"/>
              </w:rPr>
              <w:t>Clinical response at Week 10</w:t>
            </w:r>
            <w:r w:rsidRPr="004D4EDD">
              <w:rPr>
                <w:rFonts w:asciiTheme="minorHAnsi" w:hAnsiTheme="minorHAnsi" w:cs="TimesNewRoman"/>
                <w:sz w:val="19"/>
                <w:szCs w:val="19"/>
              </w:rPr>
              <w:t xml:space="preserve"> </w:t>
            </w:r>
          </w:p>
        </w:tc>
        <w:tc>
          <w:tcPr>
            <w:tcW w:w="1417" w:type="dxa"/>
            <w:vAlign w:val="center"/>
          </w:tcPr>
          <w:p w14:paraId="642DD115" w14:textId="77777777" w:rsidR="004824D4" w:rsidRPr="004D4EDD" w:rsidRDefault="004824D4" w:rsidP="003A5E4F">
            <w:pPr>
              <w:ind w:left="0" w:right="0"/>
              <w:jc w:val="center"/>
              <w:rPr>
                <w:rFonts w:asciiTheme="minorHAnsi" w:hAnsiTheme="minorHAnsi"/>
                <w:sz w:val="19"/>
                <w:szCs w:val="19"/>
                <w:lang w:eastAsia="ja-JP"/>
              </w:rPr>
            </w:pPr>
            <w:r w:rsidRPr="004D4EDD">
              <w:rPr>
                <w:rFonts w:asciiTheme="minorHAnsi" w:hAnsiTheme="minorHAnsi" w:cs="TimesNewRoman"/>
                <w:sz w:val="19"/>
                <w:szCs w:val="19"/>
              </w:rPr>
              <w:t>205 (47.8)</w:t>
            </w:r>
          </w:p>
        </w:tc>
        <w:tc>
          <w:tcPr>
            <w:tcW w:w="1418" w:type="dxa"/>
            <w:vAlign w:val="center"/>
          </w:tcPr>
          <w:p w14:paraId="4CBAF070" w14:textId="77777777" w:rsidR="004824D4" w:rsidRPr="004D4EDD" w:rsidRDefault="004824D4" w:rsidP="003A5E4F">
            <w:pPr>
              <w:ind w:left="0" w:right="0"/>
              <w:jc w:val="center"/>
              <w:rPr>
                <w:rFonts w:asciiTheme="minorHAnsi" w:hAnsiTheme="minorHAnsi"/>
                <w:sz w:val="19"/>
                <w:szCs w:val="19"/>
                <w:lang w:eastAsia="ja-JP"/>
              </w:rPr>
            </w:pPr>
            <w:r w:rsidRPr="004D4EDD">
              <w:rPr>
                <w:rFonts w:asciiTheme="minorHAnsi" w:hAnsiTheme="minorHAnsi" w:cs="TimesNewRoman"/>
                <w:sz w:val="19"/>
                <w:szCs w:val="19"/>
              </w:rPr>
              <w:t>56 (25.9)</w:t>
            </w:r>
          </w:p>
        </w:tc>
        <w:tc>
          <w:tcPr>
            <w:tcW w:w="1417" w:type="dxa"/>
            <w:vAlign w:val="center"/>
          </w:tcPr>
          <w:p w14:paraId="2F48BB4D" w14:textId="3947EA15" w:rsidR="004824D4" w:rsidRPr="004D4EDD" w:rsidRDefault="004824D4" w:rsidP="003A5E4F">
            <w:pPr>
              <w:ind w:left="0" w:right="0"/>
              <w:jc w:val="center"/>
              <w:rPr>
                <w:rFonts w:asciiTheme="minorHAnsi" w:hAnsiTheme="minorHAnsi"/>
                <w:sz w:val="19"/>
                <w:szCs w:val="19"/>
                <w:lang w:eastAsia="ja-JP"/>
              </w:rPr>
            </w:pPr>
            <w:r w:rsidRPr="004D4EDD">
              <w:rPr>
                <w:rFonts w:asciiTheme="minorHAnsi" w:hAnsiTheme="minorHAnsi" w:cs="TimesNewRoman"/>
                <w:sz w:val="19"/>
                <w:szCs w:val="19"/>
              </w:rPr>
              <w:t>2.670</w:t>
            </w:r>
            <w:r w:rsidR="007C591F" w:rsidRPr="004D4EDD">
              <w:rPr>
                <w:rFonts w:asciiTheme="minorHAnsi" w:hAnsiTheme="minorHAnsi" w:cs="TimesNewRoman"/>
                <w:sz w:val="19"/>
                <w:szCs w:val="19"/>
              </w:rPr>
              <w:br/>
            </w:r>
            <w:r w:rsidRPr="004D4EDD">
              <w:rPr>
                <w:rFonts w:asciiTheme="minorHAnsi" w:hAnsiTheme="minorHAnsi" w:cs="TimesNewRoman"/>
                <w:sz w:val="19"/>
                <w:szCs w:val="19"/>
              </w:rPr>
              <w:t>(1.858, 3.836)</w:t>
            </w:r>
          </w:p>
        </w:tc>
        <w:tc>
          <w:tcPr>
            <w:tcW w:w="1418" w:type="dxa"/>
            <w:vAlign w:val="center"/>
          </w:tcPr>
          <w:p w14:paraId="64603B39" w14:textId="16EBE8E5" w:rsidR="004824D4" w:rsidRPr="004D4EDD" w:rsidRDefault="004824D4">
            <w:pPr>
              <w:ind w:left="0" w:right="0"/>
              <w:jc w:val="center"/>
              <w:rPr>
                <w:rFonts w:asciiTheme="minorHAnsi" w:hAnsiTheme="minorHAnsi"/>
                <w:sz w:val="19"/>
                <w:szCs w:val="19"/>
                <w:lang w:eastAsia="ja-JP"/>
              </w:rPr>
            </w:pPr>
            <w:r w:rsidRPr="004D4EDD">
              <w:rPr>
                <w:rFonts w:asciiTheme="minorHAnsi" w:hAnsiTheme="minorHAnsi" w:cs="TimesNewRoman"/>
                <w:sz w:val="19"/>
                <w:szCs w:val="19"/>
              </w:rPr>
              <w:t>0.219</w:t>
            </w:r>
            <w:r w:rsidR="007C591F" w:rsidRPr="004D4EDD">
              <w:rPr>
                <w:rFonts w:asciiTheme="minorHAnsi" w:hAnsiTheme="minorHAnsi" w:cs="TimesNewRoman"/>
                <w:sz w:val="19"/>
                <w:szCs w:val="19"/>
              </w:rPr>
              <w:br/>
            </w:r>
            <w:r w:rsidRPr="004D4EDD">
              <w:rPr>
                <w:rFonts w:asciiTheme="minorHAnsi" w:hAnsiTheme="minorHAnsi" w:cs="TimesNewRoman"/>
                <w:sz w:val="19"/>
                <w:szCs w:val="19"/>
              </w:rPr>
              <w:t>(0.144, 0.293)</w:t>
            </w:r>
          </w:p>
        </w:tc>
        <w:tc>
          <w:tcPr>
            <w:tcW w:w="1134" w:type="dxa"/>
            <w:vAlign w:val="center"/>
          </w:tcPr>
          <w:p w14:paraId="5ACCDA23" w14:textId="2E013992" w:rsidR="004824D4" w:rsidRPr="004D4EDD" w:rsidRDefault="004824D4" w:rsidP="003A5E4F">
            <w:pPr>
              <w:ind w:left="0" w:right="0"/>
              <w:jc w:val="center"/>
              <w:rPr>
                <w:rFonts w:asciiTheme="minorHAnsi" w:hAnsiTheme="minorHAnsi"/>
                <w:sz w:val="19"/>
                <w:szCs w:val="19"/>
                <w:lang w:eastAsia="ja-JP"/>
              </w:rPr>
            </w:pPr>
            <w:r w:rsidRPr="004D4EDD">
              <w:rPr>
                <w:rFonts w:asciiTheme="minorHAnsi" w:hAnsiTheme="minorHAnsi" w:cs="TimesNewRoman"/>
                <w:sz w:val="19"/>
                <w:szCs w:val="19"/>
              </w:rPr>
              <w:t>&lt;</w:t>
            </w:r>
            <w:r w:rsidR="007C591F" w:rsidRPr="004D4EDD">
              <w:rPr>
                <w:rFonts w:asciiTheme="minorHAnsi" w:hAnsiTheme="minorHAnsi" w:cs="TimesNewRoman"/>
                <w:sz w:val="19"/>
                <w:szCs w:val="19"/>
              </w:rPr>
              <w:t xml:space="preserve"> </w:t>
            </w:r>
            <w:r w:rsidRPr="004D4EDD">
              <w:rPr>
                <w:rFonts w:asciiTheme="minorHAnsi" w:hAnsiTheme="minorHAnsi" w:cs="TimesNewRoman"/>
                <w:sz w:val="19"/>
                <w:szCs w:val="19"/>
              </w:rPr>
              <w:t>0.0001</w:t>
            </w:r>
          </w:p>
        </w:tc>
      </w:tr>
      <w:tr w:rsidR="007C591F" w:rsidRPr="004D4EDD" w14:paraId="01E2D922" w14:textId="77777777" w:rsidTr="00703839">
        <w:tc>
          <w:tcPr>
            <w:tcW w:w="1550" w:type="dxa"/>
          </w:tcPr>
          <w:p w14:paraId="527D682C" w14:textId="77777777" w:rsidR="004824D4" w:rsidRPr="004D4EDD" w:rsidRDefault="004824D4" w:rsidP="00BE320A">
            <w:pPr>
              <w:ind w:left="0" w:right="0"/>
              <w:rPr>
                <w:rFonts w:asciiTheme="minorHAnsi" w:hAnsiTheme="minorHAnsi"/>
                <w:sz w:val="19"/>
                <w:szCs w:val="19"/>
                <w:lang w:eastAsia="ja-JP"/>
              </w:rPr>
            </w:pPr>
            <w:r w:rsidRPr="004D4EDD">
              <w:rPr>
                <w:rFonts w:asciiTheme="minorHAnsi" w:hAnsiTheme="minorHAnsi"/>
                <w:sz w:val="19"/>
                <w:szCs w:val="19"/>
                <w:lang w:eastAsia="ja-JP"/>
              </w:rPr>
              <w:t>Endoscopic improvement at Week 10</w:t>
            </w:r>
          </w:p>
        </w:tc>
        <w:tc>
          <w:tcPr>
            <w:tcW w:w="1417" w:type="dxa"/>
            <w:vAlign w:val="center"/>
          </w:tcPr>
          <w:p w14:paraId="30124F41" w14:textId="77777777" w:rsidR="004824D4" w:rsidRPr="004D4EDD" w:rsidRDefault="004824D4" w:rsidP="003A5E4F">
            <w:pPr>
              <w:ind w:left="0" w:right="0"/>
              <w:jc w:val="center"/>
              <w:rPr>
                <w:rFonts w:asciiTheme="minorHAnsi" w:hAnsiTheme="minorHAnsi"/>
                <w:sz w:val="19"/>
                <w:szCs w:val="19"/>
                <w:lang w:eastAsia="ja-JP"/>
              </w:rPr>
            </w:pPr>
            <w:r w:rsidRPr="004D4EDD">
              <w:rPr>
                <w:rFonts w:asciiTheme="minorHAnsi" w:hAnsiTheme="minorHAnsi" w:cs="TimesNewRoman"/>
                <w:sz w:val="19"/>
                <w:szCs w:val="19"/>
              </w:rPr>
              <w:t>117 (27.3)</w:t>
            </w:r>
          </w:p>
        </w:tc>
        <w:tc>
          <w:tcPr>
            <w:tcW w:w="1418" w:type="dxa"/>
            <w:vAlign w:val="center"/>
          </w:tcPr>
          <w:p w14:paraId="49774056" w14:textId="77777777" w:rsidR="004824D4" w:rsidRPr="004D4EDD" w:rsidRDefault="004824D4" w:rsidP="003A5E4F">
            <w:pPr>
              <w:ind w:left="0" w:right="0"/>
              <w:jc w:val="center"/>
              <w:rPr>
                <w:rFonts w:asciiTheme="minorHAnsi" w:hAnsiTheme="minorHAnsi"/>
                <w:sz w:val="19"/>
                <w:szCs w:val="19"/>
                <w:lang w:eastAsia="ja-JP"/>
              </w:rPr>
            </w:pPr>
            <w:r w:rsidRPr="004D4EDD">
              <w:rPr>
                <w:rFonts w:asciiTheme="minorHAnsi" w:hAnsiTheme="minorHAnsi" w:cs="TimesNewRoman"/>
                <w:sz w:val="19"/>
                <w:szCs w:val="19"/>
              </w:rPr>
              <w:t>25 (11.6)</w:t>
            </w:r>
          </w:p>
        </w:tc>
        <w:tc>
          <w:tcPr>
            <w:tcW w:w="1417" w:type="dxa"/>
            <w:vAlign w:val="center"/>
          </w:tcPr>
          <w:p w14:paraId="3FDFCEB6" w14:textId="735254AF" w:rsidR="004824D4" w:rsidRPr="004D4EDD" w:rsidRDefault="004824D4" w:rsidP="003A5E4F">
            <w:pPr>
              <w:ind w:left="0" w:right="0"/>
              <w:jc w:val="center"/>
              <w:rPr>
                <w:rFonts w:asciiTheme="minorHAnsi" w:hAnsiTheme="minorHAnsi"/>
                <w:sz w:val="19"/>
                <w:szCs w:val="19"/>
                <w:lang w:eastAsia="ja-JP"/>
              </w:rPr>
            </w:pPr>
            <w:r w:rsidRPr="004D4EDD">
              <w:rPr>
                <w:rFonts w:asciiTheme="minorHAnsi" w:hAnsiTheme="minorHAnsi" w:cs="TimesNewRoman"/>
                <w:sz w:val="19"/>
                <w:szCs w:val="19"/>
              </w:rPr>
              <w:t>2.876</w:t>
            </w:r>
            <w:r w:rsidR="007C591F" w:rsidRPr="004D4EDD">
              <w:rPr>
                <w:rFonts w:asciiTheme="minorHAnsi" w:hAnsiTheme="minorHAnsi" w:cs="TimesNewRoman"/>
                <w:sz w:val="19"/>
                <w:szCs w:val="19"/>
              </w:rPr>
              <w:br/>
            </w:r>
            <w:r w:rsidRPr="004D4EDD">
              <w:rPr>
                <w:rFonts w:asciiTheme="minorHAnsi" w:hAnsiTheme="minorHAnsi" w:cs="TimesNewRoman"/>
                <w:sz w:val="19"/>
                <w:szCs w:val="19"/>
              </w:rPr>
              <w:t>(1.802, 4.591)</w:t>
            </w:r>
          </w:p>
        </w:tc>
        <w:tc>
          <w:tcPr>
            <w:tcW w:w="1418" w:type="dxa"/>
            <w:vAlign w:val="center"/>
          </w:tcPr>
          <w:p w14:paraId="0360F055" w14:textId="38879FF5" w:rsidR="004824D4" w:rsidRPr="004D4EDD" w:rsidRDefault="004824D4">
            <w:pPr>
              <w:ind w:left="0" w:right="0"/>
              <w:jc w:val="center"/>
              <w:rPr>
                <w:rFonts w:asciiTheme="minorHAnsi" w:hAnsiTheme="minorHAnsi"/>
                <w:sz w:val="19"/>
                <w:szCs w:val="19"/>
                <w:lang w:eastAsia="ja-JP"/>
              </w:rPr>
            </w:pPr>
            <w:r w:rsidRPr="004D4EDD">
              <w:rPr>
                <w:rFonts w:asciiTheme="minorHAnsi" w:hAnsiTheme="minorHAnsi" w:cs="TimesNewRoman"/>
                <w:sz w:val="19"/>
                <w:szCs w:val="19"/>
              </w:rPr>
              <w:t>0.157</w:t>
            </w:r>
            <w:r w:rsidR="007C591F" w:rsidRPr="004D4EDD">
              <w:rPr>
                <w:rFonts w:asciiTheme="minorHAnsi" w:hAnsiTheme="minorHAnsi" w:cs="TimesNewRoman"/>
                <w:sz w:val="19"/>
                <w:szCs w:val="19"/>
              </w:rPr>
              <w:br/>
            </w:r>
            <w:r w:rsidRPr="004D4EDD">
              <w:rPr>
                <w:rFonts w:asciiTheme="minorHAnsi" w:hAnsiTheme="minorHAnsi" w:cs="TimesNewRoman"/>
                <w:sz w:val="19"/>
                <w:szCs w:val="19"/>
              </w:rPr>
              <w:t>(0.097, 0.217)</w:t>
            </w:r>
          </w:p>
        </w:tc>
        <w:tc>
          <w:tcPr>
            <w:tcW w:w="1134" w:type="dxa"/>
            <w:vAlign w:val="center"/>
          </w:tcPr>
          <w:p w14:paraId="38F09DCF" w14:textId="2E3B2BC6" w:rsidR="004824D4" w:rsidRPr="004D4EDD" w:rsidRDefault="004824D4" w:rsidP="003A5E4F">
            <w:pPr>
              <w:ind w:left="0" w:right="0"/>
              <w:jc w:val="center"/>
              <w:rPr>
                <w:rFonts w:asciiTheme="minorHAnsi" w:hAnsiTheme="minorHAnsi"/>
                <w:sz w:val="19"/>
                <w:szCs w:val="19"/>
                <w:lang w:eastAsia="ja-JP"/>
              </w:rPr>
            </w:pPr>
            <w:r w:rsidRPr="004D4EDD">
              <w:rPr>
                <w:rFonts w:asciiTheme="minorHAnsi" w:hAnsiTheme="minorHAnsi" w:cs="TimesNewRoman"/>
                <w:sz w:val="19"/>
                <w:szCs w:val="19"/>
              </w:rPr>
              <w:t>&lt;</w:t>
            </w:r>
            <w:r w:rsidR="007C591F" w:rsidRPr="004D4EDD">
              <w:rPr>
                <w:rFonts w:asciiTheme="minorHAnsi" w:hAnsiTheme="minorHAnsi" w:cs="TimesNewRoman"/>
                <w:sz w:val="19"/>
                <w:szCs w:val="19"/>
              </w:rPr>
              <w:t xml:space="preserve"> </w:t>
            </w:r>
            <w:r w:rsidRPr="004D4EDD">
              <w:rPr>
                <w:rFonts w:asciiTheme="minorHAnsi" w:hAnsiTheme="minorHAnsi" w:cs="TimesNewRoman"/>
                <w:sz w:val="19"/>
                <w:szCs w:val="19"/>
              </w:rPr>
              <w:t>0.0001</w:t>
            </w:r>
          </w:p>
        </w:tc>
      </w:tr>
      <w:tr w:rsidR="007C591F" w:rsidRPr="004D4EDD" w14:paraId="0B24D12D" w14:textId="77777777" w:rsidTr="00703839">
        <w:tc>
          <w:tcPr>
            <w:tcW w:w="1550" w:type="dxa"/>
          </w:tcPr>
          <w:p w14:paraId="76B0930A" w14:textId="46104083" w:rsidR="004824D4" w:rsidRPr="004D4EDD" w:rsidRDefault="004824D4" w:rsidP="00BE320A">
            <w:pPr>
              <w:ind w:left="0" w:right="0"/>
              <w:rPr>
                <w:rFonts w:asciiTheme="minorHAnsi" w:hAnsiTheme="minorHAnsi"/>
                <w:sz w:val="19"/>
                <w:szCs w:val="19"/>
                <w:lang w:eastAsia="ja-JP"/>
              </w:rPr>
            </w:pPr>
            <w:r w:rsidRPr="004D4EDD">
              <w:rPr>
                <w:rFonts w:asciiTheme="minorHAnsi" w:hAnsiTheme="minorHAnsi"/>
                <w:sz w:val="19"/>
                <w:szCs w:val="19"/>
                <w:lang w:eastAsia="ja-JP"/>
              </w:rPr>
              <w:t>Mucosal healing at Week 10</w:t>
            </w:r>
          </w:p>
        </w:tc>
        <w:tc>
          <w:tcPr>
            <w:tcW w:w="1417" w:type="dxa"/>
            <w:vAlign w:val="center"/>
          </w:tcPr>
          <w:p w14:paraId="6F05CE7C" w14:textId="77777777" w:rsidR="004824D4" w:rsidRPr="004D4EDD" w:rsidRDefault="004824D4" w:rsidP="003A5E4F">
            <w:pPr>
              <w:ind w:left="0" w:right="0"/>
              <w:jc w:val="center"/>
              <w:rPr>
                <w:rFonts w:asciiTheme="minorHAnsi" w:hAnsiTheme="minorHAnsi"/>
                <w:sz w:val="19"/>
                <w:szCs w:val="19"/>
                <w:lang w:eastAsia="ja-JP"/>
              </w:rPr>
            </w:pPr>
            <w:r w:rsidRPr="004D4EDD">
              <w:rPr>
                <w:rFonts w:asciiTheme="minorHAnsi" w:hAnsiTheme="minorHAnsi" w:cs="TimesNewRoman"/>
                <w:sz w:val="19"/>
                <w:szCs w:val="19"/>
              </w:rPr>
              <w:t>54 (12.6)</w:t>
            </w:r>
          </w:p>
        </w:tc>
        <w:tc>
          <w:tcPr>
            <w:tcW w:w="1418" w:type="dxa"/>
            <w:vAlign w:val="center"/>
          </w:tcPr>
          <w:p w14:paraId="4CCF5286" w14:textId="77777777" w:rsidR="004824D4" w:rsidRPr="004D4EDD" w:rsidRDefault="004824D4" w:rsidP="003A5E4F">
            <w:pPr>
              <w:ind w:left="0" w:right="0"/>
              <w:jc w:val="center"/>
              <w:rPr>
                <w:rFonts w:asciiTheme="minorHAnsi" w:hAnsiTheme="minorHAnsi"/>
                <w:sz w:val="19"/>
                <w:szCs w:val="19"/>
                <w:lang w:eastAsia="ja-JP"/>
              </w:rPr>
            </w:pPr>
            <w:r w:rsidRPr="004D4EDD">
              <w:rPr>
                <w:rFonts w:asciiTheme="minorHAnsi" w:hAnsiTheme="minorHAnsi" w:cs="TimesNewRoman"/>
                <w:sz w:val="19"/>
                <w:szCs w:val="19"/>
              </w:rPr>
              <w:t>8 (3.7)</w:t>
            </w:r>
          </w:p>
        </w:tc>
        <w:tc>
          <w:tcPr>
            <w:tcW w:w="1417" w:type="dxa"/>
            <w:vAlign w:val="center"/>
          </w:tcPr>
          <w:p w14:paraId="64DC6213" w14:textId="7887B881" w:rsidR="004824D4" w:rsidRPr="004D4EDD" w:rsidRDefault="004824D4" w:rsidP="003A5E4F">
            <w:pPr>
              <w:ind w:left="0" w:right="0"/>
              <w:jc w:val="center"/>
              <w:rPr>
                <w:rFonts w:asciiTheme="minorHAnsi" w:hAnsiTheme="minorHAnsi"/>
                <w:sz w:val="19"/>
                <w:szCs w:val="19"/>
                <w:lang w:eastAsia="ja-JP"/>
              </w:rPr>
            </w:pPr>
            <w:r w:rsidRPr="004D4EDD">
              <w:rPr>
                <w:rFonts w:asciiTheme="minorHAnsi" w:hAnsiTheme="minorHAnsi" w:cs="TimesNewRoman"/>
                <w:sz w:val="19"/>
                <w:szCs w:val="19"/>
              </w:rPr>
              <w:t>3.767</w:t>
            </w:r>
            <w:r w:rsidR="007C591F" w:rsidRPr="004D4EDD">
              <w:rPr>
                <w:rFonts w:asciiTheme="minorHAnsi" w:hAnsiTheme="minorHAnsi" w:cs="TimesNewRoman"/>
                <w:sz w:val="19"/>
                <w:szCs w:val="19"/>
              </w:rPr>
              <w:br/>
            </w:r>
            <w:r w:rsidRPr="004D4EDD">
              <w:rPr>
                <w:rFonts w:asciiTheme="minorHAnsi" w:hAnsiTheme="minorHAnsi" w:cs="TimesNewRoman"/>
                <w:sz w:val="19"/>
                <w:szCs w:val="19"/>
              </w:rPr>
              <w:t>(1.759, 8.068)</w:t>
            </w:r>
          </w:p>
        </w:tc>
        <w:tc>
          <w:tcPr>
            <w:tcW w:w="1418" w:type="dxa"/>
            <w:vAlign w:val="center"/>
          </w:tcPr>
          <w:p w14:paraId="49C84E62" w14:textId="09BE21AE" w:rsidR="004824D4" w:rsidRPr="004D4EDD" w:rsidRDefault="004824D4">
            <w:pPr>
              <w:ind w:left="0" w:right="0"/>
              <w:jc w:val="center"/>
              <w:rPr>
                <w:rFonts w:asciiTheme="minorHAnsi" w:hAnsiTheme="minorHAnsi"/>
                <w:sz w:val="19"/>
                <w:szCs w:val="19"/>
                <w:lang w:eastAsia="ja-JP"/>
              </w:rPr>
            </w:pPr>
            <w:r w:rsidRPr="004D4EDD">
              <w:rPr>
                <w:rFonts w:asciiTheme="minorHAnsi" w:hAnsiTheme="minorHAnsi" w:cs="TimesNewRoman"/>
                <w:sz w:val="19"/>
                <w:szCs w:val="19"/>
              </w:rPr>
              <w:t>0.089</w:t>
            </w:r>
            <w:r w:rsidR="007C591F" w:rsidRPr="004D4EDD">
              <w:rPr>
                <w:rFonts w:asciiTheme="minorHAnsi" w:hAnsiTheme="minorHAnsi" w:cs="TimesNewRoman"/>
                <w:sz w:val="19"/>
                <w:szCs w:val="19"/>
              </w:rPr>
              <w:br/>
            </w:r>
            <w:r w:rsidRPr="004D4EDD">
              <w:rPr>
                <w:rFonts w:asciiTheme="minorHAnsi" w:hAnsiTheme="minorHAnsi" w:cs="TimesNewRoman"/>
                <w:sz w:val="19"/>
                <w:szCs w:val="19"/>
              </w:rPr>
              <w:t>(0.049, 0.129)</w:t>
            </w:r>
          </w:p>
        </w:tc>
        <w:tc>
          <w:tcPr>
            <w:tcW w:w="1134" w:type="dxa"/>
            <w:vAlign w:val="center"/>
          </w:tcPr>
          <w:p w14:paraId="2473D7A6" w14:textId="1F632D57" w:rsidR="004824D4" w:rsidRPr="004D4EDD" w:rsidRDefault="004824D4" w:rsidP="003A5E4F">
            <w:pPr>
              <w:ind w:left="0" w:right="0"/>
              <w:jc w:val="center"/>
              <w:rPr>
                <w:rFonts w:asciiTheme="minorHAnsi" w:hAnsiTheme="minorHAnsi"/>
                <w:sz w:val="19"/>
                <w:szCs w:val="19"/>
                <w:lang w:eastAsia="ja-JP"/>
              </w:rPr>
            </w:pPr>
            <w:r w:rsidRPr="004D4EDD">
              <w:rPr>
                <w:rFonts w:asciiTheme="minorHAnsi" w:hAnsiTheme="minorHAnsi" w:cs="TimesNewRoman"/>
                <w:sz w:val="19"/>
                <w:szCs w:val="19"/>
              </w:rPr>
              <w:t>&lt;</w:t>
            </w:r>
            <w:r w:rsidR="007C591F" w:rsidRPr="004D4EDD">
              <w:rPr>
                <w:rFonts w:asciiTheme="minorHAnsi" w:hAnsiTheme="minorHAnsi" w:cs="TimesNewRoman"/>
                <w:sz w:val="19"/>
                <w:szCs w:val="19"/>
              </w:rPr>
              <w:t xml:space="preserve"> </w:t>
            </w:r>
            <w:r w:rsidRPr="004D4EDD">
              <w:rPr>
                <w:rFonts w:asciiTheme="minorHAnsi" w:hAnsiTheme="minorHAnsi" w:cs="TimesNewRoman"/>
                <w:sz w:val="19"/>
                <w:szCs w:val="19"/>
              </w:rPr>
              <w:t>0.001</w:t>
            </w:r>
          </w:p>
        </w:tc>
      </w:tr>
    </w:tbl>
    <w:p w14:paraId="7C4374E8" w14:textId="5467F159" w:rsidR="00BE320A" w:rsidRPr="004D4EDD" w:rsidRDefault="00AF7F79" w:rsidP="00703839">
      <w:pPr>
        <w:pStyle w:val="TableDescription"/>
      </w:pPr>
      <w:r w:rsidRPr="004D4EDD">
        <w:t xml:space="preserve">Abbreviations: </w:t>
      </w:r>
      <w:r w:rsidR="00BE320A" w:rsidRPr="004D4EDD">
        <w:t>CI = confidence interval; N = number of subjects; n = number of subjects in group.</w:t>
      </w:r>
    </w:p>
    <w:p w14:paraId="32234BB8" w14:textId="5E4E7CB6" w:rsidR="004824D4" w:rsidRPr="004D4EDD" w:rsidRDefault="004824D4" w:rsidP="001551AA">
      <w:r w:rsidRPr="004D4EDD">
        <w:t>The clinical evaluat</w:t>
      </w:r>
      <w:r w:rsidR="000A6A58" w:rsidRPr="004D4EDD">
        <w:t>ion</w:t>
      </w:r>
      <w:r w:rsidRPr="004D4EDD">
        <w:t xml:space="preserve"> concluded that the statistical significance and clinical relevance of the primary and key secondary endpoints provided acceptable evidence of efficacy of ozanimod, over placebo in initiating remission and clinical response. The evaluat</w:t>
      </w:r>
      <w:r w:rsidR="000A6A58" w:rsidRPr="004D4EDD">
        <w:t>ion</w:t>
      </w:r>
      <w:r w:rsidRPr="004D4EDD">
        <w:t xml:space="preserve"> noted that subgroup analyses other than those considering experience with anti-TNF therapies and use of corticosteroids should be considered exploratory.</w:t>
      </w:r>
    </w:p>
    <w:p w14:paraId="0F1CB294" w14:textId="77777777" w:rsidR="004824D4" w:rsidRPr="004D4EDD" w:rsidRDefault="004824D4" w:rsidP="00BE320A">
      <w:pPr>
        <w:pStyle w:val="Heading5"/>
      </w:pPr>
      <w:r w:rsidRPr="004D4EDD">
        <w:t>Maintenance period</w:t>
      </w:r>
    </w:p>
    <w:p w14:paraId="5AFB9E59" w14:textId="0ACC7F37" w:rsidR="004824D4" w:rsidRPr="004D4EDD" w:rsidRDefault="004824D4" w:rsidP="001551AA">
      <w:r w:rsidRPr="004D4EDD">
        <w:t>Between 88.3% and 93.5% of participants in the different arms of the induction period study completed the induction period. Adverse events</w:t>
      </w:r>
      <w:r w:rsidR="00BE320A" w:rsidRPr="004D4EDD">
        <w:t xml:space="preserve"> </w:t>
      </w:r>
      <w:r w:rsidRPr="004D4EDD">
        <w:t>or withdrawal by subject were the most common reasons for study withdrawal, and lack of efficacy also contributed to withdrawal in the placebo treatment group.</w:t>
      </w:r>
    </w:p>
    <w:p w14:paraId="01F69A39" w14:textId="7B43120C" w:rsidR="004824D4" w:rsidRPr="004D4EDD" w:rsidRDefault="004824D4" w:rsidP="001551AA">
      <w:r w:rsidRPr="004D4EDD">
        <w:t xml:space="preserve">Of the participants who completed the induction period, 233 (54.3%) in the </w:t>
      </w:r>
      <w:r w:rsidR="00E96E13" w:rsidRPr="004D4EDD">
        <w:t>Cohort</w:t>
      </w:r>
      <w:r w:rsidR="00BE320A" w:rsidRPr="004D4EDD">
        <w:t> </w:t>
      </w:r>
      <w:r w:rsidRPr="004D4EDD">
        <w:t xml:space="preserve">1 ozanimod arm, 69 (31.9%) in the placebo arm, and 224 (61%) in </w:t>
      </w:r>
      <w:r w:rsidR="00E96E13" w:rsidRPr="004D4EDD">
        <w:t xml:space="preserve">Cohort </w:t>
      </w:r>
      <w:r w:rsidRPr="004D4EDD">
        <w:t xml:space="preserve">2 achieved at minimum a clinical response at </w:t>
      </w:r>
      <w:r w:rsidR="00265C8D" w:rsidRPr="004D4EDD">
        <w:t>Week</w:t>
      </w:r>
      <w:r w:rsidRPr="004D4EDD">
        <w:t xml:space="preserve"> 10 of the induction period and enrolled into the maintenance period study. Patients in the placebo group were continued on double</w:t>
      </w:r>
      <w:r w:rsidR="00A20545" w:rsidRPr="004D4EDD">
        <w:t xml:space="preserve"> </w:t>
      </w:r>
      <w:r w:rsidRPr="004D4EDD">
        <w:t>blinded placebo treatment (</w:t>
      </w:r>
      <w:r w:rsidR="00BE320A" w:rsidRPr="004D4EDD">
        <w:t>placebo</w:t>
      </w:r>
      <w:r w:rsidRPr="004D4EDD">
        <w:t>/</w:t>
      </w:r>
      <w:r w:rsidR="00BE320A" w:rsidRPr="004D4EDD">
        <w:t>placebo</w:t>
      </w:r>
      <w:r w:rsidRPr="004D4EDD">
        <w:t xml:space="preserve"> group), whereas the 257 responders in the two ozanimod cohorts were re-randomi</w:t>
      </w:r>
      <w:r w:rsidR="00265C8D" w:rsidRPr="004D4EDD">
        <w:t>s</w:t>
      </w:r>
      <w:r w:rsidRPr="004D4EDD">
        <w:t>ed to placebo (n</w:t>
      </w:r>
      <w:r w:rsidR="00BE320A" w:rsidRPr="004D4EDD">
        <w:t xml:space="preserve"> </w:t>
      </w:r>
      <w:r w:rsidRPr="004D4EDD">
        <w:t>=</w:t>
      </w:r>
      <w:r w:rsidR="00BE320A" w:rsidRPr="004D4EDD">
        <w:t xml:space="preserve"> </w:t>
      </w:r>
      <w:r w:rsidRPr="004D4EDD">
        <w:t xml:space="preserve">227, </w:t>
      </w:r>
      <w:r w:rsidR="00BE320A" w:rsidRPr="004D4EDD">
        <w:t>ozanimod</w:t>
      </w:r>
      <w:r w:rsidRPr="004D4EDD">
        <w:t>/</w:t>
      </w:r>
      <w:r w:rsidR="00BE320A" w:rsidRPr="004D4EDD">
        <w:t>placebo</w:t>
      </w:r>
      <w:r w:rsidRPr="004D4EDD">
        <w:t xml:space="preserve"> group) or ozanimod (n</w:t>
      </w:r>
      <w:r w:rsidR="00BE320A" w:rsidRPr="004D4EDD">
        <w:t xml:space="preserve"> </w:t>
      </w:r>
      <w:r w:rsidRPr="004D4EDD">
        <w:t>=</w:t>
      </w:r>
      <w:r w:rsidR="00BE320A" w:rsidRPr="004D4EDD">
        <w:t xml:space="preserve"> </w:t>
      </w:r>
      <w:r w:rsidRPr="004D4EDD">
        <w:t xml:space="preserve">230, </w:t>
      </w:r>
      <w:r w:rsidR="00BE320A" w:rsidRPr="004D4EDD">
        <w:t>ozanimod</w:t>
      </w:r>
      <w:r w:rsidRPr="004D4EDD">
        <w:t>/</w:t>
      </w:r>
      <w:r w:rsidR="00BE320A" w:rsidRPr="004D4EDD">
        <w:t>ozanimod</w:t>
      </w:r>
      <w:r w:rsidRPr="004D4EDD">
        <w:t xml:space="preserve"> group) for a further 42</w:t>
      </w:r>
      <w:r w:rsidR="00BE320A" w:rsidRPr="004D4EDD">
        <w:t>-</w:t>
      </w:r>
      <w:r w:rsidRPr="004D4EDD">
        <w:t>weeks treatment.</w:t>
      </w:r>
    </w:p>
    <w:p w14:paraId="6C8720AC" w14:textId="25F76BA5" w:rsidR="004824D4" w:rsidRPr="004D4EDD" w:rsidRDefault="004824D4" w:rsidP="001551AA">
      <w:r w:rsidRPr="004D4EDD">
        <w:t xml:space="preserve">Baseline demographics were broadly similar in the three groups, although men represented a moderately greater proportion of participants in the </w:t>
      </w:r>
      <w:r w:rsidR="00BE320A" w:rsidRPr="004D4EDD">
        <w:t>placebo</w:t>
      </w:r>
      <w:r w:rsidRPr="004D4EDD">
        <w:t>/</w:t>
      </w:r>
      <w:r w:rsidR="00BE320A" w:rsidRPr="004D4EDD">
        <w:t>placebo</w:t>
      </w:r>
      <w:r w:rsidRPr="004D4EDD">
        <w:t xml:space="preserve"> group (46, 66.7%) than in the </w:t>
      </w:r>
      <w:r w:rsidR="00BE320A" w:rsidRPr="004D4EDD">
        <w:t>ozanimod</w:t>
      </w:r>
      <w:r w:rsidRPr="004D4EDD">
        <w:t>/</w:t>
      </w:r>
      <w:r w:rsidR="00BE320A" w:rsidRPr="004D4EDD">
        <w:t>placebo</w:t>
      </w:r>
      <w:r w:rsidRPr="004D4EDD">
        <w:t xml:space="preserve"> (122, 53.7%) or </w:t>
      </w:r>
      <w:r w:rsidR="00BE320A" w:rsidRPr="004D4EDD">
        <w:t>ozanimod</w:t>
      </w:r>
      <w:r w:rsidRPr="004D4EDD">
        <w:t>/</w:t>
      </w:r>
      <w:r w:rsidR="00BE320A" w:rsidRPr="004D4EDD">
        <w:t>ozanimod</w:t>
      </w:r>
      <w:r w:rsidRPr="004D4EDD">
        <w:t xml:space="preserve"> group (117, 50.9%). Between 5.3% and 8.7% of participants in each treatment group were aged 65 years or over (total 31 participants). Regarding concomitant corticosteroid use, 26.1% of the </w:t>
      </w:r>
      <w:r w:rsidR="00BE320A" w:rsidRPr="004D4EDD">
        <w:t>placebo</w:t>
      </w:r>
      <w:r w:rsidRPr="004D4EDD">
        <w:t>/</w:t>
      </w:r>
      <w:r w:rsidR="00BE320A" w:rsidRPr="004D4EDD">
        <w:t>placebo</w:t>
      </w:r>
      <w:r w:rsidRPr="004D4EDD">
        <w:t xml:space="preserve"> group, 26.4% of the </w:t>
      </w:r>
      <w:r w:rsidR="00BE320A" w:rsidRPr="004D4EDD">
        <w:t>ozanimod</w:t>
      </w:r>
      <w:r w:rsidRPr="004D4EDD">
        <w:t>/</w:t>
      </w:r>
      <w:r w:rsidR="00BE320A" w:rsidRPr="004D4EDD">
        <w:t>placebo</w:t>
      </w:r>
      <w:r w:rsidRPr="004D4EDD">
        <w:t xml:space="preserve"> group, and 31.7% of the </w:t>
      </w:r>
      <w:r w:rsidR="00BE320A" w:rsidRPr="004D4EDD">
        <w:t>ozanimod</w:t>
      </w:r>
      <w:r w:rsidRPr="004D4EDD">
        <w:t>/</w:t>
      </w:r>
      <w:r w:rsidR="00BE320A" w:rsidRPr="004D4EDD">
        <w:t>ozanimod</w:t>
      </w:r>
      <w:r w:rsidRPr="004D4EDD">
        <w:t xml:space="preserve"> group were taking concomitant systemic steroids at entry to the maintenance period. Approximately 20% of participants re-randomi</w:t>
      </w:r>
      <w:r w:rsidR="00265C8D" w:rsidRPr="004D4EDD">
        <w:t>s</w:t>
      </w:r>
      <w:r w:rsidRPr="004D4EDD">
        <w:t xml:space="preserve">ed to </w:t>
      </w:r>
      <w:r w:rsidR="00BE320A" w:rsidRPr="004D4EDD">
        <w:t>ozanimod</w:t>
      </w:r>
      <w:r w:rsidRPr="004D4EDD">
        <w:t>/</w:t>
      </w:r>
      <w:r w:rsidR="00BE320A" w:rsidRPr="004D4EDD">
        <w:t>ozanimod</w:t>
      </w:r>
      <w:r w:rsidRPr="004D4EDD">
        <w:t xml:space="preserve"> or </w:t>
      </w:r>
      <w:r w:rsidR="00BE320A" w:rsidRPr="004D4EDD">
        <w:t>ozanimod</w:t>
      </w:r>
      <w:r w:rsidRPr="004D4EDD">
        <w:t>/</w:t>
      </w:r>
      <w:r w:rsidR="00BE320A" w:rsidRPr="004D4EDD">
        <w:t>placebo</w:t>
      </w:r>
      <w:r w:rsidRPr="004D4EDD">
        <w:t xml:space="preserve"> and 13 (6%) of participants in the </w:t>
      </w:r>
      <w:r w:rsidR="00BE320A" w:rsidRPr="004D4EDD">
        <w:t>placebo</w:t>
      </w:r>
      <w:r w:rsidRPr="004D4EDD">
        <w:t>/</w:t>
      </w:r>
      <w:r w:rsidR="00BE320A" w:rsidRPr="004D4EDD">
        <w:t>placebo</w:t>
      </w:r>
      <w:r w:rsidRPr="004D4EDD">
        <w:t xml:space="preserve"> group were in complete remission at the commencement of the maintenance period, with the balance having a clinical response.</w:t>
      </w:r>
    </w:p>
    <w:p w14:paraId="0DAD8C6A" w14:textId="7BDE48EC" w:rsidR="00ED4392" w:rsidRPr="004D4EDD" w:rsidRDefault="004824D4" w:rsidP="001551AA">
      <w:r w:rsidRPr="004D4EDD">
        <w:t xml:space="preserve">A statistically significantly greater proportion of participants in the </w:t>
      </w:r>
      <w:r w:rsidR="00BE320A" w:rsidRPr="004D4EDD">
        <w:t>ozanimod</w:t>
      </w:r>
      <w:r w:rsidRPr="004D4EDD">
        <w:t>/</w:t>
      </w:r>
      <w:r w:rsidR="00BE320A" w:rsidRPr="004D4EDD">
        <w:t>ozanimod</w:t>
      </w:r>
      <w:r w:rsidRPr="004D4EDD">
        <w:t xml:space="preserve"> group (37.0%) were in clinical remission at </w:t>
      </w:r>
      <w:r w:rsidR="00265C8D" w:rsidRPr="004D4EDD">
        <w:t>Week</w:t>
      </w:r>
      <w:r w:rsidRPr="004D4EDD">
        <w:t xml:space="preserve"> 52 compared to participants in the </w:t>
      </w:r>
      <w:r w:rsidR="00BE320A" w:rsidRPr="004D4EDD">
        <w:t>ozanimod</w:t>
      </w:r>
      <w:r w:rsidRPr="004D4EDD">
        <w:t>/</w:t>
      </w:r>
      <w:r w:rsidR="00BE320A" w:rsidRPr="004D4EDD">
        <w:t>placebo</w:t>
      </w:r>
      <w:r w:rsidRPr="004D4EDD">
        <w:t xml:space="preserve"> group (18.5%, p &lt; 0.0001, non-responder imputation, </w:t>
      </w:r>
      <w:r w:rsidR="00BE320A" w:rsidRPr="004D4EDD">
        <w:t xml:space="preserve">see </w:t>
      </w:r>
      <w:r w:rsidR="00BE320A" w:rsidRPr="004D4EDD">
        <w:fldChar w:fldCharType="begin"/>
      </w:r>
      <w:r w:rsidR="00BE320A" w:rsidRPr="004D4EDD">
        <w:instrText xml:space="preserve"> REF _Ref110109938 \h </w:instrText>
      </w:r>
      <w:r w:rsidR="000F3BD0" w:rsidRPr="004D4EDD">
        <w:instrText xml:space="preserve"> \* MERGEFORMAT </w:instrText>
      </w:r>
      <w:r w:rsidR="00BE320A" w:rsidRPr="004D4EDD">
        <w:fldChar w:fldCharType="separate"/>
      </w:r>
      <w:r w:rsidR="004D4EDD" w:rsidRPr="004D4EDD">
        <w:t xml:space="preserve">Table </w:t>
      </w:r>
      <w:r w:rsidR="004D4EDD">
        <w:rPr>
          <w:noProof/>
        </w:rPr>
        <w:t>5</w:t>
      </w:r>
      <w:r w:rsidR="00BE320A" w:rsidRPr="004D4EDD">
        <w:fldChar w:fldCharType="end"/>
      </w:r>
      <w:r w:rsidR="00BE320A" w:rsidRPr="004D4EDD">
        <w:t xml:space="preserve"> below</w:t>
      </w:r>
      <w:r w:rsidRPr="004D4EDD">
        <w:t xml:space="preserve">). Key secondary outcomes were also achieved by higher proportions of participants </w:t>
      </w:r>
      <w:r w:rsidRPr="004D4EDD">
        <w:lastRenderedPageBreak/>
        <w:t xml:space="preserve">in the </w:t>
      </w:r>
      <w:r w:rsidR="00BE320A" w:rsidRPr="004D4EDD">
        <w:t>ozanimod</w:t>
      </w:r>
      <w:r w:rsidRPr="004D4EDD">
        <w:t>/</w:t>
      </w:r>
      <w:r w:rsidR="00BE320A" w:rsidRPr="004D4EDD">
        <w:t>ozanimod</w:t>
      </w:r>
      <w:r w:rsidRPr="004D4EDD">
        <w:t xml:space="preserve"> group than in the </w:t>
      </w:r>
      <w:r w:rsidR="00BE320A" w:rsidRPr="004D4EDD">
        <w:t>ozanimod</w:t>
      </w:r>
      <w:r w:rsidRPr="004D4EDD">
        <w:t>/</w:t>
      </w:r>
      <w:r w:rsidR="00BE320A" w:rsidRPr="004D4EDD">
        <w:t>placebo</w:t>
      </w:r>
      <w:r w:rsidRPr="004D4EDD">
        <w:t xml:space="preserve"> group (</w:t>
      </w:r>
      <w:r w:rsidR="00BE320A" w:rsidRPr="004D4EDD">
        <w:t xml:space="preserve">see </w:t>
      </w:r>
      <w:r w:rsidR="00BE320A" w:rsidRPr="004D4EDD">
        <w:fldChar w:fldCharType="begin"/>
      </w:r>
      <w:r w:rsidR="00BE320A" w:rsidRPr="004D4EDD">
        <w:instrText xml:space="preserve"> REF _Ref110110008 \h </w:instrText>
      </w:r>
      <w:r w:rsidR="000F3BD0" w:rsidRPr="004D4EDD">
        <w:instrText xml:space="preserve"> \* MERGEFORMAT </w:instrText>
      </w:r>
      <w:r w:rsidR="00BE320A" w:rsidRPr="004D4EDD">
        <w:fldChar w:fldCharType="separate"/>
      </w:r>
      <w:r w:rsidR="004D4EDD" w:rsidRPr="004D4EDD">
        <w:t xml:space="preserve">Table </w:t>
      </w:r>
      <w:r w:rsidR="004D4EDD">
        <w:rPr>
          <w:noProof/>
        </w:rPr>
        <w:t>6</w:t>
      </w:r>
      <w:r w:rsidR="00BE320A" w:rsidRPr="004D4EDD">
        <w:fldChar w:fldCharType="end"/>
      </w:r>
      <w:r w:rsidR="00BE320A" w:rsidRPr="004D4EDD">
        <w:t xml:space="preserve"> below</w:t>
      </w:r>
      <w:r w:rsidRPr="004D4EDD">
        <w:t>).</w:t>
      </w:r>
      <w:bookmarkStart w:id="49" w:name="_Toc88033858"/>
    </w:p>
    <w:p w14:paraId="55F082D7" w14:textId="60374C7A" w:rsidR="004824D4" w:rsidRPr="004D4EDD" w:rsidRDefault="00BE320A" w:rsidP="00703839">
      <w:pPr>
        <w:pStyle w:val="TableTitle"/>
      </w:pPr>
      <w:bookmarkStart w:id="50" w:name="_Ref110109938"/>
      <w:r w:rsidRPr="004D4EDD">
        <w:t xml:space="preserve">Table </w:t>
      </w:r>
      <w:r w:rsidR="009C0FB4">
        <w:fldChar w:fldCharType="begin"/>
      </w:r>
      <w:r w:rsidR="009C0FB4">
        <w:instrText xml:space="preserve"> SEQ Table \* ARABIC </w:instrText>
      </w:r>
      <w:r w:rsidR="009C0FB4">
        <w:fldChar w:fldCharType="separate"/>
      </w:r>
      <w:r w:rsidR="004D4EDD">
        <w:rPr>
          <w:noProof/>
        </w:rPr>
        <w:t>5</w:t>
      </w:r>
      <w:r w:rsidR="009C0FB4">
        <w:rPr>
          <w:noProof/>
        </w:rPr>
        <w:fldChar w:fldCharType="end"/>
      </w:r>
      <w:bookmarkEnd w:id="50"/>
      <w:r w:rsidR="004824D4" w:rsidRPr="004D4EDD">
        <w:t xml:space="preserve">: </w:t>
      </w:r>
      <w:r w:rsidR="004826B1" w:rsidRPr="004D4EDD">
        <w:t xml:space="preserve">Study RPC01-3101 </w:t>
      </w:r>
      <w:r w:rsidR="004824D4" w:rsidRPr="004D4EDD">
        <w:t xml:space="preserve">Proportion of </w:t>
      </w:r>
      <w:r w:rsidRPr="004D4EDD">
        <w:t xml:space="preserve">subjects in clinical remission </w:t>
      </w:r>
      <w:r w:rsidR="004824D4" w:rsidRPr="004D4EDD">
        <w:t>(3</w:t>
      </w:r>
      <w:r w:rsidR="000A6A58" w:rsidRPr="004D4EDD">
        <w:noBreakHyphen/>
      </w:r>
      <w:r w:rsidR="004824D4" w:rsidRPr="004D4EDD">
        <w:t xml:space="preserve">component Mayo </w:t>
      </w:r>
      <w:r w:rsidRPr="004D4EDD">
        <w:t>definition using 7-day scoring algorithm</w:t>
      </w:r>
      <w:r w:rsidR="004824D4" w:rsidRPr="004D4EDD">
        <w:t xml:space="preserve">) at Week 52 of </w:t>
      </w:r>
      <w:r w:rsidRPr="004D4EDD">
        <w:t xml:space="preserve">total treatment </w:t>
      </w:r>
      <w:r w:rsidR="000A6A58" w:rsidRPr="004D4EDD">
        <w:t>in the</w:t>
      </w:r>
      <w:r w:rsidRPr="004D4EDD">
        <w:t xml:space="preserve"> maintenance period (intention-to-treat population, non-responder imputation)</w:t>
      </w:r>
      <w:bookmarkEnd w:id="49"/>
    </w:p>
    <w:p w14:paraId="06D86520" w14:textId="339047BB" w:rsidR="004824D4" w:rsidRPr="004D4EDD" w:rsidRDefault="004824D4" w:rsidP="00703839">
      <w:r w:rsidRPr="004D4EDD">
        <w:rPr>
          <w:noProof/>
          <w:lang w:val="en-GB" w:eastAsia="en-GB"/>
        </w:rPr>
        <w:drawing>
          <wp:inline distT="0" distB="0" distL="0" distR="0" wp14:anchorId="72A6748A" wp14:editId="632D36A3">
            <wp:extent cx="5278171" cy="1475715"/>
            <wp:effectExtent l="0" t="0" r="0" b="0"/>
            <wp:docPr id="55" name="Picture 55" descr="Table 5: Study RPC01-3101 Proportion of subjects in clinical remission (3-component Mayo definition using 7-day scoring algorithm) at Week 52 of total treatment in the maintenance period (intention-to-treat population, non-responder impu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Table 5: Study RPC01-3101 Proportion of subjects in clinical remission (3-component Mayo definition using 7-day scoring algorithm) at Week 52 of total treatment in the maintenance period (intention-to-treat population, non-responder imputation)"/>
                    <pic:cNvPicPr/>
                  </pic:nvPicPr>
                  <pic:blipFill>
                    <a:blip r:embed="rId18"/>
                    <a:stretch>
                      <a:fillRect/>
                    </a:stretch>
                  </pic:blipFill>
                  <pic:spPr>
                    <a:xfrm>
                      <a:off x="0" y="0"/>
                      <a:ext cx="5422961" cy="1516197"/>
                    </a:xfrm>
                    <a:prstGeom prst="rect">
                      <a:avLst/>
                    </a:prstGeom>
                  </pic:spPr>
                </pic:pic>
              </a:graphicData>
            </a:graphic>
          </wp:inline>
        </w:drawing>
      </w:r>
    </w:p>
    <w:p w14:paraId="01FE948E" w14:textId="596DF1D6" w:rsidR="006520D4" w:rsidRPr="004D4EDD" w:rsidRDefault="004F0D08" w:rsidP="00703839">
      <w:pPr>
        <w:pStyle w:val="TableDescription"/>
      </w:pPr>
      <w:r w:rsidRPr="004D4EDD">
        <w:t xml:space="preserve">Abbreviations: </w:t>
      </w:r>
      <w:r w:rsidR="006520D4" w:rsidRPr="004D4EDD">
        <w:t>CI = confidence interval; N = number of subjects; n = number of subjects in group.</w:t>
      </w:r>
    </w:p>
    <w:p w14:paraId="05B2D326" w14:textId="476D0015" w:rsidR="004824D4" w:rsidRPr="004D4EDD" w:rsidRDefault="004824D4" w:rsidP="00703839">
      <w:pPr>
        <w:pStyle w:val="TableDescription"/>
      </w:pPr>
      <w:r w:rsidRPr="004D4EDD">
        <w:t xml:space="preserve">a Clinical remission is defined as: </w:t>
      </w:r>
      <w:r w:rsidR="006520D4" w:rsidRPr="004D4EDD">
        <w:t xml:space="preserve">rectal bleeding subscore </w:t>
      </w:r>
      <w:r w:rsidRPr="004D4EDD">
        <w:t xml:space="preserve">= 0 point and </w:t>
      </w:r>
      <w:r w:rsidR="006520D4" w:rsidRPr="004D4EDD">
        <w:t xml:space="preserve">stool frequency subscore </w:t>
      </w:r>
      <w:r w:rsidRPr="004D4EDD">
        <w:t>≤</w:t>
      </w:r>
      <w:r w:rsidR="00ED4392" w:rsidRPr="004D4EDD">
        <w:t> </w:t>
      </w:r>
      <w:r w:rsidRPr="004D4EDD">
        <w:t>1</w:t>
      </w:r>
      <w:r w:rsidR="006520D4" w:rsidRPr="004D4EDD">
        <w:t> </w:t>
      </w:r>
      <w:r w:rsidRPr="004D4EDD">
        <w:t xml:space="preserve">point (and a decrease of ≥ 1 point from the Baseline </w:t>
      </w:r>
      <w:r w:rsidR="006520D4" w:rsidRPr="004D4EDD">
        <w:t>stool frequency subscore</w:t>
      </w:r>
      <w:r w:rsidRPr="004D4EDD">
        <w:t xml:space="preserve">) and </w:t>
      </w:r>
      <w:r w:rsidR="006520D4" w:rsidRPr="004D4EDD">
        <w:t>e</w:t>
      </w:r>
      <w:r w:rsidRPr="004D4EDD">
        <w:t>ndoscopy subscore ≤ 1 point without friability.</w:t>
      </w:r>
    </w:p>
    <w:p w14:paraId="385B0B75" w14:textId="30061AE7" w:rsidR="004824D4" w:rsidRPr="004D4EDD" w:rsidRDefault="004824D4" w:rsidP="00703839">
      <w:pPr>
        <w:pStyle w:val="TableDescription"/>
      </w:pPr>
      <w:r w:rsidRPr="004D4EDD">
        <w:t>b Odds ratio (active</w:t>
      </w:r>
      <w:r w:rsidR="006520D4" w:rsidRPr="004D4EDD">
        <w:t xml:space="preserve"> to </w:t>
      </w:r>
      <w:r w:rsidRPr="004D4EDD">
        <w:t>placebo), treatment difference, and 2-sided 95% Wald CI and p-value for comparison between the ozanimod 1</w:t>
      </w:r>
      <w:r w:rsidR="00265C8D" w:rsidRPr="004D4EDD">
        <w:t> </w:t>
      </w:r>
      <w:r w:rsidRPr="004D4EDD">
        <w:t>mg - ozanimod 1</w:t>
      </w:r>
      <w:r w:rsidR="00265C8D" w:rsidRPr="004D4EDD">
        <w:t> </w:t>
      </w:r>
      <w:r w:rsidRPr="004D4EDD">
        <w:t>mg and ozanimod 1</w:t>
      </w:r>
      <w:r w:rsidR="00265C8D" w:rsidRPr="004D4EDD">
        <w:t> </w:t>
      </w:r>
      <w:r w:rsidRPr="004D4EDD">
        <w:t xml:space="preserve">mg </w:t>
      </w:r>
      <w:r w:rsidR="006520D4" w:rsidRPr="004D4EDD">
        <w:t>-</w:t>
      </w:r>
      <w:r w:rsidRPr="004D4EDD">
        <w:t xml:space="preserve"> </w:t>
      </w:r>
      <w:r w:rsidR="006520D4" w:rsidRPr="004D4EDD">
        <w:t>p</w:t>
      </w:r>
      <w:r w:rsidRPr="004D4EDD">
        <w:t xml:space="preserve">lacebo groups are based on the </w:t>
      </w:r>
      <w:r w:rsidR="006520D4" w:rsidRPr="004D4EDD">
        <w:t xml:space="preserve">Cochran-Mantel-Haenszel </w:t>
      </w:r>
      <w:r w:rsidRPr="004D4EDD">
        <w:t xml:space="preserve">test, stratified by remission status at Week 10 and corticosteroid use at Week 10 (yes or no). Subjects with any of </w:t>
      </w:r>
      <w:r w:rsidR="006520D4" w:rsidRPr="004D4EDD">
        <w:t>rectal bleeding subscore</w:t>
      </w:r>
      <w:r w:rsidRPr="004D4EDD">
        <w:t xml:space="preserve">, </w:t>
      </w:r>
      <w:r w:rsidR="006520D4" w:rsidRPr="004D4EDD">
        <w:t xml:space="preserve">stool frequency </w:t>
      </w:r>
      <w:proofErr w:type="spellStart"/>
      <w:r w:rsidR="006520D4" w:rsidRPr="004D4EDD">
        <w:t>subscore</w:t>
      </w:r>
      <w:proofErr w:type="spellEnd"/>
      <w:r w:rsidRPr="004D4EDD">
        <w:t xml:space="preserve">, and endoscopy </w:t>
      </w:r>
      <w:proofErr w:type="spellStart"/>
      <w:r w:rsidRPr="004D4EDD">
        <w:t>subscores</w:t>
      </w:r>
      <w:proofErr w:type="spellEnd"/>
      <w:r w:rsidRPr="004D4EDD">
        <w:t xml:space="preserve"> missing at Week 52 are classified as non-remitters.</w:t>
      </w:r>
    </w:p>
    <w:p w14:paraId="2213CC9C" w14:textId="483E0A60" w:rsidR="004824D4" w:rsidRPr="004D4EDD" w:rsidRDefault="00BE320A" w:rsidP="00703839">
      <w:pPr>
        <w:pStyle w:val="TableTitle"/>
      </w:pPr>
      <w:bookmarkStart w:id="51" w:name="_Ref110110008"/>
      <w:bookmarkStart w:id="52" w:name="_Toc88033860"/>
      <w:r w:rsidRPr="004D4EDD">
        <w:t xml:space="preserve">Table </w:t>
      </w:r>
      <w:r w:rsidR="009C0FB4">
        <w:fldChar w:fldCharType="begin"/>
      </w:r>
      <w:r w:rsidR="009C0FB4">
        <w:instrText xml:space="preserve"> SEQ Table \* ARABIC </w:instrText>
      </w:r>
      <w:r w:rsidR="009C0FB4">
        <w:fldChar w:fldCharType="separate"/>
      </w:r>
      <w:r w:rsidR="004D4EDD">
        <w:rPr>
          <w:noProof/>
        </w:rPr>
        <w:t>6</w:t>
      </w:r>
      <w:r w:rsidR="009C0FB4">
        <w:rPr>
          <w:noProof/>
        </w:rPr>
        <w:fldChar w:fldCharType="end"/>
      </w:r>
      <w:bookmarkEnd w:id="51"/>
      <w:r w:rsidR="004824D4" w:rsidRPr="004D4EDD">
        <w:t xml:space="preserve">: </w:t>
      </w:r>
      <w:r w:rsidR="00D57CA8" w:rsidRPr="004D4EDD">
        <w:t xml:space="preserve">Study RPC01-3101 </w:t>
      </w:r>
      <w:r w:rsidR="004824D4" w:rsidRPr="004D4EDD">
        <w:t xml:space="preserve">Results for secondary efficacy outcomes – </w:t>
      </w:r>
      <w:r w:rsidR="00A20545" w:rsidRPr="004D4EDD">
        <w:t>maintenance p</w:t>
      </w:r>
      <w:r w:rsidR="004824D4" w:rsidRPr="004D4EDD">
        <w:t>eriod</w:t>
      </w:r>
      <w:bookmarkEnd w:id="52"/>
    </w:p>
    <w:tbl>
      <w:tblPr>
        <w:tblStyle w:val="TableTGAblue"/>
        <w:tblW w:w="8495" w:type="dxa"/>
        <w:tblLook w:val="04A0" w:firstRow="1" w:lastRow="0" w:firstColumn="1" w:lastColumn="0" w:noHBand="0" w:noVBand="1"/>
      </w:tblPr>
      <w:tblGrid>
        <w:gridCol w:w="2115"/>
        <w:gridCol w:w="1202"/>
        <w:gridCol w:w="1209"/>
        <w:gridCol w:w="1418"/>
        <w:gridCol w:w="1417"/>
        <w:gridCol w:w="1134"/>
      </w:tblGrid>
      <w:tr w:rsidR="004824D4" w:rsidRPr="004D4EDD" w14:paraId="131CA821" w14:textId="77777777" w:rsidTr="00703839">
        <w:trPr>
          <w:cnfStyle w:val="100000000000" w:firstRow="1" w:lastRow="0" w:firstColumn="0" w:lastColumn="0" w:oddVBand="0" w:evenVBand="0" w:oddHBand="0" w:evenHBand="0" w:firstRowFirstColumn="0" w:firstRowLastColumn="0" w:lastRowFirstColumn="0" w:lastRowLastColumn="0"/>
        </w:trPr>
        <w:tc>
          <w:tcPr>
            <w:tcW w:w="2115" w:type="dxa"/>
          </w:tcPr>
          <w:p w14:paraId="6C9D46C6" w14:textId="77777777" w:rsidR="004824D4" w:rsidRPr="004D4EDD" w:rsidRDefault="004824D4" w:rsidP="006520D4">
            <w:pPr>
              <w:pStyle w:val="Tabletext"/>
              <w:ind w:left="0" w:right="0"/>
              <w:rPr>
                <w:szCs w:val="19"/>
                <w:lang w:eastAsia="ja-JP"/>
              </w:rPr>
            </w:pPr>
          </w:p>
        </w:tc>
        <w:tc>
          <w:tcPr>
            <w:tcW w:w="1202" w:type="dxa"/>
            <w:vAlign w:val="center"/>
            <w:hideMark/>
          </w:tcPr>
          <w:p w14:paraId="68B10C6B" w14:textId="63B57245" w:rsidR="004824D4" w:rsidRPr="004D4EDD" w:rsidRDefault="004824D4">
            <w:pPr>
              <w:pStyle w:val="Tabletext"/>
              <w:ind w:left="0" w:right="0"/>
              <w:rPr>
                <w:szCs w:val="19"/>
                <w:lang w:eastAsia="ja-JP"/>
              </w:rPr>
            </w:pPr>
            <w:r w:rsidRPr="004D4EDD">
              <w:rPr>
                <w:szCs w:val="19"/>
                <w:lang w:eastAsia="ja-JP"/>
              </w:rPr>
              <w:t>Ozanimod</w:t>
            </w:r>
            <w:r w:rsidR="000A6A58" w:rsidRPr="004D4EDD">
              <w:rPr>
                <w:szCs w:val="19"/>
                <w:lang w:eastAsia="ja-JP"/>
              </w:rPr>
              <w:t xml:space="preserve">/ </w:t>
            </w:r>
            <w:r w:rsidRPr="004D4EDD">
              <w:rPr>
                <w:szCs w:val="19"/>
                <w:lang w:eastAsia="ja-JP"/>
              </w:rPr>
              <w:t>Placebo</w:t>
            </w:r>
          </w:p>
          <w:p w14:paraId="1E357995" w14:textId="42ED9CC7" w:rsidR="004824D4" w:rsidRPr="004D4EDD" w:rsidRDefault="004824D4">
            <w:pPr>
              <w:pStyle w:val="Tabletext"/>
              <w:ind w:left="0" w:right="0"/>
              <w:rPr>
                <w:szCs w:val="19"/>
                <w:lang w:eastAsia="ja-JP"/>
              </w:rPr>
            </w:pPr>
            <w:r w:rsidRPr="004D4EDD">
              <w:rPr>
                <w:szCs w:val="19"/>
                <w:lang w:eastAsia="ja-JP"/>
              </w:rPr>
              <w:t>(N = 227)</w:t>
            </w:r>
            <w:r w:rsidR="000A6A58" w:rsidRPr="004D4EDD">
              <w:rPr>
                <w:rFonts w:cs="TimesNewRoman"/>
                <w:szCs w:val="19"/>
              </w:rPr>
              <w:br/>
            </w:r>
            <w:r w:rsidRPr="004D4EDD">
              <w:rPr>
                <w:rFonts w:cs="TimesNewRoman"/>
                <w:szCs w:val="19"/>
              </w:rPr>
              <w:t>n (%)</w:t>
            </w:r>
          </w:p>
        </w:tc>
        <w:tc>
          <w:tcPr>
            <w:tcW w:w="1209" w:type="dxa"/>
            <w:vAlign w:val="center"/>
            <w:hideMark/>
          </w:tcPr>
          <w:p w14:paraId="41EAE05E" w14:textId="152FBB52" w:rsidR="006520D4" w:rsidRPr="004D4EDD" w:rsidRDefault="004824D4">
            <w:pPr>
              <w:pStyle w:val="Tabletext"/>
              <w:ind w:left="0" w:right="0"/>
              <w:rPr>
                <w:b w:val="0"/>
                <w:szCs w:val="19"/>
                <w:lang w:eastAsia="ja-JP"/>
              </w:rPr>
            </w:pPr>
            <w:r w:rsidRPr="004D4EDD">
              <w:rPr>
                <w:szCs w:val="19"/>
                <w:lang w:eastAsia="ja-JP"/>
              </w:rPr>
              <w:t>Ozanimod</w:t>
            </w:r>
            <w:r w:rsidR="000A6A58" w:rsidRPr="004D4EDD">
              <w:rPr>
                <w:szCs w:val="19"/>
                <w:lang w:eastAsia="ja-JP"/>
              </w:rPr>
              <w:t xml:space="preserve">/ </w:t>
            </w:r>
            <w:r w:rsidRPr="004D4EDD">
              <w:rPr>
                <w:szCs w:val="19"/>
                <w:lang w:eastAsia="ja-JP"/>
              </w:rPr>
              <w:t>Ozanimod</w:t>
            </w:r>
          </w:p>
          <w:p w14:paraId="22BA1DAC" w14:textId="633204EA" w:rsidR="004824D4" w:rsidRPr="004D4EDD" w:rsidRDefault="004824D4">
            <w:pPr>
              <w:pStyle w:val="Tabletext"/>
              <w:ind w:left="0" w:right="0"/>
              <w:rPr>
                <w:szCs w:val="19"/>
                <w:lang w:eastAsia="ja-JP"/>
              </w:rPr>
            </w:pPr>
            <w:r w:rsidRPr="004D4EDD">
              <w:rPr>
                <w:szCs w:val="19"/>
                <w:lang w:eastAsia="ja-JP"/>
              </w:rPr>
              <w:t>(N = 230)</w:t>
            </w:r>
            <w:r w:rsidR="000A6A58" w:rsidRPr="004D4EDD">
              <w:rPr>
                <w:rFonts w:cs="TimesNewRoman"/>
                <w:szCs w:val="19"/>
              </w:rPr>
              <w:br/>
            </w:r>
            <w:r w:rsidRPr="004D4EDD">
              <w:rPr>
                <w:rFonts w:cs="TimesNewRoman"/>
                <w:szCs w:val="19"/>
              </w:rPr>
              <w:t>n (%)</w:t>
            </w:r>
          </w:p>
        </w:tc>
        <w:tc>
          <w:tcPr>
            <w:tcW w:w="1418" w:type="dxa"/>
            <w:vAlign w:val="center"/>
            <w:hideMark/>
          </w:tcPr>
          <w:p w14:paraId="27507746" w14:textId="77777777" w:rsidR="006520D4" w:rsidRPr="004D4EDD" w:rsidRDefault="004824D4">
            <w:pPr>
              <w:pStyle w:val="Tabletext"/>
              <w:ind w:left="0" w:right="0"/>
              <w:rPr>
                <w:rFonts w:cs="TimesNewRoman"/>
                <w:b w:val="0"/>
                <w:szCs w:val="19"/>
              </w:rPr>
            </w:pPr>
            <w:r w:rsidRPr="004D4EDD">
              <w:rPr>
                <w:rFonts w:cs="TimesNewRoman"/>
                <w:szCs w:val="19"/>
              </w:rPr>
              <w:t>Odds ratio</w:t>
            </w:r>
          </w:p>
          <w:p w14:paraId="59111E62" w14:textId="3D816019" w:rsidR="004824D4" w:rsidRPr="004D4EDD" w:rsidRDefault="004824D4">
            <w:pPr>
              <w:pStyle w:val="Tabletext"/>
              <w:ind w:left="0" w:right="0"/>
              <w:rPr>
                <w:szCs w:val="19"/>
                <w:lang w:eastAsia="ja-JP"/>
              </w:rPr>
            </w:pPr>
            <w:r w:rsidRPr="004D4EDD">
              <w:rPr>
                <w:rFonts w:cs="TimesNewRoman"/>
                <w:szCs w:val="19"/>
              </w:rPr>
              <w:t>(95% CI)</w:t>
            </w:r>
          </w:p>
        </w:tc>
        <w:tc>
          <w:tcPr>
            <w:tcW w:w="1417" w:type="dxa"/>
            <w:vAlign w:val="center"/>
            <w:hideMark/>
          </w:tcPr>
          <w:p w14:paraId="00C779B6" w14:textId="77777777" w:rsidR="004824D4" w:rsidRPr="004D4EDD" w:rsidRDefault="004824D4">
            <w:pPr>
              <w:pStyle w:val="Tabletext"/>
              <w:ind w:left="0" w:right="0"/>
              <w:rPr>
                <w:rFonts w:cs="TimesNewRoman"/>
                <w:szCs w:val="19"/>
              </w:rPr>
            </w:pPr>
            <w:r w:rsidRPr="004D4EDD">
              <w:rPr>
                <w:rFonts w:cs="TimesNewRoman"/>
                <w:szCs w:val="19"/>
              </w:rPr>
              <w:t>Difference in proportions</w:t>
            </w:r>
          </w:p>
          <w:p w14:paraId="7F94E200" w14:textId="77777777" w:rsidR="004824D4" w:rsidRPr="004D4EDD" w:rsidRDefault="004824D4">
            <w:pPr>
              <w:pStyle w:val="Tabletext"/>
              <w:ind w:left="0" w:right="0"/>
              <w:rPr>
                <w:szCs w:val="19"/>
                <w:lang w:eastAsia="ja-JP"/>
              </w:rPr>
            </w:pPr>
            <w:r w:rsidRPr="004D4EDD">
              <w:rPr>
                <w:rFonts w:cs="TimesNewRoman"/>
                <w:szCs w:val="19"/>
              </w:rPr>
              <w:t>(95% CI)</w:t>
            </w:r>
          </w:p>
        </w:tc>
        <w:tc>
          <w:tcPr>
            <w:tcW w:w="1134" w:type="dxa"/>
            <w:vAlign w:val="center"/>
            <w:hideMark/>
          </w:tcPr>
          <w:p w14:paraId="0DAF249F" w14:textId="77777777" w:rsidR="004824D4" w:rsidRPr="004D4EDD" w:rsidRDefault="004824D4">
            <w:pPr>
              <w:pStyle w:val="Tabletext"/>
              <w:ind w:left="0" w:right="0"/>
              <w:rPr>
                <w:szCs w:val="19"/>
                <w:lang w:eastAsia="ja-JP"/>
              </w:rPr>
            </w:pPr>
            <w:r w:rsidRPr="004D4EDD">
              <w:rPr>
                <w:rFonts w:cs="TimesNewRoman"/>
                <w:szCs w:val="19"/>
              </w:rPr>
              <w:t>p-value</w:t>
            </w:r>
          </w:p>
        </w:tc>
      </w:tr>
      <w:tr w:rsidR="004824D4" w:rsidRPr="004D4EDD" w14:paraId="113EAAEE" w14:textId="77777777" w:rsidTr="00703839">
        <w:tc>
          <w:tcPr>
            <w:tcW w:w="2115" w:type="dxa"/>
            <w:hideMark/>
          </w:tcPr>
          <w:p w14:paraId="4D6AAE96" w14:textId="77777777" w:rsidR="004824D4" w:rsidRPr="004D4EDD" w:rsidRDefault="004824D4" w:rsidP="006520D4">
            <w:pPr>
              <w:pStyle w:val="Tabletext"/>
              <w:ind w:left="0" w:right="0"/>
              <w:rPr>
                <w:szCs w:val="19"/>
                <w:lang w:eastAsia="ja-JP"/>
              </w:rPr>
            </w:pPr>
            <w:r w:rsidRPr="004D4EDD">
              <w:rPr>
                <w:szCs w:val="19"/>
                <w:lang w:eastAsia="ja-JP"/>
              </w:rPr>
              <w:t>A clinical response at Week 52</w:t>
            </w:r>
          </w:p>
        </w:tc>
        <w:tc>
          <w:tcPr>
            <w:tcW w:w="1202" w:type="dxa"/>
          </w:tcPr>
          <w:p w14:paraId="10B89DF7" w14:textId="77777777" w:rsidR="004824D4" w:rsidRPr="004D4EDD" w:rsidRDefault="004824D4" w:rsidP="006520D4">
            <w:pPr>
              <w:pStyle w:val="Tabletext"/>
              <w:ind w:left="0" w:right="0"/>
              <w:rPr>
                <w:szCs w:val="19"/>
                <w:lang w:eastAsia="ja-JP"/>
              </w:rPr>
            </w:pPr>
            <w:r w:rsidRPr="004D4EDD">
              <w:rPr>
                <w:rFonts w:cs="TimesNewRoman"/>
                <w:szCs w:val="19"/>
              </w:rPr>
              <w:t>93 (41.0)</w:t>
            </w:r>
          </w:p>
        </w:tc>
        <w:tc>
          <w:tcPr>
            <w:tcW w:w="1209" w:type="dxa"/>
          </w:tcPr>
          <w:p w14:paraId="1590CEAC" w14:textId="77777777" w:rsidR="004824D4" w:rsidRPr="004D4EDD" w:rsidRDefault="004824D4" w:rsidP="006520D4">
            <w:pPr>
              <w:pStyle w:val="Tabletext"/>
              <w:ind w:left="0" w:right="0"/>
              <w:rPr>
                <w:szCs w:val="19"/>
                <w:lang w:eastAsia="ja-JP"/>
              </w:rPr>
            </w:pPr>
            <w:r w:rsidRPr="004D4EDD">
              <w:rPr>
                <w:rFonts w:cs="TimesNewRoman"/>
                <w:szCs w:val="19"/>
              </w:rPr>
              <w:t>138 (60.0)</w:t>
            </w:r>
          </w:p>
        </w:tc>
        <w:tc>
          <w:tcPr>
            <w:tcW w:w="1418" w:type="dxa"/>
          </w:tcPr>
          <w:p w14:paraId="6F5549F7" w14:textId="07FB4756" w:rsidR="004824D4" w:rsidRPr="004D4EDD" w:rsidRDefault="004824D4" w:rsidP="006520D4">
            <w:pPr>
              <w:pStyle w:val="Tabletext"/>
              <w:ind w:left="0" w:right="0"/>
              <w:rPr>
                <w:szCs w:val="19"/>
                <w:lang w:eastAsia="ja-JP"/>
              </w:rPr>
            </w:pPr>
            <w:r w:rsidRPr="004D4EDD">
              <w:rPr>
                <w:rFonts w:cs="TimesNewRoman"/>
                <w:szCs w:val="19"/>
              </w:rPr>
              <w:t>2.266</w:t>
            </w:r>
            <w:r w:rsidR="000A6A58" w:rsidRPr="004D4EDD">
              <w:rPr>
                <w:rFonts w:cs="TimesNewRoman"/>
                <w:szCs w:val="19"/>
              </w:rPr>
              <w:br/>
            </w:r>
            <w:r w:rsidRPr="004D4EDD">
              <w:rPr>
                <w:rFonts w:cs="TimesNewRoman"/>
                <w:szCs w:val="19"/>
              </w:rPr>
              <w:t>(1.542, 3.331)</w:t>
            </w:r>
          </w:p>
        </w:tc>
        <w:tc>
          <w:tcPr>
            <w:tcW w:w="1417" w:type="dxa"/>
          </w:tcPr>
          <w:p w14:paraId="36036C63" w14:textId="4DEC6A69" w:rsidR="004824D4" w:rsidRPr="004D4EDD" w:rsidRDefault="004824D4" w:rsidP="006520D4">
            <w:pPr>
              <w:pStyle w:val="Tabletext"/>
              <w:ind w:left="0" w:right="0"/>
              <w:rPr>
                <w:szCs w:val="19"/>
                <w:lang w:eastAsia="ja-JP"/>
              </w:rPr>
            </w:pPr>
            <w:r w:rsidRPr="004D4EDD">
              <w:rPr>
                <w:rFonts w:cs="TimesNewRoman"/>
                <w:szCs w:val="19"/>
              </w:rPr>
              <w:t>0.192</w:t>
            </w:r>
            <w:r w:rsidR="000A6A58" w:rsidRPr="004D4EDD">
              <w:rPr>
                <w:rFonts w:cs="TimesNewRoman"/>
                <w:szCs w:val="19"/>
              </w:rPr>
              <w:br/>
            </w:r>
            <w:r w:rsidRPr="004D4EDD">
              <w:rPr>
                <w:rFonts w:cs="TimesNewRoman"/>
                <w:szCs w:val="19"/>
              </w:rPr>
              <w:t>(0.104, 0.280)</w:t>
            </w:r>
          </w:p>
        </w:tc>
        <w:tc>
          <w:tcPr>
            <w:tcW w:w="1134" w:type="dxa"/>
            <w:hideMark/>
          </w:tcPr>
          <w:p w14:paraId="3C61DBEB" w14:textId="77777777" w:rsidR="004824D4" w:rsidRPr="004D4EDD" w:rsidRDefault="004824D4" w:rsidP="006520D4">
            <w:pPr>
              <w:pStyle w:val="Tabletext"/>
              <w:ind w:left="0" w:right="0"/>
              <w:rPr>
                <w:szCs w:val="19"/>
                <w:lang w:eastAsia="ja-JP"/>
              </w:rPr>
            </w:pPr>
            <w:r w:rsidRPr="004D4EDD">
              <w:rPr>
                <w:rFonts w:cs="TimesNewRoman"/>
                <w:szCs w:val="19"/>
              </w:rPr>
              <w:t>&lt; 0.0001</w:t>
            </w:r>
          </w:p>
        </w:tc>
      </w:tr>
      <w:tr w:rsidR="004824D4" w:rsidRPr="004D4EDD" w14:paraId="464593D7" w14:textId="77777777" w:rsidTr="00703839">
        <w:tc>
          <w:tcPr>
            <w:tcW w:w="2115" w:type="dxa"/>
            <w:hideMark/>
          </w:tcPr>
          <w:p w14:paraId="2C3016CC" w14:textId="77777777" w:rsidR="004824D4" w:rsidRPr="004D4EDD" w:rsidRDefault="004824D4" w:rsidP="006520D4">
            <w:pPr>
              <w:pStyle w:val="Tabletext"/>
              <w:ind w:left="0" w:right="0"/>
              <w:rPr>
                <w:szCs w:val="19"/>
                <w:lang w:eastAsia="ja-JP"/>
              </w:rPr>
            </w:pPr>
            <w:r w:rsidRPr="004D4EDD">
              <w:rPr>
                <w:szCs w:val="19"/>
                <w:lang w:eastAsia="ja-JP"/>
              </w:rPr>
              <w:t>Endoscopic improvement at Week 52</w:t>
            </w:r>
          </w:p>
        </w:tc>
        <w:tc>
          <w:tcPr>
            <w:tcW w:w="1202" w:type="dxa"/>
          </w:tcPr>
          <w:p w14:paraId="4BE75BA3" w14:textId="77777777" w:rsidR="004824D4" w:rsidRPr="004D4EDD" w:rsidRDefault="004824D4" w:rsidP="006520D4">
            <w:pPr>
              <w:pStyle w:val="Tabletext"/>
              <w:ind w:left="0" w:right="0"/>
              <w:rPr>
                <w:szCs w:val="19"/>
                <w:lang w:eastAsia="ja-JP"/>
              </w:rPr>
            </w:pPr>
            <w:r w:rsidRPr="004D4EDD">
              <w:rPr>
                <w:rFonts w:cs="TimesNewRoman"/>
                <w:szCs w:val="19"/>
              </w:rPr>
              <w:t>60 (26.4)</w:t>
            </w:r>
          </w:p>
        </w:tc>
        <w:tc>
          <w:tcPr>
            <w:tcW w:w="1209" w:type="dxa"/>
          </w:tcPr>
          <w:p w14:paraId="05B359A8" w14:textId="77777777" w:rsidR="004824D4" w:rsidRPr="004D4EDD" w:rsidRDefault="004824D4" w:rsidP="006520D4">
            <w:pPr>
              <w:pStyle w:val="Tabletext"/>
              <w:ind w:left="0" w:right="0"/>
              <w:rPr>
                <w:szCs w:val="19"/>
                <w:lang w:eastAsia="ja-JP"/>
              </w:rPr>
            </w:pPr>
            <w:r w:rsidRPr="004D4EDD">
              <w:rPr>
                <w:rFonts w:cs="TimesNewRoman"/>
                <w:szCs w:val="19"/>
              </w:rPr>
              <w:t>105 (45.7)</w:t>
            </w:r>
          </w:p>
        </w:tc>
        <w:tc>
          <w:tcPr>
            <w:tcW w:w="1418" w:type="dxa"/>
          </w:tcPr>
          <w:p w14:paraId="4C83228D" w14:textId="01BB1285" w:rsidR="004824D4" w:rsidRPr="004D4EDD" w:rsidRDefault="004824D4" w:rsidP="006520D4">
            <w:pPr>
              <w:pStyle w:val="Tabletext"/>
              <w:ind w:left="0" w:right="0"/>
              <w:rPr>
                <w:szCs w:val="19"/>
                <w:lang w:eastAsia="ja-JP"/>
              </w:rPr>
            </w:pPr>
            <w:r w:rsidRPr="004D4EDD">
              <w:rPr>
                <w:rFonts w:cs="TimesNewRoman"/>
                <w:szCs w:val="19"/>
              </w:rPr>
              <w:t>2.476</w:t>
            </w:r>
            <w:r w:rsidR="000A6A58" w:rsidRPr="004D4EDD">
              <w:rPr>
                <w:rFonts w:cs="TimesNewRoman"/>
                <w:szCs w:val="19"/>
              </w:rPr>
              <w:br/>
            </w:r>
            <w:r w:rsidRPr="004D4EDD">
              <w:rPr>
                <w:rFonts w:cs="TimesNewRoman"/>
                <w:szCs w:val="19"/>
              </w:rPr>
              <w:t>(1.650, 3.716)</w:t>
            </w:r>
          </w:p>
        </w:tc>
        <w:tc>
          <w:tcPr>
            <w:tcW w:w="1417" w:type="dxa"/>
          </w:tcPr>
          <w:p w14:paraId="5DD14E9E" w14:textId="00C219AA" w:rsidR="004824D4" w:rsidRPr="004D4EDD" w:rsidRDefault="004824D4" w:rsidP="006520D4">
            <w:pPr>
              <w:pStyle w:val="Tabletext"/>
              <w:ind w:left="0" w:right="0"/>
              <w:rPr>
                <w:szCs w:val="19"/>
                <w:lang w:eastAsia="ja-JP"/>
              </w:rPr>
            </w:pPr>
            <w:r w:rsidRPr="004D4EDD">
              <w:rPr>
                <w:rFonts w:cs="TimesNewRoman"/>
                <w:szCs w:val="19"/>
              </w:rPr>
              <w:t>0.194</w:t>
            </w:r>
            <w:r w:rsidR="000A6A58" w:rsidRPr="004D4EDD">
              <w:rPr>
                <w:rFonts w:cs="TimesNewRoman"/>
                <w:szCs w:val="19"/>
              </w:rPr>
              <w:br/>
            </w:r>
            <w:r w:rsidRPr="004D4EDD">
              <w:rPr>
                <w:rFonts w:cs="TimesNewRoman"/>
                <w:szCs w:val="19"/>
              </w:rPr>
              <w:t>(0.110, 0.277)</w:t>
            </w:r>
          </w:p>
        </w:tc>
        <w:tc>
          <w:tcPr>
            <w:tcW w:w="1134" w:type="dxa"/>
            <w:hideMark/>
          </w:tcPr>
          <w:p w14:paraId="41C1E39B" w14:textId="77777777" w:rsidR="004824D4" w:rsidRPr="004D4EDD" w:rsidRDefault="004824D4" w:rsidP="006520D4">
            <w:pPr>
              <w:pStyle w:val="Tabletext"/>
              <w:ind w:left="0" w:right="0"/>
              <w:rPr>
                <w:szCs w:val="19"/>
                <w:lang w:eastAsia="ja-JP"/>
              </w:rPr>
            </w:pPr>
            <w:r w:rsidRPr="004D4EDD">
              <w:rPr>
                <w:rFonts w:cs="TimesNewRoman"/>
                <w:szCs w:val="19"/>
              </w:rPr>
              <w:t>&lt; 0.0001</w:t>
            </w:r>
          </w:p>
        </w:tc>
      </w:tr>
      <w:tr w:rsidR="004824D4" w:rsidRPr="004D4EDD" w14:paraId="4809A93B" w14:textId="77777777" w:rsidTr="00703839">
        <w:tc>
          <w:tcPr>
            <w:tcW w:w="2115" w:type="dxa"/>
          </w:tcPr>
          <w:p w14:paraId="76457379" w14:textId="77777777" w:rsidR="004824D4" w:rsidRPr="004D4EDD" w:rsidRDefault="004824D4" w:rsidP="006520D4">
            <w:pPr>
              <w:pStyle w:val="Tabletext"/>
              <w:ind w:left="0" w:right="0"/>
              <w:rPr>
                <w:szCs w:val="19"/>
                <w:vertAlign w:val="superscript"/>
                <w:lang w:eastAsia="ja-JP"/>
              </w:rPr>
            </w:pPr>
            <w:r w:rsidRPr="004D4EDD">
              <w:rPr>
                <w:szCs w:val="19"/>
                <w:lang w:eastAsia="ja-JP"/>
              </w:rPr>
              <w:t xml:space="preserve">Durable clinical </w:t>
            </w:r>
            <w:proofErr w:type="spellStart"/>
            <w:r w:rsidRPr="004D4EDD">
              <w:rPr>
                <w:szCs w:val="19"/>
                <w:lang w:eastAsia="ja-JP"/>
              </w:rPr>
              <w:t>remission</w:t>
            </w:r>
            <w:r w:rsidRPr="004D4EDD">
              <w:rPr>
                <w:szCs w:val="19"/>
                <w:vertAlign w:val="superscript"/>
                <w:lang w:eastAsia="ja-JP"/>
              </w:rPr>
              <w:t>a</w:t>
            </w:r>
            <w:proofErr w:type="spellEnd"/>
          </w:p>
        </w:tc>
        <w:tc>
          <w:tcPr>
            <w:tcW w:w="1202" w:type="dxa"/>
          </w:tcPr>
          <w:p w14:paraId="616BD706" w14:textId="77777777" w:rsidR="004824D4" w:rsidRPr="004D4EDD" w:rsidRDefault="004824D4" w:rsidP="006520D4">
            <w:pPr>
              <w:pStyle w:val="Tabletext"/>
              <w:ind w:left="0" w:right="0"/>
              <w:rPr>
                <w:szCs w:val="19"/>
                <w:lang w:eastAsia="ja-JP"/>
              </w:rPr>
            </w:pPr>
            <w:r w:rsidRPr="004D4EDD">
              <w:rPr>
                <w:rFonts w:cs="TimesNewRoman"/>
                <w:szCs w:val="19"/>
              </w:rPr>
              <w:t>22 (9.7)</w:t>
            </w:r>
          </w:p>
        </w:tc>
        <w:tc>
          <w:tcPr>
            <w:tcW w:w="1209" w:type="dxa"/>
          </w:tcPr>
          <w:p w14:paraId="0124FAF1" w14:textId="77777777" w:rsidR="004824D4" w:rsidRPr="004D4EDD" w:rsidRDefault="004824D4" w:rsidP="006520D4">
            <w:pPr>
              <w:pStyle w:val="Tabletext"/>
              <w:ind w:left="0" w:right="0"/>
              <w:rPr>
                <w:szCs w:val="19"/>
                <w:lang w:eastAsia="ja-JP"/>
              </w:rPr>
            </w:pPr>
            <w:r w:rsidRPr="004D4EDD">
              <w:rPr>
                <w:rFonts w:cs="TimesNewRoman"/>
                <w:szCs w:val="19"/>
              </w:rPr>
              <w:t>41 (17.8)</w:t>
            </w:r>
          </w:p>
        </w:tc>
        <w:tc>
          <w:tcPr>
            <w:tcW w:w="1418" w:type="dxa"/>
          </w:tcPr>
          <w:p w14:paraId="02BBA966" w14:textId="315F3BB8" w:rsidR="004824D4" w:rsidRPr="004D4EDD" w:rsidRDefault="004824D4" w:rsidP="006520D4">
            <w:pPr>
              <w:pStyle w:val="Tabletext"/>
              <w:ind w:left="0" w:right="0"/>
              <w:rPr>
                <w:szCs w:val="19"/>
                <w:lang w:eastAsia="ja-JP"/>
              </w:rPr>
            </w:pPr>
            <w:r w:rsidRPr="004D4EDD">
              <w:rPr>
                <w:rFonts w:cs="TimesNewRoman"/>
                <w:szCs w:val="19"/>
              </w:rPr>
              <w:t>2.646</w:t>
            </w:r>
            <w:r w:rsidR="000A6A58" w:rsidRPr="004D4EDD">
              <w:rPr>
                <w:rFonts w:cs="TimesNewRoman"/>
                <w:szCs w:val="19"/>
              </w:rPr>
              <w:br/>
            </w:r>
            <w:r w:rsidRPr="004D4EDD">
              <w:rPr>
                <w:rFonts w:cs="TimesNewRoman"/>
                <w:szCs w:val="19"/>
              </w:rPr>
              <w:t>(1.384, 5.061)</w:t>
            </w:r>
          </w:p>
        </w:tc>
        <w:tc>
          <w:tcPr>
            <w:tcW w:w="1417" w:type="dxa"/>
          </w:tcPr>
          <w:p w14:paraId="745E6A38" w14:textId="2D82CBB8" w:rsidR="004824D4" w:rsidRPr="004D4EDD" w:rsidRDefault="004824D4" w:rsidP="006520D4">
            <w:pPr>
              <w:pStyle w:val="Tabletext"/>
              <w:ind w:left="0" w:right="0"/>
              <w:rPr>
                <w:szCs w:val="19"/>
                <w:lang w:eastAsia="ja-JP"/>
              </w:rPr>
            </w:pPr>
            <w:r w:rsidRPr="004D4EDD">
              <w:rPr>
                <w:rFonts w:cs="TimesNewRoman"/>
                <w:szCs w:val="19"/>
              </w:rPr>
              <w:t>0.082</w:t>
            </w:r>
            <w:r w:rsidR="000A6A58" w:rsidRPr="004D4EDD">
              <w:rPr>
                <w:rFonts w:cs="TimesNewRoman"/>
                <w:szCs w:val="19"/>
              </w:rPr>
              <w:br/>
            </w:r>
            <w:r w:rsidRPr="004D4EDD">
              <w:rPr>
                <w:rFonts w:cs="TimesNewRoman"/>
                <w:szCs w:val="19"/>
              </w:rPr>
              <w:t>(0.028, 0.136)</w:t>
            </w:r>
          </w:p>
        </w:tc>
        <w:tc>
          <w:tcPr>
            <w:tcW w:w="1134" w:type="dxa"/>
          </w:tcPr>
          <w:p w14:paraId="651DEC93" w14:textId="77777777" w:rsidR="004824D4" w:rsidRPr="004D4EDD" w:rsidRDefault="004824D4" w:rsidP="006520D4">
            <w:pPr>
              <w:pStyle w:val="Tabletext"/>
              <w:ind w:left="0" w:right="0"/>
              <w:rPr>
                <w:rFonts w:cs="TimesNewRoman"/>
                <w:szCs w:val="19"/>
              </w:rPr>
            </w:pPr>
            <w:r w:rsidRPr="004D4EDD">
              <w:rPr>
                <w:rFonts w:cs="TimesNewRoman"/>
                <w:szCs w:val="19"/>
              </w:rPr>
              <w:t>0.0030</w:t>
            </w:r>
          </w:p>
        </w:tc>
      </w:tr>
      <w:tr w:rsidR="004824D4" w:rsidRPr="004D4EDD" w14:paraId="310C4944" w14:textId="77777777" w:rsidTr="00703839">
        <w:tc>
          <w:tcPr>
            <w:tcW w:w="2115" w:type="dxa"/>
          </w:tcPr>
          <w:p w14:paraId="35AE1081" w14:textId="77777777" w:rsidR="004824D4" w:rsidRPr="004D4EDD" w:rsidRDefault="004824D4" w:rsidP="006520D4">
            <w:pPr>
              <w:pStyle w:val="Tabletext"/>
              <w:ind w:left="0" w:right="0"/>
              <w:rPr>
                <w:szCs w:val="19"/>
                <w:lang w:eastAsia="ja-JP"/>
              </w:rPr>
            </w:pPr>
            <w:r w:rsidRPr="004D4EDD">
              <w:rPr>
                <w:szCs w:val="19"/>
                <w:lang w:eastAsia="ja-JP"/>
              </w:rPr>
              <w:t>Clinical remission at Week 52 of participants in remission at Week 10</w:t>
            </w:r>
          </w:p>
        </w:tc>
        <w:tc>
          <w:tcPr>
            <w:tcW w:w="1202" w:type="dxa"/>
          </w:tcPr>
          <w:p w14:paraId="71BBF70F" w14:textId="77777777" w:rsidR="004824D4" w:rsidRPr="004D4EDD" w:rsidRDefault="004824D4" w:rsidP="006520D4">
            <w:pPr>
              <w:pStyle w:val="Tabletext"/>
              <w:ind w:left="0" w:right="0"/>
              <w:rPr>
                <w:szCs w:val="19"/>
                <w:lang w:eastAsia="ja-JP"/>
              </w:rPr>
            </w:pPr>
            <w:r w:rsidRPr="004D4EDD">
              <w:rPr>
                <w:rFonts w:cs="TimesNewRoman"/>
                <w:szCs w:val="19"/>
              </w:rPr>
              <w:t>22 (29.3)</w:t>
            </w:r>
          </w:p>
        </w:tc>
        <w:tc>
          <w:tcPr>
            <w:tcW w:w="1209" w:type="dxa"/>
          </w:tcPr>
          <w:p w14:paraId="5301DE41" w14:textId="77777777" w:rsidR="004824D4" w:rsidRPr="004D4EDD" w:rsidRDefault="004824D4" w:rsidP="006520D4">
            <w:pPr>
              <w:pStyle w:val="Tabletext"/>
              <w:ind w:left="0" w:right="0"/>
              <w:rPr>
                <w:szCs w:val="19"/>
                <w:lang w:eastAsia="ja-JP"/>
              </w:rPr>
            </w:pPr>
            <w:r w:rsidRPr="004D4EDD">
              <w:rPr>
                <w:rFonts w:cs="TimesNewRoman"/>
                <w:szCs w:val="19"/>
              </w:rPr>
              <w:t>41 (51.9)</w:t>
            </w:r>
          </w:p>
        </w:tc>
        <w:tc>
          <w:tcPr>
            <w:tcW w:w="1418" w:type="dxa"/>
          </w:tcPr>
          <w:p w14:paraId="09B83B5C" w14:textId="0DCE1C4A" w:rsidR="004824D4" w:rsidRPr="004D4EDD" w:rsidRDefault="004824D4" w:rsidP="006520D4">
            <w:pPr>
              <w:pStyle w:val="Tabletext"/>
              <w:ind w:left="0" w:right="0"/>
              <w:rPr>
                <w:szCs w:val="19"/>
                <w:lang w:eastAsia="ja-JP"/>
              </w:rPr>
            </w:pPr>
            <w:r w:rsidRPr="004D4EDD">
              <w:rPr>
                <w:rFonts w:cs="TimesNewRoman"/>
                <w:szCs w:val="19"/>
              </w:rPr>
              <w:t>2.881</w:t>
            </w:r>
            <w:r w:rsidR="000A6A58" w:rsidRPr="004D4EDD">
              <w:rPr>
                <w:rFonts w:cs="TimesNewRoman"/>
                <w:szCs w:val="19"/>
              </w:rPr>
              <w:br/>
            </w:r>
            <w:r w:rsidRPr="004D4EDD">
              <w:rPr>
                <w:rFonts w:cs="TimesNewRoman"/>
                <w:szCs w:val="19"/>
              </w:rPr>
              <w:t>(1.447, 5.738)</w:t>
            </w:r>
          </w:p>
        </w:tc>
        <w:tc>
          <w:tcPr>
            <w:tcW w:w="1417" w:type="dxa"/>
          </w:tcPr>
          <w:p w14:paraId="7BC9E06E" w14:textId="371FF4D3" w:rsidR="004824D4" w:rsidRPr="004D4EDD" w:rsidRDefault="004824D4" w:rsidP="006520D4">
            <w:pPr>
              <w:pStyle w:val="Tabletext"/>
              <w:ind w:left="0" w:right="0"/>
              <w:rPr>
                <w:szCs w:val="19"/>
                <w:lang w:eastAsia="ja-JP"/>
              </w:rPr>
            </w:pPr>
            <w:r w:rsidRPr="004D4EDD">
              <w:rPr>
                <w:rFonts w:cs="TimesNewRoman"/>
                <w:szCs w:val="19"/>
              </w:rPr>
              <w:t>0.239</w:t>
            </w:r>
            <w:r w:rsidR="000A6A58" w:rsidRPr="004D4EDD">
              <w:rPr>
                <w:rFonts w:cs="TimesNewRoman"/>
                <w:szCs w:val="19"/>
              </w:rPr>
              <w:br/>
            </w:r>
            <w:r w:rsidRPr="004D4EDD">
              <w:rPr>
                <w:rFonts w:cs="TimesNewRoman"/>
                <w:szCs w:val="19"/>
              </w:rPr>
              <w:t>(0.091, 0.386)</w:t>
            </w:r>
          </w:p>
        </w:tc>
        <w:tc>
          <w:tcPr>
            <w:tcW w:w="1134" w:type="dxa"/>
          </w:tcPr>
          <w:p w14:paraId="0AB3DC04" w14:textId="77777777" w:rsidR="004824D4" w:rsidRPr="004D4EDD" w:rsidRDefault="004824D4" w:rsidP="006520D4">
            <w:pPr>
              <w:pStyle w:val="Tabletext"/>
              <w:ind w:left="0" w:right="0"/>
              <w:rPr>
                <w:rFonts w:cs="TimesNewRoman"/>
                <w:szCs w:val="19"/>
              </w:rPr>
            </w:pPr>
            <w:r w:rsidRPr="004D4EDD">
              <w:rPr>
                <w:rFonts w:cs="TimesNewRoman"/>
                <w:szCs w:val="19"/>
              </w:rPr>
              <w:t>0.0025</w:t>
            </w:r>
          </w:p>
        </w:tc>
      </w:tr>
      <w:tr w:rsidR="004824D4" w:rsidRPr="004D4EDD" w14:paraId="25DB8C2B" w14:textId="77777777" w:rsidTr="00703839">
        <w:tc>
          <w:tcPr>
            <w:tcW w:w="2115" w:type="dxa"/>
          </w:tcPr>
          <w:p w14:paraId="3F6377F1" w14:textId="77777777" w:rsidR="004824D4" w:rsidRPr="004D4EDD" w:rsidRDefault="004824D4" w:rsidP="006520D4">
            <w:pPr>
              <w:pStyle w:val="Tabletext"/>
              <w:ind w:left="0" w:right="0"/>
              <w:rPr>
                <w:szCs w:val="19"/>
                <w:lang w:eastAsia="ja-JP"/>
              </w:rPr>
            </w:pPr>
            <w:r w:rsidRPr="004D4EDD">
              <w:rPr>
                <w:szCs w:val="19"/>
                <w:lang w:eastAsia="ja-JP"/>
              </w:rPr>
              <w:t>Corticosteroid-free remission</w:t>
            </w:r>
          </w:p>
        </w:tc>
        <w:tc>
          <w:tcPr>
            <w:tcW w:w="1202" w:type="dxa"/>
          </w:tcPr>
          <w:p w14:paraId="65FD21E7" w14:textId="77777777" w:rsidR="004824D4" w:rsidRPr="004D4EDD" w:rsidRDefault="004824D4" w:rsidP="006520D4">
            <w:pPr>
              <w:pStyle w:val="Tabletext"/>
              <w:ind w:left="0" w:right="0"/>
              <w:rPr>
                <w:szCs w:val="19"/>
                <w:lang w:eastAsia="ja-JP"/>
              </w:rPr>
            </w:pPr>
            <w:r w:rsidRPr="004D4EDD">
              <w:rPr>
                <w:rFonts w:cs="TimesNewRoman"/>
                <w:szCs w:val="19"/>
              </w:rPr>
              <w:t>38 (16.7)</w:t>
            </w:r>
          </w:p>
        </w:tc>
        <w:tc>
          <w:tcPr>
            <w:tcW w:w="1209" w:type="dxa"/>
          </w:tcPr>
          <w:p w14:paraId="3B0A9474" w14:textId="77777777" w:rsidR="004824D4" w:rsidRPr="004D4EDD" w:rsidRDefault="004824D4" w:rsidP="006520D4">
            <w:pPr>
              <w:pStyle w:val="Tabletext"/>
              <w:ind w:left="0" w:right="0"/>
              <w:rPr>
                <w:szCs w:val="19"/>
                <w:lang w:eastAsia="ja-JP"/>
              </w:rPr>
            </w:pPr>
            <w:r w:rsidRPr="004D4EDD">
              <w:rPr>
                <w:rFonts w:cs="TimesNewRoman"/>
                <w:szCs w:val="19"/>
              </w:rPr>
              <w:t>73 (31.7)</w:t>
            </w:r>
          </w:p>
        </w:tc>
        <w:tc>
          <w:tcPr>
            <w:tcW w:w="1418" w:type="dxa"/>
          </w:tcPr>
          <w:p w14:paraId="1FEDF172" w14:textId="60000BBE" w:rsidR="004824D4" w:rsidRPr="004D4EDD" w:rsidRDefault="004824D4" w:rsidP="006520D4">
            <w:pPr>
              <w:pStyle w:val="Tabletext"/>
              <w:ind w:left="0" w:right="0"/>
              <w:rPr>
                <w:szCs w:val="19"/>
                <w:lang w:eastAsia="ja-JP"/>
              </w:rPr>
            </w:pPr>
            <w:r w:rsidRPr="004D4EDD">
              <w:rPr>
                <w:rFonts w:cs="TimesNewRoman"/>
                <w:szCs w:val="19"/>
              </w:rPr>
              <w:t>2.557</w:t>
            </w:r>
            <w:r w:rsidR="000A6A58" w:rsidRPr="004D4EDD">
              <w:rPr>
                <w:rFonts w:cs="TimesNewRoman"/>
                <w:szCs w:val="19"/>
              </w:rPr>
              <w:br/>
            </w:r>
            <w:r w:rsidRPr="004D4EDD">
              <w:rPr>
                <w:rFonts w:cs="TimesNewRoman"/>
                <w:szCs w:val="19"/>
              </w:rPr>
              <w:t>(1.598, 4.093)</w:t>
            </w:r>
          </w:p>
        </w:tc>
        <w:tc>
          <w:tcPr>
            <w:tcW w:w="1417" w:type="dxa"/>
          </w:tcPr>
          <w:p w14:paraId="06546AF3" w14:textId="375381FE" w:rsidR="004824D4" w:rsidRPr="004D4EDD" w:rsidRDefault="004824D4" w:rsidP="00D022D5">
            <w:pPr>
              <w:pStyle w:val="Tabletext"/>
              <w:ind w:left="0" w:right="0"/>
              <w:rPr>
                <w:szCs w:val="19"/>
                <w:lang w:eastAsia="ja-JP"/>
              </w:rPr>
            </w:pPr>
            <w:r w:rsidRPr="004D4EDD">
              <w:rPr>
                <w:rFonts w:cs="TimesNewRoman"/>
                <w:szCs w:val="19"/>
              </w:rPr>
              <w:t>0.152</w:t>
            </w:r>
            <w:r w:rsidR="00D022D5" w:rsidRPr="004D4EDD">
              <w:rPr>
                <w:rFonts w:cs="TimesNewRoman"/>
                <w:szCs w:val="19"/>
              </w:rPr>
              <w:br/>
            </w:r>
            <w:r w:rsidRPr="004D4EDD">
              <w:rPr>
                <w:rFonts w:cs="TimesNewRoman"/>
                <w:szCs w:val="19"/>
              </w:rPr>
              <w:t>(0.078, 0.226)</w:t>
            </w:r>
          </w:p>
        </w:tc>
        <w:tc>
          <w:tcPr>
            <w:tcW w:w="1134" w:type="dxa"/>
          </w:tcPr>
          <w:p w14:paraId="6F979928" w14:textId="77777777" w:rsidR="004824D4" w:rsidRPr="004D4EDD" w:rsidRDefault="004824D4" w:rsidP="006520D4">
            <w:pPr>
              <w:pStyle w:val="Tabletext"/>
              <w:ind w:left="0" w:right="0"/>
              <w:rPr>
                <w:rFonts w:cs="TimesNewRoman"/>
                <w:szCs w:val="19"/>
              </w:rPr>
            </w:pPr>
            <w:r w:rsidRPr="004D4EDD">
              <w:rPr>
                <w:rFonts w:cs="TimesNewRoman"/>
                <w:szCs w:val="19"/>
              </w:rPr>
              <w:t>&lt; 0.001</w:t>
            </w:r>
          </w:p>
        </w:tc>
      </w:tr>
      <w:tr w:rsidR="004824D4" w:rsidRPr="004D4EDD" w14:paraId="17C645A5" w14:textId="77777777" w:rsidTr="00703839">
        <w:tc>
          <w:tcPr>
            <w:tcW w:w="2115" w:type="dxa"/>
            <w:hideMark/>
          </w:tcPr>
          <w:p w14:paraId="729D122D" w14:textId="7CCF6C4F" w:rsidR="004824D4" w:rsidRPr="004D4EDD" w:rsidRDefault="004824D4" w:rsidP="006520D4">
            <w:pPr>
              <w:pStyle w:val="Tabletext"/>
              <w:ind w:left="0" w:right="0"/>
              <w:rPr>
                <w:szCs w:val="19"/>
                <w:lang w:eastAsia="ja-JP"/>
              </w:rPr>
            </w:pPr>
            <w:r w:rsidRPr="004D4EDD">
              <w:rPr>
                <w:szCs w:val="19"/>
                <w:lang w:eastAsia="ja-JP"/>
              </w:rPr>
              <w:t>Mucosal healing at Week</w:t>
            </w:r>
            <w:r w:rsidR="000A6A58" w:rsidRPr="004D4EDD">
              <w:rPr>
                <w:szCs w:val="19"/>
                <w:lang w:eastAsia="ja-JP"/>
              </w:rPr>
              <w:t> </w:t>
            </w:r>
            <w:r w:rsidRPr="004D4EDD">
              <w:rPr>
                <w:szCs w:val="19"/>
                <w:lang w:eastAsia="ja-JP"/>
              </w:rPr>
              <w:t>52</w:t>
            </w:r>
          </w:p>
        </w:tc>
        <w:tc>
          <w:tcPr>
            <w:tcW w:w="1202" w:type="dxa"/>
          </w:tcPr>
          <w:p w14:paraId="0ECF5045" w14:textId="77777777" w:rsidR="004824D4" w:rsidRPr="004D4EDD" w:rsidRDefault="004824D4" w:rsidP="006520D4">
            <w:pPr>
              <w:pStyle w:val="Tabletext"/>
              <w:ind w:left="0" w:right="0"/>
              <w:rPr>
                <w:szCs w:val="19"/>
                <w:lang w:eastAsia="ja-JP"/>
              </w:rPr>
            </w:pPr>
            <w:r w:rsidRPr="004D4EDD">
              <w:rPr>
                <w:rFonts w:cs="TimesNewRoman"/>
                <w:szCs w:val="19"/>
              </w:rPr>
              <w:t>32 (14.1)</w:t>
            </w:r>
          </w:p>
        </w:tc>
        <w:tc>
          <w:tcPr>
            <w:tcW w:w="1209" w:type="dxa"/>
          </w:tcPr>
          <w:p w14:paraId="42472DB9" w14:textId="77777777" w:rsidR="004824D4" w:rsidRPr="004D4EDD" w:rsidRDefault="004824D4" w:rsidP="006520D4">
            <w:pPr>
              <w:pStyle w:val="Tabletext"/>
              <w:ind w:left="0" w:right="0"/>
              <w:rPr>
                <w:szCs w:val="19"/>
                <w:lang w:eastAsia="ja-JP"/>
              </w:rPr>
            </w:pPr>
            <w:r w:rsidRPr="004D4EDD">
              <w:rPr>
                <w:rFonts w:cs="TimesNewRoman"/>
                <w:szCs w:val="19"/>
              </w:rPr>
              <w:t>68 (29.6)</w:t>
            </w:r>
          </w:p>
        </w:tc>
        <w:tc>
          <w:tcPr>
            <w:tcW w:w="1418" w:type="dxa"/>
          </w:tcPr>
          <w:p w14:paraId="3FB1F710" w14:textId="5F1F8BF7" w:rsidR="004824D4" w:rsidRPr="004D4EDD" w:rsidRDefault="004824D4" w:rsidP="00D022D5">
            <w:pPr>
              <w:pStyle w:val="Tabletext"/>
              <w:ind w:left="0" w:right="0"/>
              <w:rPr>
                <w:szCs w:val="19"/>
                <w:lang w:eastAsia="ja-JP"/>
              </w:rPr>
            </w:pPr>
            <w:r w:rsidRPr="004D4EDD">
              <w:rPr>
                <w:rFonts w:cs="TimesNewRoman"/>
                <w:szCs w:val="19"/>
              </w:rPr>
              <w:t>2.643</w:t>
            </w:r>
            <w:r w:rsidR="00D022D5" w:rsidRPr="004D4EDD">
              <w:rPr>
                <w:rFonts w:cs="TimesNewRoman"/>
                <w:szCs w:val="19"/>
              </w:rPr>
              <w:br/>
            </w:r>
            <w:r w:rsidRPr="004D4EDD">
              <w:rPr>
                <w:rFonts w:cs="TimesNewRoman"/>
                <w:szCs w:val="19"/>
              </w:rPr>
              <w:t>(1.642, 4.256)</w:t>
            </w:r>
          </w:p>
        </w:tc>
        <w:tc>
          <w:tcPr>
            <w:tcW w:w="1417" w:type="dxa"/>
          </w:tcPr>
          <w:p w14:paraId="295FE706" w14:textId="1695A37C" w:rsidR="004824D4" w:rsidRPr="004D4EDD" w:rsidRDefault="004824D4" w:rsidP="00D022D5">
            <w:pPr>
              <w:pStyle w:val="Tabletext"/>
              <w:ind w:left="0" w:right="0"/>
              <w:rPr>
                <w:szCs w:val="19"/>
                <w:lang w:eastAsia="ja-JP"/>
              </w:rPr>
            </w:pPr>
            <w:r w:rsidRPr="004D4EDD">
              <w:rPr>
                <w:rFonts w:cs="TimesNewRoman"/>
                <w:szCs w:val="19"/>
              </w:rPr>
              <w:t>0.156</w:t>
            </w:r>
            <w:r w:rsidR="00D022D5" w:rsidRPr="004D4EDD">
              <w:rPr>
                <w:rFonts w:cs="TimesNewRoman"/>
                <w:szCs w:val="19"/>
              </w:rPr>
              <w:br/>
            </w:r>
            <w:r w:rsidRPr="004D4EDD">
              <w:rPr>
                <w:rFonts w:cs="TimesNewRoman"/>
                <w:szCs w:val="19"/>
              </w:rPr>
              <w:t>(0.082, 0.229)</w:t>
            </w:r>
          </w:p>
        </w:tc>
        <w:tc>
          <w:tcPr>
            <w:tcW w:w="1134" w:type="dxa"/>
            <w:hideMark/>
          </w:tcPr>
          <w:p w14:paraId="5F2E8C39" w14:textId="77777777" w:rsidR="004824D4" w:rsidRPr="004D4EDD" w:rsidRDefault="004824D4" w:rsidP="006520D4">
            <w:pPr>
              <w:pStyle w:val="Tabletext"/>
              <w:ind w:left="0" w:right="0"/>
              <w:rPr>
                <w:szCs w:val="19"/>
                <w:lang w:eastAsia="ja-JP"/>
              </w:rPr>
            </w:pPr>
            <w:r w:rsidRPr="004D4EDD">
              <w:rPr>
                <w:rFonts w:cs="TimesNewRoman"/>
                <w:szCs w:val="19"/>
              </w:rPr>
              <w:t>&lt; 0.001</w:t>
            </w:r>
          </w:p>
        </w:tc>
      </w:tr>
    </w:tbl>
    <w:p w14:paraId="2C6A83BD" w14:textId="3BA8FD98" w:rsidR="004824D4" w:rsidRPr="004D4EDD" w:rsidRDefault="004824D4" w:rsidP="00703839">
      <w:pPr>
        <w:pStyle w:val="TableDescription"/>
      </w:pPr>
      <w:proofErr w:type="spellStart"/>
      <w:r w:rsidRPr="004D4EDD">
        <w:lastRenderedPageBreak/>
        <w:t>a</w:t>
      </w:r>
      <w:proofErr w:type="spellEnd"/>
      <w:r w:rsidRPr="004D4EDD">
        <w:t xml:space="preserve"> </w:t>
      </w:r>
      <w:proofErr w:type="gramStart"/>
      <w:r w:rsidRPr="004D4EDD">
        <w:t>The</w:t>
      </w:r>
      <w:proofErr w:type="gramEnd"/>
      <w:r w:rsidRPr="004D4EDD">
        <w:t xml:space="preserve"> endpoint of durable remission was moved to sixth in the hierarchy of key secondary endpoints (formerly third in hierarchy). Protocol </w:t>
      </w:r>
      <w:r w:rsidR="006520D4" w:rsidRPr="004D4EDD">
        <w:t xml:space="preserve">clarification letter </w:t>
      </w:r>
      <w:r w:rsidRPr="004D4EDD">
        <w:t>(4 Mar</w:t>
      </w:r>
      <w:r w:rsidR="006520D4" w:rsidRPr="004D4EDD">
        <w:t>ch</w:t>
      </w:r>
      <w:r w:rsidRPr="004D4EDD">
        <w:t xml:space="preserve"> 2020</w:t>
      </w:r>
      <w:r w:rsidR="006520D4" w:rsidRPr="004D4EDD">
        <w:t>, that is,</w:t>
      </w:r>
      <w:r w:rsidRPr="004D4EDD">
        <w:t xml:space="preserve"> just before completion of </w:t>
      </w:r>
      <w:r w:rsidR="006520D4" w:rsidRPr="004D4EDD">
        <w:t>the s</w:t>
      </w:r>
      <w:r w:rsidRPr="004D4EDD">
        <w:t>tudy)</w:t>
      </w:r>
      <w:r w:rsidR="00ED4392" w:rsidRPr="004D4EDD">
        <w:t>.</w:t>
      </w:r>
    </w:p>
    <w:p w14:paraId="0D4CB75D" w14:textId="0BED0EDF" w:rsidR="004824D4" w:rsidRPr="004D4EDD" w:rsidRDefault="004824D4" w:rsidP="001551AA">
      <w:r w:rsidRPr="004D4EDD">
        <w:t xml:space="preserve">Statistical comparisons were not presented between the </w:t>
      </w:r>
      <w:r w:rsidR="00BE320A" w:rsidRPr="004D4EDD">
        <w:t>placebo</w:t>
      </w:r>
      <w:r w:rsidRPr="004D4EDD">
        <w:t>/</w:t>
      </w:r>
      <w:r w:rsidR="00BE320A" w:rsidRPr="004D4EDD">
        <w:t>placebo</w:t>
      </w:r>
      <w:r w:rsidRPr="004D4EDD">
        <w:t xml:space="preserve"> group and the re</w:t>
      </w:r>
      <w:r w:rsidR="00A20545" w:rsidRPr="004D4EDD">
        <w:noBreakHyphen/>
      </w:r>
      <w:r w:rsidR="006520D4" w:rsidRPr="004D4EDD">
        <w:t>r</w:t>
      </w:r>
      <w:r w:rsidRPr="004D4EDD">
        <w:t>andomi</w:t>
      </w:r>
      <w:r w:rsidR="00265C8D" w:rsidRPr="004D4EDD">
        <w:t>s</w:t>
      </w:r>
      <w:r w:rsidRPr="004D4EDD">
        <w:t xml:space="preserve">ed </w:t>
      </w:r>
      <w:r w:rsidR="00BE320A" w:rsidRPr="004D4EDD">
        <w:t>ozanimod</w:t>
      </w:r>
      <w:r w:rsidRPr="004D4EDD">
        <w:t>/</w:t>
      </w:r>
      <w:r w:rsidR="00BE320A" w:rsidRPr="004D4EDD">
        <w:t>placebo</w:t>
      </w:r>
      <w:r w:rsidRPr="004D4EDD">
        <w:t xml:space="preserve"> and </w:t>
      </w:r>
      <w:r w:rsidR="00BE320A" w:rsidRPr="004D4EDD">
        <w:t>ozanimod</w:t>
      </w:r>
      <w:r w:rsidRPr="004D4EDD">
        <w:t>/</w:t>
      </w:r>
      <w:r w:rsidR="00BE320A" w:rsidRPr="004D4EDD">
        <w:t>ozanimod</w:t>
      </w:r>
      <w:r w:rsidRPr="004D4EDD">
        <w:t xml:space="preserve"> populations. At </w:t>
      </w:r>
      <w:r w:rsidR="00265C8D" w:rsidRPr="004D4EDD">
        <w:t>Week</w:t>
      </w:r>
      <w:r w:rsidR="006520D4" w:rsidRPr="004D4EDD">
        <w:t> </w:t>
      </w:r>
      <w:r w:rsidRPr="004D4EDD">
        <w:t>52, 27</w:t>
      </w:r>
      <w:r w:rsidR="006520D4" w:rsidRPr="004D4EDD">
        <w:t> </w:t>
      </w:r>
      <w:r w:rsidRPr="004D4EDD">
        <w:t xml:space="preserve">(39.1%) of participants in the </w:t>
      </w:r>
      <w:r w:rsidR="00BE320A" w:rsidRPr="004D4EDD">
        <w:t>placebo</w:t>
      </w:r>
      <w:r w:rsidRPr="004D4EDD">
        <w:t>/</w:t>
      </w:r>
      <w:r w:rsidR="00BE320A" w:rsidRPr="004D4EDD">
        <w:t>placebo</w:t>
      </w:r>
      <w:r w:rsidRPr="004D4EDD">
        <w:t xml:space="preserve"> group had a clinical response, 20</w:t>
      </w:r>
      <w:r w:rsidR="006520D4" w:rsidRPr="004D4EDD">
        <w:t> </w:t>
      </w:r>
      <w:r w:rsidRPr="004D4EDD">
        <w:t>(29.0%) had endoscopic improvement, 17 (24.6%) had corticosteroid-free remission, 7</w:t>
      </w:r>
      <w:r w:rsidR="006520D4" w:rsidRPr="004D4EDD">
        <w:t> </w:t>
      </w:r>
      <w:r w:rsidRPr="004D4EDD">
        <w:t xml:space="preserve">(10.1%) had mucosal healing and 5 (7.2% of all </w:t>
      </w:r>
      <w:proofErr w:type="gramStart"/>
      <w:r w:rsidR="00BE320A" w:rsidRPr="004D4EDD">
        <w:t>placebo</w:t>
      </w:r>
      <w:proofErr w:type="gramEnd"/>
      <w:r w:rsidR="006520D4" w:rsidRPr="004D4EDD">
        <w:t xml:space="preserve"> </w:t>
      </w:r>
      <w:r w:rsidRPr="004D4EDD">
        <w:t xml:space="preserve">treated patients in the maintenance phase) had durable clinical remission (clinical remission at both </w:t>
      </w:r>
      <w:r w:rsidR="00265C8D" w:rsidRPr="004D4EDD">
        <w:t>Week</w:t>
      </w:r>
      <w:r w:rsidR="006520D4" w:rsidRPr="004D4EDD">
        <w:t> </w:t>
      </w:r>
      <w:r w:rsidRPr="004D4EDD">
        <w:t xml:space="preserve">10 and </w:t>
      </w:r>
      <w:r w:rsidR="00265C8D" w:rsidRPr="004D4EDD">
        <w:t>Week</w:t>
      </w:r>
      <w:r w:rsidRPr="004D4EDD">
        <w:t xml:space="preserve"> 52). This was also presented as 41.7% of 12 patients in clinical remission in the </w:t>
      </w:r>
      <w:r w:rsidR="00BE320A" w:rsidRPr="004D4EDD">
        <w:t>placebo</w:t>
      </w:r>
      <w:r w:rsidRPr="004D4EDD">
        <w:t>/</w:t>
      </w:r>
      <w:r w:rsidR="00BE320A" w:rsidRPr="004D4EDD">
        <w:t>placebo</w:t>
      </w:r>
      <w:r w:rsidRPr="004D4EDD">
        <w:t xml:space="preserve"> arm at the beginning of the maintenance period.</w:t>
      </w:r>
    </w:p>
    <w:p w14:paraId="53232C1F" w14:textId="10F373D4" w:rsidR="004824D4" w:rsidRPr="004D4EDD" w:rsidRDefault="004824D4" w:rsidP="001551AA">
      <w:r w:rsidRPr="004D4EDD">
        <w:t>The clinical evaluat</w:t>
      </w:r>
      <w:r w:rsidR="000A6A58" w:rsidRPr="004D4EDD">
        <w:t>ion</w:t>
      </w:r>
      <w:r w:rsidRPr="004D4EDD">
        <w:t xml:space="preserve"> concluded that the statistical significance and clinical relevance of the primary and first two secondary endpoints in the maintenance phase provided acceptable evidence of efficacy of ozanimod over placebo.</w:t>
      </w:r>
    </w:p>
    <w:p w14:paraId="07608A17" w14:textId="6ADE3EF7" w:rsidR="004824D4" w:rsidRPr="004D4EDD" w:rsidRDefault="004824D4" w:rsidP="001551AA">
      <w:r w:rsidRPr="004D4EDD">
        <w:t>In both the induction and maintenance period studies, participants who were anti-TNF naïve appeared to respond to ozanimod better than those who had experienced previous treatment with anti-TNF agents. Similarly, participants who had not been treated with corticosteroids previously appeared to respond to ozanimod better than those who had been treated with corticosteroids earlier.</w:t>
      </w:r>
    </w:p>
    <w:p w14:paraId="1D9E4C41" w14:textId="4D48997D" w:rsidR="004824D4" w:rsidRPr="004D4EDD" w:rsidRDefault="004824D4" w:rsidP="001551AA">
      <w:r w:rsidRPr="004D4EDD">
        <w:t>Study RPC01-3102 is an ongoing open</w:t>
      </w:r>
      <w:r w:rsidR="00A20545" w:rsidRPr="004D4EDD">
        <w:t xml:space="preserve"> </w:t>
      </w:r>
      <w:r w:rsidRPr="004D4EDD">
        <w:t xml:space="preserve">label extension study in patients with moderately to severely active </w:t>
      </w:r>
      <w:r w:rsidR="00301384" w:rsidRPr="004D4EDD">
        <w:t>ulcerative colitis</w:t>
      </w:r>
      <w:r w:rsidRPr="004D4EDD">
        <w:t xml:space="preserve"> who had been enrolled in </w:t>
      </w:r>
      <w:r w:rsidR="006520D4" w:rsidRPr="004D4EDD">
        <w:t xml:space="preserve">Study </w:t>
      </w:r>
      <w:r w:rsidRPr="004D4EDD">
        <w:t xml:space="preserve">RPC01-3101 at minimum to </w:t>
      </w:r>
      <w:r w:rsidR="00265C8D" w:rsidRPr="004D4EDD">
        <w:t>Week</w:t>
      </w:r>
      <w:r w:rsidRPr="004D4EDD">
        <w:t xml:space="preserve"> 10 of the induction period, had relapsed during the maintenance period or had completed the maintenance period of that study, and in patients with moderately to severely active </w:t>
      </w:r>
      <w:r w:rsidR="00301384" w:rsidRPr="004D4EDD">
        <w:t>ulcerative colitis</w:t>
      </w:r>
      <w:r w:rsidRPr="004D4EDD">
        <w:t xml:space="preserve"> who completed at least one year in the open</w:t>
      </w:r>
      <w:r w:rsidR="00A20545" w:rsidRPr="004D4EDD">
        <w:t xml:space="preserve"> </w:t>
      </w:r>
      <w:r w:rsidRPr="004D4EDD">
        <w:t xml:space="preserve">label period of the </w:t>
      </w:r>
      <w:r w:rsidR="006520D4" w:rsidRPr="004D4EDD">
        <w:t>Phase</w:t>
      </w:r>
      <w:r w:rsidRPr="004D4EDD">
        <w:t xml:space="preserve"> </w:t>
      </w:r>
      <w:r w:rsidR="006520D4" w:rsidRPr="004D4EDD">
        <w:t>II</w:t>
      </w:r>
      <w:r w:rsidRPr="004D4EDD">
        <w:t xml:space="preserve"> </w:t>
      </w:r>
      <w:r w:rsidR="006520D4" w:rsidRPr="004D4EDD">
        <w:t>S</w:t>
      </w:r>
      <w:r w:rsidRPr="004D4EDD">
        <w:t xml:space="preserve">tudy RPC01-202. At the time of the interim report for </w:t>
      </w:r>
      <w:r w:rsidR="006520D4" w:rsidRPr="004D4EDD">
        <w:t>Study </w:t>
      </w:r>
      <w:r w:rsidRPr="004D4EDD">
        <w:t xml:space="preserve">RPC01-3102 efficacy data was only available from patients who had participated in </w:t>
      </w:r>
      <w:r w:rsidR="006520D4" w:rsidRPr="004D4EDD">
        <w:t>Study </w:t>
      </w:r>
      <w:r w:rsidRPr="004D4EDD">
        <w:t xml:space="preserve">RPC01-3101. Efficacy data were consistent with the reported outcomes of </w:t>
      </w:r>
      <w:r w:rsidR="006520D4" w:rsidRPr="004D4EDD">
        <w:t xml:space="preserve">Study </w:t>
      </w:r>
      <w:r w:rsidRPr="004D4EDD">
        <w:t>RPC01-3101.</w:t>
      </w:r>
    </w:p>
    <w:p w14:paraId="5CE0206B" w14:textId="51A298F9" w:rsidR="004824D4" w:rsidRPr="004D4EDD" w:rsidRDefault="006520D4" w:rsidP="001551AA">
      <w:r w:rsidRPr="004D4EDD">
        <w:t xml:space="preserve">Study </w:t>
      </w:r>
      <w:r w:rsidR="004824D4" w:rsidRPr="004D4EDD">
        <w:t>RPC01-202 was a randomi</w:t>
      </w:r>
      <w:r w:rsidR="00265C8D" w:rsidRPr="004D4EDD">
        <w:t>s</w:t>
      </w:r>
      <w:r w:rsidR="004824D4" w:rsidRPr="004D4EDD">
        <w:t>ed double</w:t>
      </w:r>
      <w:r w:rsidR="00A20545" w:rsidRPr="004D4EDD">
        <w:t xml:space="preserve"> </w:t>
      </w:r>
      <w:r w:rsidR="004824D4" w:rsidRPr="004D4EDD">
        <w:t>blind, placebo</w:t>
      </w:r>
      <w:r w:rsidR="00A20545" w:rsidRPr="004D4EDD">
        <w:t xml:space="preserve"> </w:t>
      </w:r>
      <w:r w:rsidR="004824D4" w:rsidRPr="004D4EDD">
        <w:t xml:space="preserve">controlled parallel group study that enrolled 199 participants with moderately to severely active </w:t>
      </w:r>
      <w:r w:rsidR="00301384" w:rsidRPr="004D4EDD">
        <w:t>ulcerative colitis</w:t>
      </w:r>
      <w:r w:rsidR="004824D4" w:rsidRPr="004D4EDD">
        <w:t xml:space="preserve"> with the primary objective to compare the efficacy of ozanimod titrated to 0.5 mg daily over one week or to 1.0 mg daily over one week with placebo for the induction of remission after 8</w:t>
      </w:r>
      <w:r w:rsidRPr="004D4EDD">
        <w:t> </w:t>
      </w:r>
      <w:r w:rsidR="004824D4" w:rsidRPr="004D4EDD">
        <w:t xml:space="preserve">weeks at maximum dose. Secondary objectives were to compare the efficacy of ozanimod versus placebo at </w:t>
      </w:r>
      <w:r w:rsidR="00265C8D" w:rsidRPr="004D4EDD">
        <w:t>Week</w:t>
      </w:r>
      <w:r w:rsidR="004824D4" w:rsidRPr="004D4EDD">
        <w:t xml:space="preserve">s 8 and 32 as measured by clinical response, clinical </w:t>
      </w:r>
      <w:proofErr w:type="gramStart"/>
      <w:r w:rsidR="004824D4" w:rsidRPr="004D4EDD">
        <w:t>remission</w:t>
      </w:r>
      <w:proofErr w:type="gramEnd"/>
      <w:r w:rsidR="004824D4" w:rsidRPr="004D4EDD">
        <w:t xml:space="preserve"> and mucosal healing, and to compare the overall safety and tolerability of ozanimod. Exclusion and inclusion criteria were broadly </w:t>
      </w:r>
      <w:proofErr w:type="gramStart"/>
      <w:r w:rsidR="004824D4" w:rsidRPr="004D4EDD">
        <w:t>similar to</w:t>
      </w:r>
      <w:proofErr w:type="gramEnd"/>
      <w:r w:rsidR="004824D4" w:rsidRPr="004D4EDD">
        <w:t xml:space="preserve"> </w:t>
      </w:r>
      <w:r w:rsidRPr="004D4EDD">
        <w:t>Study </w:t>
      </w:r>
      <w:r w:rsidR="004824D4" w:rsidRPr="004D4EDD">
        <w:t>RPC01-3101.</w:t>
      </w:r>
    </w:p>
    <w:p w14:paraId="1D489BAA" w14:textId="18FD2781" w:rsidR="004824D4" w:rsidRPr="004D4EDD" w:rsidRDefault="004824D4" w:rsidP="001551AA">
      <w:r w:rsidRPr="004D4EDD">
        <w:t xml:space="preserve">The proportion of patients in clinical remission at </w:t>
      </w:r>
      <w:r w:rsidR="00265C8D" w:rsidRPr="004D4EDD">
        <w:t>Week</w:t>
      </w:r>
      <w:r w:rsidRPr="004D4EDD">
        <w:t xml:space="preserve"> 8 was statistically significantly higher with ozanimod 1</w:t>
      </w:r>
      <w:r w:rsidR="00265C8D" w:rsidRPr="004D4EDD">
        <w:t> </w:t>
      </w:r>
      <w:r w:rsidRPr="004D4EDD">
        <w:t>mg (16.4%) compared with placebo (6.2%, p = 0.0482). As the 1</w:t>
      </w:r>
      <w:r w:rsidR="00265C8D" w:rsidRPr="004D4EDD">
        <w:t> </w:t>
      </w:r>
      <w:r w:rsidRPr="004D4EDD">
        <w:t>mg comparison to placebo was the primary comparison in the pre-specified statistical hierarchy, the trial met its primary endpoint. A higher remission rate was also observed with ozanimod 0.5</w:t>
      </w:r>
      <w:r w:rsidR="00265C8D" w:rsidRPr="004D4EDD">
        <w:t> </w:t>
      </w:r>
      <w:r w:rsidRPr="004D4EDD">
        <w:t>mg (13.8%) compared with placebo (the second comparison in the hierarchy), but this difference did not reach statistical significance (p = 0.1422). Most of the sensitivity analyses supported the primary analysis endpoint.</w:t>
      </w:r>
    </w:p>
    <w:p w14:paraId="058886BA" w14:textId="77777777" w:rsidR="004824D4" w:rsidRPr="004D4EDD" w:rsidRDefault="004824D4" w:rsidP="001551AA">
      <w:pPr>
        <w:pStyle w:val="Heading4"/>
      </w:pPr>
      <w:r w:rsidRPr="004D4EDD">
        <w:t>Safety</w:t>
      </w:r>
    </w:p>
    <w:p w14:paraId="61A5495D" w14:textId="04BAC17B" w:rsidR="004824D4" w:rsidRPr="004D4EDD" w:rsidRDefault="004824D4" w:rsidP="001551AA">
      <w:r w:rsidRPr="004D4EDD">
        <w:t xml:space="preserve">Safety data in </w:t>
      </w:r>
      <w:r w:rsidR="00301384" w:rsidRPr="004D4EDD">
        <w:t>ulcerative colitis</w:t>
      </w:r>
      <w:r w:rsidRPr="004D4EDD">
        <w:t xml:space="preserve"> was collected from </w:t>
      </w:r>
      <w:r w:rsidR="006520D4" w:rsidRPr="004D4EDD">
        <w:t>S</w:t>
      </w:r>
      <w:r w:rsidRPr="004D4EDD">
        <w:t>tudies RPC01-202, RPC01-3101 and RPC01</w:t>
      </w:r>
      <w:r w:rsidR="006520D4" w:rsidRPr="004D4EDD">
        <w:noBreakHyphen/>
      </w:r>
      <w:r w:rsidRPr="004D4EDD">
        <w:t>3102 (ongoing open</w:t>
      </w:r>
      <w:r w:rsidR="00A20545" w:rsidRPr="004D4EDD">
        <w:t xml:space="preserve"> </w:t>
      </w:r>
      <w:r w:rsidRPr="004D4EDD">
        <w:t xml:space="preserve">label study). The </w:t>
      </w:r>
      <w:r w:rsidR="000A6A58" w:rsidRPr="004D4EDD">
        <w:t xml:space="preserve">sponsor’s </w:t>
      </w:r>
      <w:r w:rsidR="006520D4" w:rsidRPr="004D4EDD">
        <w:t xml:space="preserve">summary of clinical safety </w:t>
      </w:r>
      <w:r w:rsidRPr="004D4EDD">
        <w:t xml:space="preserve">also included safety data from studies with patients with Crohn’s disease and with multiple sclerosis. Pooled safety data from patients with </w:t>
      </w:r>
      <w:r w:rsidR="00301384" w:rsidRPr="004D4EDD">
        <w:t>ulcerative colitis</w:t>
      </w:r>
      <w:r w:rsidRPr="004D4EDD">
        <w:t xml:space="preserve"> were described as</w:t>
      </w:r>
      <w:r w:rsidR="006520D4" w:rsidRPr="004D4EDD">
        <w:t>:</w:t>
      </w:r>
    </w:p>
    <w:p w14:paraId="1CFC4CAE" w14:textId="1ED10EAE" w:rsidR="004824D4" w:rsidRPr="004D4EDD" w:rsidRDefault="004824D4">
      <w:pPr>
        <w:pStyle w:val="ListBullet"/>
      </w:pPr>
      <w:r w:rsidRPr="004D4EDD">
        <w:t>Pool F</w:t>
      </w:r>
      <w:r w:rsidR="000A6A58" w:rsidRPr="004D4EDD">
        <w:t>, comprised of</w:t>
      </w:r>
      <w:r w:rsidRPr="004D4EDD">
        <w:t xml:space="preserve"> </w:t>
      </w:r>
      <w:r w:rsidR="000A6A58" w:rsidRPr="004D4EDD">
        <w:t xml:space="preserve">patient data from </w:t>
      </w:r>
      <w:r w:rsidRPr="004D4EDD">
        <w:t xml:space="preserve">controlled </w:t>
      </w:r>
      <w:r w:rsidR="00301384" w:rsidRPr="004D4EDD">
        <w:t>ulcerative colitis</w:t>
      </w:r>
      <w:r w:rsidRPr="004D4EDD">
        <w:t xml:space="preserve"> </w:t>
      </w:r>
      <w:proofErr w:type="gramStart"/>
      <w:r w:rsidRPr="004D4EDD">
        <w:t>studies</w:t>
      </w:r>
      <w:r w:rsidR="000A6A58" w:rsidRPr="004D4EDD">
        <w:t>;</w:t>
      </w:r>
      <w:proofErr w:type="gramEnd"/>
    </w:p>
    <w:p w14:paraId="1616652A" w14:textId="47FD048D" w:rsidR="004824D4" w:rsidRPr="004D4EDD" w:rsidRDefault="004824D4" w:rsidP="006520D4">
      <w:pPr>
        <w:pStyle w:val="ListBullet"/>
      </w:pPr>
      <w:r w:rsidRPr="004D4EDD">
        <w:lastRenderedPageBreak/>
        <w:t>Pool G</w:t>
      </w:r>
      <w:r w:rsidR="000A6A58" w:rsidRPr="004D4EDD">
        <w:t xml:space="preserve">, comprised of patient data from </w:t>
      </w:r>
      <w:r w:rsidRPr="004D4EDD">
        <w:t xml:space="preserve">controlled and uncontrolled </w:t>
      </w:r>
      <w:r w:rsidR="00301384" w:rsidRPr="004D4EDD">
        <w:t>ulcerative colitis</w:t>
      </w:r>
      <w:r w:rsidRPr="004D4EDD">
        <w:t xml:space="preserve"> studies</w:t>
      </w:r>
      <w:r w:rsidR="000A6A58" w:rsidRPr="004D4EDD">
        <w:t>;</w:t>
      </w:r>
      <w:r w:rsidR="006520D4" w:rsidRPr="004D4EDD">
        <w:t xml:space="preserve"> and</w:t>
      </w:r>
    </w:p>
    <w:p w14:paraId="7433A757" w14:textId="54C2FA4E" w:rsidR="004824D4" w:rsidRPr="004D4EDD" w:rsidRDefault="004824D4" w:rsidP="006520D4">
      <w:pPr>
        <w:pStyle w:val="ListBullet"/>
      </w:pPr>
      <w:r w:rsidRPr="004D4EDD">
        <w:t>Pool D</w:t>
      </w:r>
      <w:r w:rsidR="000A6A58" w:rsidRPr="004D4EDD">
        <w:t xml:space="preserve">, comprised of patient data from </w:t>
      </w:r>
      <w:r w:rsidRPr="004D4EDD">
        <w:t xml:space="preserve">controlled and uncontrolled studies in </w:t>
      </w:r>
      <w:r w:rsidR="00301384" w:rsidRPr="004D4EDD">
        <w:t>ulcerative colitis</w:t>
      </w:r>
      <w:r w:rsidRPr="004D4EDD">
        <w:t xml:space="preserve">, Crohn’s disease, and </w:t>
      </w:r>
      <w:r w:rsidR="000A6A58" w:rsidRPr="004D4EDD">
        <w:t>m</w:t>
      </w:r>
      <w:r w:rsidRPr="004D4EDD">
        <w:t>ultiple sclerosis</w:t>
      </w:r>
      <w:r w:rsidR="006520D4" w:rsidRPr="004D4EDD">
        <w:t>.</w:t>
      </w:r>
    </w:p>
    <w:p w14:paraId="7CA79F73" w14:textId="6F3F2B09" w:rsidR="004824D4" w:rsidRPr="004D4EDD" w:rsidRDefault="006520D4" w:rsidP="00703839">
      <w:pPr>
        <w:pStyle w:val="TableTitle"/>
      </w:pPr>
      <w:r w:rsidRPr="004D4EDD">
        <w:t xml:space="preserve">Table </w:t>
      </w:r>
      <w:r w:rsidR="009C0FB4">
        <w:fldChar w:fldCharType="begin"/>
      </w:r>
      <w:r w:rsidR="009C0FB4">
        <w:instrText xml:space="preserve"> SEQ Tabl</w:instrText>
      </w:r>
      <w:r w:rsidR="009C0FB4">
        <w:instrText xml:space="preserve">e \* ARABIC </w:instrText>
      </w:r>
      <w:r w:rsidR="009C0FB4">
        <w:fldChar w:fldCharType="separate"/>
      </w:r>
      <w:r w:rsidR="004D4EDD">
        <w:rPr>
          <w:noProof/>
        </w:rPr>
        <w:t>7</w:t>
      </w:r>
      <w:r w:rsidR="009C0FB4">
        <w:rPr>
          <w:noProof/>
        </w:rPr>
        <w:fldChar w:fldCharType="end"/>
      </w:r>
      <w:r w:rsidRPr="004D4EDD">
        <w:t>:</w:t>
      </w:r>
      <w:r w:rsidR="004824D4" w:rsidRPr="004D4EDD">
        <w:t xml:space="preserve"> </w:t>
      </w:r>
      <w:r w:rsidR="006E16E2" w:rsidRPr="004D4EDD">
        <w:t xml:space="preserve">Study RPC01-3101 </w:t>
      </w:r>
      <w:r w:rsidR="004824D4" w:rsidRPr="004D4EDD">
        <w:t>Overall exposure to ozanimod</w:t>
      </w:r>
      <w:r w:rsidR="006E16E2" w:rsidRPr="004D4EDD">
        <w:t xml:space="preserve"> (safety populations)</w:t>
      </w:r>
    </w:p>
    <w:p w14:paraId="459CFFE1" w14:textId="15ECD670" w:rsidR="004824D4" w:rsidRPr="004D4EDD" w:rsidRDefault="004824D4" w:rsidP="00703839">
      <w:pPr>
        <w:pStyle w:val="TableDescription"/>
      </w:pPr>
      <w:r w:rsidRPr="004D4EDD">
        <w:rPr>
          <w:noProof/>
          <w:lang w:val="en-GB" w:eastAsia="en-GB"/>
        </w:rPr>
        <w:drawing>
          <wp:inline distT="0" distB="0" distL="0" distR="0" wp14:anchorId="69AA488F" wp14:editId="253F2774">
            <wp:extent cx="5323764" cy="3757188"/>
            <wp:effectExtent l="0" t="0" r="0" b="0"/>
            <wp:docPr id="67" name="Picture 67" descr="Table 7: Study RPC01-3101 Overall exposure to ozanimod (safety popu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Table 7: Study RPC01-3101 Overall exposure to ozanimod (safety populations)"/>
                    <pic:cNvPicPr/>
                  </pic:nvPicPr>
                  <pic:blipFill>
                    <a:blip r:embed="rId19"/>
                    <a:stretch>
                      <a:fillRect/>
                    </a:stretch>
                  </pic:blipFill>
                  <pic:spPr>
                    <a:xfrm>
                      <a:off x="0" y="0"/>
                      <a:ext cx="5336833" cy="3766411"/>
                    </a:xfrm>
                    <a:prstGeom prst="rect">
                      <a:avLst/>
                    </a:prstGeom>
                  </pic:spPr>
                </pic:pic>
              </a:graphicData>
            </a:graphic>
          </wp:inline>
        </w:drawing>
      </w:r>
      <w:r w:rsidRPr="004D4EDD">
        <w:t xml:space="preserve"> </w:t>
      </w:r>
      <w:r w:rsidR="004F0D08" w:rsidRPr="004D4EDD">
        <w:t xml:space="preserve">Abbreviations: </w:t>
      </w:r>
      <w:r w:rsidR="00ED4392" w:rsidRPr="004D4EDD">
        <w:t xml:space="preserve">N = number of </w:t>
      </w:r>
      <w:proofErr w:type="gramStart"/>
      <w:r w:rsidR="00ED4392" w:rsidRPr="004D4EDD">
        <w:t>subject</w:t>
      </w:r>
      <w:proofErr w:type="gramEnd"/>
      <w:r w:rsidR="00ED4392" w:rsidRPr="004D4EDD">
        <w:t xml:space="preserve">; </w:t>
      </w:r>
      <w:r w:rsidRPr="004D4EDD">
        <w:t>NC = not calculated;</w:t>
      </w:r>
      <w:r w:rsidR="00ED4392" w:rsidRPr="004D4EDD">
        <w:t xml:space="preserve"> SD = standard deviation.</w:t>
      </w:r>
    </w:p>
    <w:p w14:paraId="33113361" w14:textId="1452C04E" w:rsidR="004824D4" w:rsidRPr="004D4EDD" w:rsidRDefault="004824D4" w:rsidP="00703839">
      <w:pPr>
        <w:pStyle w:val="TableDescription"/>
      </w:pPr>
      <w:proofErr w:type="spellStart"/>
      <w:r w:rsidRPr="004D4EDD">
        <w:t>a</w:t>
      </w:r>
      <w:proofErr w:type="spellEnd"/>
      <w:r w:rsidRPr="004D4EDD">
        <w:t xml:space="preserve"> </w:t>
      </w:r>
      <w:proofErr w:type="gramStart"/>
      <w:r w:rsidRPr="004D4EDD">
        <w:t>For</w:t>
      </w:r>
      <w:proofErr w:type="gramEnd"/>
      <w:r w:rsidRPr="004D4EDD">
        <w:t xml:space="preserve"> the </w:t>
      </w:r>
      <w:r w:rsidR="00ED4392" w:rsidRPr="004D4EDD">
        <w:t>integrated summary of safety (ISS)</w:t>
      </w:r>
      <w:r w:rsidRPr="004D4EDD">
        <w:t xml:space="preserve"> safety analysis pools (Pool F, G, and D), total duration of exposure (weeks) = (date of last dose </w:t>
      </w:r>
      <w:r w:rsidR="00ED4392" w:rsidRPr="004D4EDD">
        <w:t>-</w:t>
      </w:r>
      <w:r w:rsidRPr="004D4EDD">
        <w:t xml:space="preserve"> date of first dose + 1)/7. Total duration exposure (months) = (date of last dose </w:t>
      </w:r>
      <w:r w:rsidR="00ED4392" w:rsidRPr="004D4EDD">
        <w:t>-</w:t>
      </w:r>
      <w:r w:rsidRPr="004D4EDD">
        <w:t xml:space="preserve"> date of first dose + 1)</w:t>
      </w:r>
      <w:proofErr w:type="gramStart"/>
      <w:r w:rsidRPr="004D4EDD">
        <w:t>/(</w:t>
      </w:r>
      <w:proofErr w:type="gramEnd"/>
      <w:r w:rsidRPr="004D4EDD">
        <w:t xml:space="preserve">number of days in one month). Number of days in </w:t>
      </w:r>
      <w:r w:rsidR="00ED4392" w:rsidRPr="004D4EDD">
        <w:t>one</w:t>
      </w:r>
      <w:r w:rsidRPr="004D4EDD">
        <w:t xml:space="preserve"> month may be defined differently in each study.</w:t>
      </w:r>
    </w:p>
    <w:p w14:paraId="35ECE582" w14:textId="26487B7E" w:rsidR="004824D4" w:rsidRPr="004D4EDD" w:rsidRDefault="004824D4" w:rsidP="00703839">
      <w:pPr>
        <w:pStyle w:val="TableDescription"/>
      </w:pPr>
      <w:r w:rsidRPr="004D4EDD">
        <w:t>b Subject</w:t>
      </w:r>
      <w:r w:rsidR="00ED4392" w:rsidRPr="004D4EDD">
        <w:t xml:space="preserve"> </w:t>
      </w:r>
      <w:r w:rsidRPr="004D4EDD">
        <w:t>years of exposure is calculated as (</w:t>
      </w:r>
      <w:r w:rsidR="00ED4392" w:rsidRPr="004D4EDD">
        <w:t>(</w:t>
      </w:r>
      <w:r w:rsidRPr="004D4EDD">
        <w:t xml:space="preserve">date of last dose </w:t>
      </w:r>
      <w:r w:rsidR="00ED4392" w:rsidRPr="004D4EDD">
        <w:t>-</w:t>
      </w:r>
      <w:r w:rsidRPr="004D4EDD">
        <w:t xml:space="preserve"> date of first dose</w:t>
      </w:r>
      <w:r w:rsidR="00ED4392" w:rsidRPr="004D4EDD">
        <w:t>)</w:t>
      </w:r>
      <w:r w:rsidRPr="004D4EDD">
        <w:t xml:space="preserve"> + 1)/365.25.</w:t>
      </w:r>
    </w:p>
    <w:p w14:paraId="5C2D7AD3" w14:textId="587F81FD" w:rsidR="004824D4" w:rsidRPr="004D4EDD" w:rsidRDefault="004824D4" w:rsidP="00703839">
      <w:pPr>
        <w:pStyle w:val="TableDescription"/>
      </w:pPr>
      <w:r w:rsidRPr="004D4EDD">
        <w:t xml:space="preserve">c Pool F </w:t>
      </w:r>
      <w:r w:rsidR="00A20545" w:rsidRPr="004D4EDD">
        <w:t>induction</w:t>
      </w:r>
      <w:r w:rsidRPr="004D4EDD">
        <w:t xml:space="preserve"> analysis includes controlled safety data from </w:t>
      </w:r>
      <w:r w:rsidR="00ED4392" w:rsidRPr="004D4EDD">
        <w:t xml:space="preserve">Study </w:t>
      </w:r>
      <w:r w:rsidRPr="004D4EDD">
        <w:t xml:space="preserve">RPC01-202 </w:t>
      </w:r>
      <w:r w:rsidR="00A20545" w:rsidRPr="004D4EDD">
        <w:t>induction period</w:t>
      </w:r>
      <w:r w:rsidRPr="004D4EDD">
        <w:t xml:space="preserve"> and </w:t>
      </w:r>
      <w:r w:rsidR="00ED4392" w:rsidRPr="004D4EDD">
        <w:t>Study </w:t>
      </w:r>
      <w:r w:rsidRPr="004D4EDD">
        <w:t xml:space="preserve">RPC01-3101 Cohort 1 </w:t>
      </w:r>
      <w:r w:rsidR="00A20545" w:rsidRPr="004D4EDD">
        <w:t>induction period</w:t>
      </w:r>
      <w:r w:rsidRPr="004D4EDD">
        <w:t>.</w:t>
      </w:r>
    </w:p>
    <w:p w14:paraId="57CDDF3F" w14:textId="711B1B0A" w:rsidR="004824D4" w:rsidRPr="004D4EDD" w:rsidRDefault="004824D4" w:rsidP="00703839">
      <w:pPr>
        <w:pStyle w:val="TableDescription"/>
      </w:pPr>
      <w:r w:rsidRPr="004D4EDD">
        <w:t xml:space="preserve">d Defined as the total number of days from the date of first dose to the date of last dose as reported on the End of Study electronic case report form for patients who did not enter the </w:t>
      </w:r>
      <w:r w:rsidR="00A20545" w:rsidRPr="004D4EDD">
        <w:t>maintenance p</w:t>
      </w:r>
      <w:r w:rsidRPr="004D4EDD">
        <w:t xml:space="preserve">eriod, or the total number of days from the date of first dose to the date before onsite dosing for </w:t>
      </w:r>
      <w:r w:rsidR="00A20545" w:rsidRPr="004D4EDD">
        <w:t>maintenance p</w:t>
      </w:r>
      <w:r w:rsidRPr="004D4EDD">
        <w:t xml:space="preserve">eriod for patients who entered </w:t>
      </w:r>
      <w:r w:rsidR="00A20545" w:rsidRPr="004D4EDD">
        <w:t>maintenance p</w:t>
      </w:r>
      <w:r w:rsidRPr="004D4EDD">
        <w:t>eriod.</w:t>
      </w:r>
    </w:p>
    <w:p w14:paraId="0FFA51A0" w14:textId="6DFE8782" w:rsidR="004824D4" w:rsidRPr="004D4EDD" w:rsidRDefault="004824D4" w:rsidP="00703839">
      <w:pPr>
        <w:pStyle w:val="TableDescription"/>
      </w:pPr>
      <w:r w:rsidRPr="004D4EDD">
        <w:t xml:space="preserve">e Pool F </w:t>
      </w:r>
      <w:r w:rsidR="00A20545" w:rsidRPr="004D4EDD">
        <w:t>maintenance</w:t>
      </w:r>
      <w:r w:rsidRPr="004D4EDD">
        <w:t xml:space="preserve"> analysis includes analysis of </w:t>
      </w:r>
      <w:r w:rsidR="00ED4392" w:rsidRPr="004D4EDD">
        <w:t xml:space="preserve">Study </w:t>
      </w:r>
      <w:r w:rsidRPr="004D4EDD">
        <w:t xml:space="preserve">RPC01-3101 </w:t>
      </w:r>
      <w:r w:rsidR="00A20545" w:rsidRPr="004D4EDD">
        <w:t>maintenance p</w:t>
      </w:r>
      <w:r w:rsidRPr="004D4EDD">
        <w:t>eriod (Cohorts</w:t>
      </w:r>
      <w:r w:rsidR="00ED4392" w:rsidRPr="004D4EDD">
        <w:t> </w:t>
      </w:r>
      <w:r w:rsidRPr="004D4EDD">
        <w:t xml:space="preserve">1 and 2) but did not include subjects receiving placebo in both </w:t>
      </w:r>
      <w:r w:rsidR="00ED4392" w:rsidRPr="004D4EDD">
        <w:t xml:space="preserve">Study </w:t>
      </w:r>
      <w:r w:rsidRPr="004D4EDD">
        <w:t xml:space="preserve">RPC01-3101 </w:t>
      </w:r>
      <w:r w:rsidR="00A20545" w:rsidRPr="004D4EDD">
        <w:t>induction</w:t>
      </w:r>
      <w:r w:rsidRPr="004D4EDD">
        <w:t xml:space="preserve"> and </w:t>
      </w:r>
      <w:r w:rsidR="00A20545" w:rsidRPr="004D4EDD">
        <w:t>maintenance p</w:t>
      </w:r>
      <w:r w:rsidRPr="004D4EDD">
        <w:t>eriods.</w:t>
      </w:r>
    </w:p>
    <w:p w14:paraId="111A2385" w14:textId="08512FC4" w:rsidR="004824D4" w:rsidRPr="004D4EDD" w:rsidRDefault="004824D4" w:rsidP="00703839">
      <w:pPr>
        <w:pStyle w:val="TableDescription"/>
      </w:pPr>
      <w:r w:rsidRPr="004D4EDD">
        <w:t xml:space="preserve">f Data from subjects who received placebo in both </w:t>
      </w:r>
      <w:r w:rsidR="00ED4392" w:rsidRPr="004D4EDD">
        <w:t xml:space="preserve">Study </w:t>
      </w:r>
      <w:r w:rsidRPr="004D4EDD">
        <w:t xml:space="preserve">RPC01-3101 </w:t>
      </w:r>
      <w:r w:rsidR="00A20545" w:rsidRPr="004D4EDD">
        <w:t>induction</w:t>
      </w:r>
      <w:r w:rsidRPr="004D4EDD">
        <w:t xml:space="preserve"> and </w:t>
      </w:r>
      <w:r w:rsidR="00A20545" w:rsidRPr="004D4EDD">
        <w:t>maintenance p</w:t>
      </w:r>
      <w:r w:rsidRPr="004D4EDD">
        <w:t>eriods were not analysed as part of Pool F. Treatment duration defined in the</w:t>
      </w:r>
      <w:r w:rsidR="00ED4392" w:rsidRPr="004D4EDD">
        <w:t xml:space="preserve"> Study</w:t>
      </w:r>
      <w:r w:rsidRPr="004D4EDD">
        <w:t xml:space="preserve"> RPC01-3101 statistical analysis plan was defined as the total number of days from the date of first dose of </w:t>
      </w:r>
      <w:r w:rsidR="00A20545" w:rsidRPr="004D4EDD">
        <w:t>maintenance p</w:t>
      </w:r>
      <w:r w:rsidRPr="004D4EDD">
        <w:t xml:space="preserve">eriod to the date of last dose as reported on the </w:t>
      </w:r>
      <w:r w:rsidR="00ED4392" w:rsidRPr="004D4EDD">
        <w:t xml:space="preserve">end of study </w:t>
      </w:r>
      <w:r w:rsidRPr="004D4EDD">
        <w:t>electronic case report form.</w:t>
      </w:r>
    </w:p>
    <w:p w14:paraId="32D1683A" w14:textId="594B34B1" w:rsidR="004824D4" w:rsidRPr="004D4EDD" w:rsidRDefault="004824D4" w:rsidP="00703839">
      <w:pPr>
        <w:pStyle w:val="TableDescription"/>
      </w:pPr>
      <w:r w:rsidRPr="004D4EDD">
        <w:t xml:space="preserve">g Pool G comprised controlled and uncontrolled data from </w:t>
      </w:r>
      <w:r w:rsidR="00301384" w:rsidRPr="004D4EDD">
        <w:t>ulcerative colitis</w:t>
      </w:r>
      <w:r w:rsidRPr="004D4EDD">
        <w:t xml:space="preserve"> Studies</w:t>
      </w:r>
      <w:r w:rsidR="00ED4392" w:rsidRPr="004D4EDD">
        <w:t> </w:t>
      </w:r>
      <w:r w:rsidRPr="004D4EDD">
        <w:t>RPC01-202, RPC01</w:t>
      </w:r>
      <w:r w:rsidR="00ED4392" w:rsidRPr="004D4EDD">
        <w:noBreakHyphen/>
      </w:r>
      <w:r w:rsidRPr="004D4EDD">
        <w:t>3101, and RPC01-3102. A total of 227 subjects who were treated with ozanimod 1</w:t>
      </w:r>
      <w:r w:rsidR="00265C8D" w:rsidRPr="004D4EDD">
        <w:t> </w:t>
      </w:r>
      <w:r w:rsidRPr="004D4EDD">
        <w:t>mg in</w:t>
      </w:r>
      <w:r w:rsidR="00ED4392" w:rsidRPr="004D4EDD">
        <w:t xml:space="preserve"> Study </w:t>
      </w:r>
      <w:r w:rsidRPr="004D4EDD">
        <w:t xml:space="preserve">RPC01-3101 </w:t>
      </w:r>
      <w:r w:rsidR="00A20545" w:rsidRPr="004D4EDD">
        <w:t>induction period</w:t>
      </w:r>
      <w:r w:rsidRPr="004D4EDD">
        <w:t xml:space="preserve"> and were re</w:t>
      </w:r>
      <w:r w:rsidR="00A20545" w:rsidRPr="004D4EDD">
        <w:noBreakHyphen/>
      </w:r>
      <w:r w:rsidRPr="004D4EDD">
        <w:t>randomi</w:t>
      </w:r>
      <w:r w:rsidR="00265C8D" w:rsidRPr="004D4EDD">
        <w:t>s</w:t>
      </w:r>
      <w:r w:rsidRPr="004D4EDD">
        <w:t xml:space="preserve">ed to placebo in </w:t>
      </w:r>
      <w:r w:rsidR="00ED4392" w:rsidRPr="004D4EDD">
        <w:t xml:space="preserve">Study </w:t>
      </w:r>
      <w:r w:rsidRPr="004D4EDD">
        <w:t xml:space="preserve">RPC01-3101 </w:t>
      </w:r>
      <w:r w:rsidR="00A20545" w:rsidRPr="004D4EDD">
        <w:t>maintenance p</w:t>
      </w:r>
      <w:r w:rsidRPr="004D4EDD">
        <w:t xml:space="preserve">eriod are also included in the total count of the </w:t>
      </w:r>
      <w:r w:rsidR="0006054F" w:rsidRPr="004D4EDD">
        <w:t>‘</w:t>
      </w:r>
      <w:r w:rsidR="00ED4392" w:rsidRPr="004D4EDD">
        <w:t xml:space="preserve">placebo’ </w:t>
      </w:r>
      <w:r w:rsidRPr="004D4EDD">
        <w:t>group for Pool G displays.</w:t>
      </w:r>
    </w:p>
    <w:p w14:paraId="26985AC7" w14:textId="76CBA9A8" w:rsidR="004824D4" w:rsidRPr="004D4EDD" w:rsidRDefault="004824D4" w:rsidP="00703839">
      <w:pPr>
        <w:pStyle w:val="TableDescription"/>
      </w:pPr>
      <w:r w:rsidRPr="004D4EDD">
        <w:lastRenderedPageBreak/>
        <w:t xml:space="preserve">h Pool D comprised data from all controlled and uncontrolled data from </w:t>
      </w:r>
      <w:r w:rsidR="00301384" w:rsidRPr="004D4EDD">
        <w:t>ulcerative colitis</w:t>
      </w:r>
      <w:r w:rsidRPr="004D4EDD">
        <w:t xml:space="preserve"> studies (</w:t>
      </w:r>
      <w:r w:rsidR="00ED4392" w:rsidRPr="004D4EDD">
        <w:t xml:space="preserve">Studies </w:t>
      </w:r>
      <w:r w:rsidRPr="004D4EDD">
        <w:t>RPC01-202, RPC01-3101</w:t>
      </w:r>
      <w:r w:rsidR="00ED4392" w:rsidRPr="004D4EDD">
        <w:t xml:space="preserve"> and</w:t>
      </w:r>
      <w:r w:rsidRPr="004D4EDD">
        <w:t xml:space="preserve"> RPC01-3102), </w:t>
      </w:r>
      <w:r w:rsidR="00ED4392" w:rsidRPr="004D4EDD">
        <w:t>Crohn’s disease</w:t>
      </w:r>
      <w:r w:rsidRPr="004D4EDD">
        <w:t xml:space="preserve"> (</w:t>
      </w:r>
      <w:r w:rsidR="00ED4392" w:rsidRPr="004D4EDD">
        <w:t xml:space="preserve">Studies </w:t>
      </w:r>
      <w:r w:rsidRPr="004D4EDD">
        <w:t>RPC01-2201</w:t>
      </w:r>
      <w:r w:rsidR="00ED4392" w:rsidRPr="004D4EDD">
        <w:t xml:space="preserve"> and </w:t>
      </w:r>
      <w:r w:rsidRPr="004D4EDD">
        <w:t>RPC01</w:t>
      </w:r>
      <w:r w:rsidR="00ED4392" w:rsidRPr="004D4EDD">
        <w:noBreakHyphen/>
      </w:r>
      <w:r w:rsidRPr="004D4EDD">
        <w:t xml:space="preserve">3204), and </w:t>
      </w:r>
      <w:r w:rsidR="00265C8D" w:rsidRPr="004D4EDD">
        <w:t>multiple sclerosis</w:t>
      </w:r>
      <w:r w:rsidRPr="004D4EDD">
        <w:t xml:space="preserve"> (</w:t>
      </w:r>
      <w:r w:rsidR="00ED4392" w:rsidRPr="004D4EDD">
        <w:t xml:space="preserve">Studies </w:t>
      </w:r>
      <w:r w:rsidRPr="004D4EDD">
        <w:t>RPC01-201A, RPC01-201B, RPC01-301, RPC01-3001</w:t>
      </w:r>
      <w:r w:rsidR="00ED4392" w:rsidRPr="004D4EDD">
        <w:t xml:space="preserve"> and </w:t>
      </w:r>
      <w:r w:rsidRPr="004D4EDD">
        <w:t>RPC01</w:t>
      </w:r>
      <w:r w:rsidR="00ED4392" w:rsidRPr="004D4EDD">
        <w:noBreakHyphen/>
      </w:r>
      <w:r w:rsidRPr="004D4EDD">
        <w:t>1001). A total of 227 subjects who were treated with ozanimod 1</w:t>
      </w:r>
      <w:r w:rsidR="00265C8D" w:rsidRPr="004D4EDD">
        <w:t> </w:t>
      </w:r>
      <w:r w:rsidRPr="004D4EDD">
        <w:t xml:space="preserve">mg in </w:t>
      </w:r>
      <w:r w:rsidR="00ED4392" w:rsidRPr="004D4EDD">
        <w:t xml:space="preserve">Study </w:t>
      </w:r>
      <w:r w:rsidRPr="004D4EDD">
        <w:t xml:space="preserve">RPC01-3101 </w:t>
      </w:r>
      <w:r w:rsidR="00A20545" w:rsidRPr="004D4EDD">
        <w:t>induction period</w:t>
      </w:r>
      <w:r w:rsidRPr="004D4EDD">
        <w:t xml:space="preserve"> and were re</w:t>
      </w:r>
      <w:r w:rsidR="00A20545" w:rsidRPr="004D4EDD">
        <w:noBreakHyphen/>
      </w:r>
      <w:r w:rsidRPr="004D4EDD">
        <w:t>randomi</w:t>
      </w:r>
      <w:r w:rsidR="00265C8D" w:rsidRPr="004D4EDD">
        <w:t>s</w:t>
      </w:r>
      <w:r w:rsidRPr="004D4EDD">
        <w:t xml:space="preserve">ed to placebo in </w:t>
      </w:r>
      <w:r w:rsidR="00ED4392" w:rsidRPr="004D4EDD">
        <w:t xml:space="preserve">Study </w:t>
      </w:r>
      <w:r w:rsidRPr="004D4EDD">
        <w:t xml:space="preserve">RPC01-3101 </w:t>
      </w:r>
      <w:r w:rsidR="00A20545" w:rsidRPr="004D4EDD">
        <w:t>maintenance p</w:t>
      </w:r>
      <w:r w:rsidRPr="004D4EDD">
        <w:t xml:space="preserve">eriod are also included in the total count of the </w:t>
      </w:r>
      <w:r w:rsidR="0006054F" w:rsidRPr="004D4EDD">
        <w:t>‘</w:t>
      </w:r>
      <w:r w:rsidR="00ED4392" w:rsidRPr="004D4EDD">
        <w:t xml:space="preserve">placebo’ </w:t>
      </w:r>
      <w:r w:rsidRPr="004D4EDD">
        <w:t>group for Pool D displays.</w:t>
      </w:r>
    </w:p>
    <w:p w14:paraId="3C5C1956" w14:textId="15F48C56" w:rsidR="004824D4" w:rsidRPr="004D4EDD" w:rsidRDefault="004824D4" w:rsidP="001551AA">
      <w:r w:rsidRPr="004D4EDD">
        <w:t xml:space="preserve">At completion of the maintenance period of </w:t>
      </w:r>
      <w:r w:rsidR="006520D4" w:rsidRPr="004D4EDD">
        <w:t>S</w:t>
      </w:r>
      <w:r w:rsidRPr="004D4EDD">
        <w:t xml:space="preserve">tudy RPC01-3101, 250 participants with moderate to severe </w:t>
      </w:r>
      <w:r w:rsidR="00301384" w:rsidRPr="004D4EDD">
        <w:t>ulcerative colitis</w:t>
      </w:r>
      <w:r w:rsidRPr="004D4EDD">
        <w:t xml:space="preserve"> had been exposed to ozanimod 1</w:t>
      </w:r>
      <w:r w:rsidR="006520D4" w:rsidRPr="004D4EDD">
        <w:t> </w:t>
      </w:r>
      <w:r w:rsidRPr="004D4EDD">
        <w:t>mg daily for at least 42</w:t>
      </w:r>
      <w:r w:rsidR="006520D4" w:rsidRPr="004D4EDD">
        <w:t> </w:t>
      </w:r>
      <w:r w:rsidRPr="004D4EDD">
        <w:t>weeks.</w:t>
      </w:r>
    </w:p>
    <w:p w14:paraId="3444C771" w14:textId="51D4C0F9" w:rsidR="004824D4" w:rsidRPr="004D4EDD" w:rsidRDefault="004824D4" w:rsidP="001551AA">
      <w:r w:rsidRPr="004D4EDD">
        <w:t>During the induction periods of controlled studies included in Pool</w:t>
      </w:r>
      <w:r w:rsidR="006520D4" w:rsidRPr="004D4EDD">
        <w:t> </w:t>
      </w:r>
      <w:r w:rsidRPr="004D4EDD">
        <w:t>F, reports of severe treatment-emergent adverse events (TEAE</w:t>
      </w:r>
      <w:r w:rsidR="00AE2891" w:rsidRPr="004D4EDD">
        <w:t>s</w:t>
      </w:r>
      <w:r w:rsidRPr="004D4EDD">
        <w:t>), serious TEAE</w:t>
      </w:r>
      <w:r w:rsidR="00AE2891" w:rsidRPr="004D4EDD">
        <w:t>s</w:t>
      </w:r>
      <w:r w:rsidRPr="004D4EDD">
        <w:t xml:space="preserve">, </w:t>
      </w:r>
      <w:r w:rsidR="00AE2891" w:rsidRPr="004D4EDD">
        <w:t xml:space="preserve">or </w:t>
      </w:r>
      <w:r w:rsidRPr="004D4EDD">
        <w:t>TEAE</w:t>
      </w:r>
      <w:r w:rsidR="00AE2891" w:rsidRPr="004D4EDD">
        <w:t>s</w:t>
      </w:r>
      <w:r w:rsidRPr="004D4EDD">
        <w:t xml:space="preserve"> leading to permanent discontinuation of study drug or leading to study withdrawal were infrequent and comparable between placebo and ozanimod populations. No deaths were reported in this population pool. By System Organ Class (SOC) the participants treated with ozanimod more frequently reported TEAE</w:t>
      </w:r>
      <w:r w:rsidR="00AE2891" w:rsidRPr="004D4EDD">
        <w:t>s</w:t>
      </w:r>
      <w:r w:rsidRPr="004D4EDD">
        <w:t xml:space="preserve"> in the Investigations SOC than participants treated with placebo (</w:t>
      </w:r>
      <w:r w:rsidR="00F307AD" w:rsidRPr="004D4EDD">
        <w:t>alanine aminotransferase (</w:t>
      </w:r>
      <w:r w:rsidRPr="004D4EDD">
        <w:t>ALT</w:t>
      </w:r>
      <w:r w:rsidR="00F307AD" w:rsidRPr="004D4EDD">
        <w:t>)</w:t>
      </w:r>
      <w:r w:rsidRPr="004D4EDD">
        <w:t xml:space="preserve"> increased: 2.4% versus 0%, </w:t>
      </w:r>
      <w:r w:rsidR="00F307AD" w:rsidRPr="004D4EDD">
        <w:t>aspartate aminotransferase (</w:t>
      </w:r>
      <w:r w:rsidRPr="004D4EDD">
        <w:t>AST</w:t>
      </w:r>
      <w:r w:rsidR="00F307AD" w:rsidRPr="004D4EDD">
        <w:t>)</w:t>
      </w:r>
      <w:r w:rsidRPr="004D4EDD">
        <w:t xml:space="preserve"> increased: 1.2% versus 0%, and </w:t>
      </w:r>
      <w:r w:rsidR="00AE2891" w:rsidRPr="004D4EDD">
        <w:t>gamma</w:t>
      </w:r>
      <w:r w:rsidR="00F307AD" w:rsidRPr="004D4EDD">
        <w:t>-</w:t>
      </w:r>
      <w:proofErr w:type="spellStart"/>
      <w:r w:rsidR="00F307AD" w:rsidRPr="004D4EDD">
        <w:t>glutamyltransferase</w:t>
      </w:r>
      <w:proofErr w:type="spellEnd"/>
      <w:r w:rsidR="00F307AD" w:rsidRPr="004D4EDD">
        <w:t xml:space="preserve"> (</w:t>
      </w:r>
      <w:r w:rsidRPr="004D4EDD">
        <w:t>GGT</w:t>
      </w:r>
      <w:r w:rsidR="00F307AD" w:rsidRPr="004D4EDD">
        <w:t>)</w:t>
      </w:r>
      <w:r w:rsidRPr="004D4EDD">
        <w:t xml:space="preserve"> increased: 1.2% versus 0%, respectively). By </w:t>
      </w:r>
      <w:r w:rsidR="006520D4" w:rsidRPr="004D4EDD">
        <w:t>Preferred Term</w:t>
      </w:r>
      <w:r w:rsidRPr="004D4EDD">
        <w:t>, headache, nasopharyngitis, nausea, pyrexia, ALT increased, and arthralgia were reported by ≥</w:t>
      </w:r>
      <w:r w:rsidR="006520D4" w:rsidRPr="004D4EDD">
        <w:t xml:space="preserve"> </w:t>
      </w:r>
      <w:r w:rsidRPr="004D4EDD">
        <w:t xml:space="preserve">2% of participants in ozanimod groups and more frequently than in placebo groups, but anaemia (5.7% </w:t>
      </w:r>
      <w:r w:rsidR="00FB0FA8" w:rsidRPr="004D4EDD">
        <w:t>versus</w:t>
      </w:r>
      <w:r w:rsidRPr="004D4EDD">
        <w:t xml:space="preserve"> 3.6%) and ulcerative colitis (2.8% </w:t>
      </w:r>
      <w:r w:rsidR="00FB0FA8" w:rsidRPr="004D4EDD">
        <w:t>versus</w:t>
      </w:r>
      <w:r w:rsidRPr="004D4EDD">
        <w:t xml:space="preserve"> 1.6%) were reported for ≥</w:t>
      </w:r>
      <w:r w:rsidR="00FB0FA8" w:rsidRPr="004D4EDD">
        <w:t xml:space="preserve"> </w:t>
      </w:r>
      <w:r w:rsidRPr="004D4EDD">
        <w:t>2% of participants in the placebo groups and more frequently than in ozanimod groups.</w:t>
      </w:r>
    </w:p>
    <w:p w14:paraId="4DA413AA" w14:textId="2DFF3D4E" w:rsidR="004824D4" w:rsidRPr="004D4EDD" w:rsidRDefault="004824D4" w:rsidP="001551AA">
      <w:r w:rsidRPr="004D4EDD">
        <w:t xml:space="preserve">In the maintenance period of </w:t>
      </w:r>
      <w:r w:rsidR="00FB0FA8" w:rsidRPr="004D4EDD">
        <w:t xml:space="preserve">Study </w:t>
      </w:r>
      <w:r w:rsidRPr="004D4EDD">
        <w:t>RPC01-3101, serious TEAE</w:t>
      </w:r>
      <w:r w:rsidR="00AE2891" w:rsidRPr="004D4EDD">
        <w:t>s</w:t>
      </w:r>
      <w:r w:rsidRPr="004D4EDD">
        <w:t xml:space="preserve"> affected 5.8% of </w:t>
      </w:r>
      <w:r w:rsidR="00BE320A" w:rsidRPr="004D4EDD">
        <w:t>placebo</w:t>
      </w:r>
      <w:r w:rsidRPr="004D4EDD">
        <w:t>/</w:t>
      </w:r>
      <w:r w:rsidR="00BE320A" w:rsidRPr="004D4EDD">
        <w:t>placebo</w:t>
      </w:r>
      <w:r w:rsidRPr="004D4EDD">
        <w:t xml:space="preserve"> patients, 7.9% of </w:t>
      </w:r>
      <w:r w:rsidR="00BE320A" w:rsidRPr="004D4EDD">
        <w:t>ozanimod</w:t>
      </w:r>
      <w:r w:rsidRPr="004D4EDD">
        <w:t>/</w:t>
      </w:r>
      <w:r w:rsidR="00BE320A" w:rsidRPr="004D4EDD">
        <w:t>placebo</w:t>
      </w:r>
      <w:r w:rsidRPr="004D4EDD">
        <w:t xml:space="preserve"> patients and 5.2% of </w:t>
      </w:r>
      <w:r w:rsidR="00BE320A" w:rsidRPr="004D4EDD">
        <w:t>ozanimod</w:t>
      </w:r>
      <w:r w:rsidRPr="004D4EDD">
        <w:t>/</w:t>
      </w:r>
      <w:r w:rsidR="00BE320A" w:rsidRPr="004D4EDD">
        <w:t>ozanimod</w:t>
      </w:r>
      <w:r w:rsidRPr="004D4EDD">
        <w:t xml:space="preserve"> patients. Severe TEAE</w:t>
      </w:r>
      <w:r w:rsidR="00AE2891" w:rsidRPr="004D4EDD">
        <w:t>s</w:t>
      </w:r>
      <w:r w:rsidRPr="004D4EDD">
        <w:t>, TEAE</w:t>
      </w:r>
      <w:r w:rsidR="00AE2891" w:rsidRPr="004D4EDD">
        <w:t>s</w:t>
      </w:r>
      <w:r w:rsidRPr="004D4EDD">
        <w:t xml:space="preserve"> leading to interruption of study drug and TEAE</w:t>
      </w:r>
      <w:r w:rsidR="00AE2891" w:rsidRPr="004D4EDD">
        <w:t>s</w:t>
      </w:r>
      <w:r w:rsidRPr="004D4EDD">
        <w:t xml:space="preserve"> leading to discontinuation of study drug were reported by 4.0% or fewer participants. There were no deaths reported in the maintenance period. The most frequently reported TEAEs affecting ≥ 2% in the </w:t>
      </w:r>
      <w:r w:rsidR="00BE320A" w:rsidRPr="004D4EDD">
        <w:t>ozanimod</w:t>
      </w:r>
      <w:r w:rsidRPr="004D4EDD">
        <w:t>/</w:t>
      </w:r>
      <w:r w:rsidR="00BE320A" w:rsidRPr="004D4EDD">
        <w:t>ozanimod</w:t>
      </w:r>
      <w:r w:rsidRPr="004D4EDD">
        <w:t xml:space="preserve"> group were ALT increased, headache, arthralgia, nasopharyngitis, GGT increased, oedema peripheral, and herpes zoster. The TEAEs of colitis ulcerative and upper respiratory tract infection were reported more frequently in the </w:t>
      </w:r>
      <w:r w:rsidR="00BE320A" w:rsidRPr="004D4EDD">
        <w:t>ozanimod</w:t>
      </w:r>
      <w:r w:rsidRPr="004D4EDD">
        <w:t>/</w:t>
      </w:r>
      <w:r w:rsidR="00BE320A" w:rsidRPr="004D4EDD">
        <w:t>placebo</w:t>
      </w:r>
      <w:r w:rsidRPr="004D4EDD">
        <w:t xml:space="preserve"> treatment group (4.4% and 1.8%, respectively) than the </w:t>
      </w:r>
      <w:r w:rsidR="00BE320A" w:rsidRPr="004D4EDD">
        <w:t>ozanimod</w:t>
      </w:r>
      <w:r w:rsidRPr="004D4EDD">
        <w:t>/</w:t>
      </w:r>
      <w:r w:rsidR="00BE320A" w:rsidRPr="004D4EDD">
        <w:t>ozanimod</w:t>
      </w:r>
      <w:r w:rsidRPr="004D4EDD">
        <w:t xml:space="preserve"> treatment group (0.4% and 0.9%, respectively). Infections and infestations were more frequent in patients treated with ozanimod throughout induction and maintenance period. Severe TEAE</w:t>
      </w:r>
      <w:r w:rsidR="00AE2891" w:rsidRPr="004D4EDD">
        <w:t>s</w:t>
      </w:r>
      <w:r w:rsidRPr="004D4EDD">
        <w:t xml:space="preserve"> were uncommon. A single death of a 43</w:t>
      </w:r>
      <w:r w:rsidR="00FB0FA8" w:rsidRPr="004D4EDD">
        <w:t>-</w:t>
      </w:r>
      <w:r w:rsidRPr="004D4EDD">
        <w:t>year</w:t>
      </w:r>
      <w:r w:rsidR="00FB0FA8" w:rsidRPr="004D4EDD">
        <w:t>-</w:t>
      </w:r>
      <w:r w:rsidRPr="004D4EDD">
        <w:t>old woman with mucinous adenocarcinoma after 911 days of treatment was considered possibly related to study drug by the investigator and unrelated by the sponsor.</w:t>
      </w:r>
    </w:p>
    <w:p w14:paraId="2A9343E4" w14:textId="77777777" w:rsidR="004824D4" w:rsidRPr="004D4EDD" w:rsidRDefault="004824D4" w:rsidP="001551AA">
      <w:r w:rsidRPr="004D4EDD">
        <w:t>The reported adverse events in the ulcerative colitis studies were consistent with the known safety profile of ozanimod (lymphopenia and associated signs and symptoms, elevated serum transaminases) in multiple sclerosis.</w:t>
      </w:r>
    </w:p>
    <w:p w14:paraId="250F56E2" w14:textId="57095595" w:rsidR="004824D4" w:rsidRPr="004D4EDD" w:rsidRDefault="004824D4" w:rsidP="004824D4">
      <w:r w:rsidRPr="004D4EDD">
        <w:t xml:space="preserve">The </w:t>
      </w:r>
      <w:r w:rsidR="00AE2891" w:rsidRPr="004D4EDD">
        <w:t xml:space="preserve">clinical evaluation </w:t>
      </w:r>
      <w:r w:rsidRPr="004D4EDD">
        <w:t xml:space="preserve">considered that the benefit-risk balance of ozanimod in the treatment of </w:t>
      </w:r>
      <w:r w:rsidR="00301384" w:rsidRPr="004D4EDD">
        <w:t>ulcerative colitis</w:t>
      </w:r>
      <w:r w:rsidRPr="004D4EDD">
        <w:t xml:space="preserve"> was marginally favourable, highlighting that ozanimod may increase the risk of infections and the severity of hepatic disease both of which are separately associated with ulcerative colitis.</w:t>
      </w:r>
    </w:p>
    <w:p w14:paraId="1B1574C5" w14:textId="1C250767" w:rsidR="00155493" w:rsidRPr="004D4EDD" w:rsidRDefault="00155493" w:rsidP="00155493">
      <w:pPr>
        <w:pStyle w:val="Heading4"/>
      </w:pPr>
      <w:r w:rsidRPr="004D4EDD">
        <w:t>Clinical</w:t>
      </w:r>
      <w:r w:rsidR="00AE2891" w:rsidRPr="004D4EDD">
        <w:t xml:space="preserve"> </w:t>
      </w:r>
      <w:r w:rsidRPr="004D4EDD">
        <w:t>recommendation</w:t>
      </w:r>
    </w:p>
    <w:p w14:paraId="212D6E21" w14:textId="7FE4A1F6" w:rsidR="00155493" w:rsidRPr="004D4EDD" w:rsidRDefault="00155493" w:rsidP="00155493">
      <w:r w:rsidRPr="004D4EDD">
        <w:t xml:space="preserve">The </w:t>
      </w:r>
      <w:r w:rsidR="00AE2891" w:rsidRPr="004D4EDD">
        <w:t xml:space="preserve">TGA’s </w:t>
      </w:r>
      <w:r w:rsidRPr="004D4EDD">
        <w:t xml:space="preserve">clinical </w:t>
      </w:r>
      <w:r w:rsidR="00AE2891" w:rsidRPr="004D4EDD">
        <w:t xml:space="preserve">evaluation </w:t>
      </w:r>
      <w:r w:rsidRPr="004D4EDD">
        <w:t>recommended authorisation of ozanimod for a modified indication, subject to negotiation of the PI. The</w:t>
      </w:r>
      <w:r w:rsidR="00AE2891" w:rsidRPr="004D4EDD">
        <w:t xml:space="preserve"> modified</w:t>
      </w:r>
      <w:r w:rsidRPr="004D4EDD">
        <w:t xml:space="preserve"> indication proposed </w:t>
      </w:r>
      <w:proofErr w:type="gramStart"/>
      <w:r w:rsidR="00AE2891" w:rsidRPr="004D4EDD">
        <w:t>as a result of</w:t>
      </w:r>
      <w:proofErr w:type="gramEnd"/>
      <w:r w:rsidR="00AE2891" w:rsidRPr="004D4EDD">
        <w:t xml:space="preserve"> the</w:t>
      </w:r>
      <w:r w:rsidRPr="004D4EDD">
        <w:t xml:space="preserve"> clinical evaluat</w:t>
      </w:r>
      <w:r w:rsidR="00AE2891" w:rsidRPr="004D4EDD">
        <w:t>ion</w:t>
      </w:r>
      <w:r w:rsidRPr="004D4EDD">
        <w:t xml:space="preserve"> is</w:t>
      </w:r>
      <w:r w:rsidR="00AE2891" w:rsidRPr="004D4EDD">
        <w:t>:</w:t>
      </w:r>
    </w:p>
    <w:p w14:paraId="7B2A268A" w14:textId="0CEC81D0" w:rsidR="00155493" w:rsidRPr="004D4EDD" w:rsidRDefault="00155493" w:rsidP="00155493">
      <w:pPr>
        <w:ind w:left="720"/>
        <w:rPr>
          <w:i/>
          <w:iCs/>
        </w:rPr>
      </w:pPr>
      <w:r w:rsidRPr="004D4EDD">
        <w:rPr>
          <w:i/>
          <w:iCs/>
        </w:rPr>
        <w:lastRenderedPageBreak/>
        <w:t>For the treatment of adult patients with moderately to severely active ulcerative colitis who have had an inadequate response, lost response, or were intolerant to either conventional therapy or a biological therapy.</w:t>
      </w:r>
    </w:p>
    <w:p w14:paraId="5B3DB841" w14:textId="77777777" w:rsidR="008E7846" w:rsidRPr="004D4EDD" w:rsidRDefault="00386150" w:rsidP="007B6132">
      <w:pPr>
        <w:pStyle w:val="Heading3"/>
        <w:rPr>
          <w:lang w:eastAsia="en-AU"/>
        </w:rPr>
      </w:pPr>
      <w:bookmarkStart w:id="53" w:name="_Toc314842514"/>
      <w:bookmarkStart w:id="54" w:name="_Toc113536196"/>
      <w:r w:rsidRPr="004D4EDD">
        <w:rPr>
          <w:lang w:eastAsia="en-AU"/>
        </w:rPr>
        <w:t>Risk m</w:t>
      </w:r>
      <w:r w:rsidR="008E7846" w:rsidRPr="004D4EDD">
        <w:rPr>
          <w:lang w:eastAsia="en-AU"/>
        </w:rPr>
        <w:t xml:space="preserve">anagement </w:t>
      </w:r>
      <w:r w:rsidRPr="004D4EDD">
        <w:rPr>
          <w:lang w:eastAsia="en-AU"/>
        </w:rPr>
        <w:t>p</w:t>
      </w:r>
      <w:r w:rsidR="008E7846" w:rsidRPr="004D4EDD">
        <w:rPr>
          <w:lang w:eastAsia="en-AU"/>
        </w:rPr>
        <w:t>lan</w:t>
      </w:r>
      <w:bookmarkEnd w:id="53"/>
      <w:bookmarkEnd w:id="54"/>
    </w:p>
    <w:p w14:paraId="6545550D" w14:textId="1401CAD3" w:rsidR="000E44DE" w:rsidRPr="004D4EDD" w:rsidRDefault="000E44DE" w:rsidP="000E44DE">
      <w:bookmarkStart w:id="55" w:name="_Toc247691531"/>
      <w:bookmarkStart w:id="56" w:name="_Toc314842515"/>
      <w:bookmarkStart w:id="57" w:name="_Toc196046505"/>
      <w:bookmarkStart w:id="58" w:name="_Toc196046949"/>
      <w:r w:rsidRPr="004D4EDD">
        <w:t>The most recently evaluated EU-</w:t>
      </w:r>
      <w:r w:rsidR="00FB0FA8" w:rsidRPr="004D4EDD">
        <w:t>risk management plan (</w:t>
      </w:r>
      <w:r w:rsidRPr="004D4EDD">
        <w:t>RMP</w:t>
      </w:r>
      <w:r w:rsidR="00FB0FA8" w:rsidRPr="004D4EDD">
        <w:t>)</w:t>
      </w:r>
      <w:r w:rsidRPr="004D4EDD">
        <w:t xml:space="preserve"> was EMA approved version</w:t>
      </w:r>
      <w:r w:rsidR="00FB0FA8" w:rsidRPr="004D4EDD">
        <w:t> </w:t>
      </w:r>
      <w:r w:rsidRPr="004D4EDD">
        <w:t>1.0 (</w:t>
      </w:r>
      <w:r w:rsidR="002D4AC1" w:rsidRPr="004D4EDD">
        <w:t xml:space="preserve">dated </w:t>
      </w:r>
      <w:r w:rsidRPr="004D4EDD">
        <w:t xml:space="preserve">23 April 2020; </w:t>
      </w:r>
      <w:r w:rsidR="00FB0FA8" w:rsidRPr="004D4EDD">
        <w:t>data lock point (</w:t>
      </w:r>
      <w:r w:rsidRPr="004D4EDD">
        <w:t>DLP</w:t>
      </w:r>
      <w:r w:rsidR="00FB0FA8" w:rsidRPr="004D4EDD">
        <w:t>)</w:t>
      </w:r>
      <w:r w:rsidRPr="004D4EDD">
        <w:t xml:space="preserve"> 30 Jun</w:t>
      </w:r>
      <w:r w:rsidR="00FB0FA8" w:rsidRPr="004D4EDD">
        <w:t>e</w:t>
      </w:r>
      <w:r w:rsidRPr="004D4EDD">
        <w:t xml:space="preserve"> 2018) and </w:t>
      </w:r>
      <w:r w:rsidR="00FB0FA8" w:rsidRPr="004D4EDD">
        <w:t>Australia specific annex (</w:t>
      </w:r>
      <w:r w:rsidRPr="004D4EDD">
        <w:t>ASA</w:t>
      </w:r>
      <w:r w:rsidR="00FB0FA8" w:rsidRPr="004D4EDD">
        <w:t>)</w:t>
      </w:r>
      <w:r w:rsidRPr="004D4EDD">
        <w:t xml:space="preserve"> version 2.0 (</w:t>
      </w:r>
      <w:r w:rsidR="002D4AC1" w:rsidRPr="004D4EDD">
        <w:t xml:space="preserve">dated </w:t>
      </w:r>
      <w:r w:rsidRPr="004D4EDD">
        <w:t xml:space="preserve">10 June 2020). In support of the extended indications, the sponsor has submitted EU-RMP version </w:t>
      </w:r>
      <w:r w:rsidR="002D4AC1" w:rsidRPr="004D4EDD">
        <w:t>3.0</w:t>
      </w:r>
      <w:r w:rsidRPr="004D4EDD">
        <w:t xml:space="preserve"> (</w:t>
      </w:r>
      <w:r w:rsidR="002D4AC1" w:rsidRPr="004D4EDD">
        <w:t>dated 18 October 2021; DLP 7 May 2021</w:t>
      </w:r>
      <w:r w:rsidRPr="004D4EDD">
        <w:t>) and ASA version</w:t>
      </w:r>
      <w:r w:rsidR="00FB0FA8" w:rsidRPr="004D4EDD">
        <w:t> </w:t>
      </w:r>
      <w:r w:rsidR="002D4AC1" w:rsidRPr="004D4EDD">
        <w:t>4</w:t>
      </w:r>
      <w:r w:rsidRPr="004D4EDD">
        <w:t>.0 (</w:t>
      </w:r>
      <w:r w:rsidR="002D4AC1" w:rsidRPr="004D4EDD">
        <w:t>dated 23 November 2021</w:t>
      </w:r>
      <w:r w:rsidRPr="004D4EDD">
        <w:t>).</w:t>
      </w:r>
    </w:p>
    <w:p w14:paraId="49AE5F71" w14:textId="539B3AB3" w:rsidR="0074163C" w:rsidRPr="004D4EDD" w:rsidRDefault="0074163C" w:rsidP="0074163C">
      <w:r w:rsidRPr="004D4EDD">
        <w:t xml:space="preserve">The summary of safety concerns and their associated risk monitoring and mitigation strategies are summarised in </w:t>
      </w:r>
      <w:r w:rsidR="00FB0FA8" w:rsidRPr="004D4EDD">
        <w:fldChar w:fldCharType="begin"/>
      </w:r>
      <w:r w:rsidR="00FB0FA8" w:rsidRPr="004D4EDD">
        <w:instrText xml:space="preserve"> REF _Ref97629131 \h </w:instrText>
      </w:r>
      <w:r w:rsidR="000F3BD0" w:rsidRPr="004D4EDD">
        <w:instrText xml:space="preserve"> \* MERGEFORMAT </w:instrText>
      </w:r>
      <w:r w:rsidR="00FB0FA8" w:rsidRPr="004D4EDD">
        <w:fldChar w:fldCharType="separate"/>
      </w:r>
      <w:r w:rsidR="004D4EDD" w:rsidRPr="004D4EDD">
        <w:t xml:space="preserve">Table </w:t>
      </w:r>
      <w:r w:rsidR="004D4EDD">
        <w:rPr>
          <w:noProof/>
        </w:rPr>
        <w:t>8</w:t>
      </w:r>
      <w:r w:rsidR="00FB0FA8" w:rsidRPr="004D4EDD">
        <w:fldChar w:fldCharType="end"/>
      </w:r>
      <w:r w:rsidRPr="004D4EDD">
        <w:t xml:space="preserve">. Further information regarding </w:t>
      </w:r>
      <w:r w:rsidR="00CC5044" w:rsidRPr="004D4EDD">
        <w:t>the TGA</w:t>
      </w:r>
      <w:r w:rsidR="00BF7063" w:rsidRPr="004D4EDD">
        <w:t>’</w:t>
      </w:r>
      <w:r w:rsidR="00CC5044" w:rsidRPr="004D4EDD">
        <w:t>s r</w:t>
      </w:r>
      <w:r w:rsidRPr="004D4EDD">
        <w:t xml:space="preserve">isk management approach can be found in </w:t>
      </w:r>
      <w:hyperlink r:id="rId20" w:history="1">
        <w:r w:rsidRPr="004D4EDD">
          <w:rPr>
            <w:rStyle w:val="Hyperlink"/>
          </w:rPr>
          <w:t>risk management plans for medicines and biologicals</w:t>
        </w:r>
      </w:hyperlink>
      <w:r w:rsidRPr="004D4EDD">
        <w:t xml:space="preserve"> and </w:t>
      </w:r>
      <w:hyperlink r:id="rId21" w:history="1">
        <w:r w:rsidRPr="004D4EDD">
          <w:rPr>
            <w:rStyle w:val="Hyperlink"/>
          </w:rPr>
          <w:t>the TGA's risk management approach</w:t>
        </w:r>
      </w:hyperlink>
      <w:r w:rsidRPr="004D4EDD">
        <w:t>.</w:t>
      </w:r>
    </w:p>
    <w:p w14:paraId="419046B8" w14:textId="61A3DAB3" w:rsidR="0074163C" w:rsidRPr="004D4EDD" w:rsidRDefault="0074163C" w:rsidP="00703839">
      <w:pPr>
        <w:pStyle w:val="TableTitle"/>
      </w:pPr>
      <w:bookmarkStart w:id="59" w:name="_Ref97629131"/>
      <w:r w:rsidRPr="004D4EDD">
        <w:t xml:space="preserve">Table </w:t>
      </w:r>
      <w:r w:rsidR="009C0FB4">
        <w:fldChar w:fldCharType="begin"/>
      </w:r>
      <w:r w:rsidR="009C0FB4">
        <w:instrText xml:space="preserve"> SEQ Table \* ARABIC </w:instrText>
      </w:r>
      <w:r w:rsidR="009C0FB4">
        <w:fldChar w:fldCharType="separate"/>
      </w:r>
      <w:r w:rsidR="004D4EDD">
        <w:rPr>
          <w:noProof/>
        </w:rPr>
        <w:t>8</w:t>
      </w:r>
      <w:r w:rsidR="009C0FB4">
        <w:rPr>
          <w:noProof/>
        </w:rPr>
        <w:fldChar w:fldCharType="end"/>
      </w:r>
      <w:bookmarkEnd w:id="59"/>
      <w:r w:rsidRPr="004D4EDD">
        <w:t>: Summary of safety concerns</w:t>
      </w:r>
    </w:p>
    <w:tbl>
      <w:tblPr>
        <w:tblStyle w:val="TableTGAblue"/>
        <w:tblW w:w="5136" w:type="pct"/>
        <w:tblLook w:val="04A0" w:firstRow="1" w:lastRow="0" w:firstColumn="1" w:lastColumn="0" w:noHBand="0" w:noVBand="1"/>
      </w:tblPr>
      <w:tblGrid>
        <w:gridCol w:w="1327"/>
        <w:gridCol w:w="3304"/>
        <w:gridCol w:w="908"/>
        <w:gridCol w:w="1139"/>
        <w:gridCol w:w="908"/>
        <w:gridCol w:w="1139"/>
      </w:tblGrid>
      <w:tr w:rsidR="000E44DE" w:rsidRPr="004D4EDD" w14:paraId="56AA3468" w14:textId="77777777" w:rsidTr="005941B9">
        <w:trPr>
          <w:cnfStyle w:val="100000000000" w:firstRow="1" w:lastRow="0" w:firstColumn="0" w:lastColumn="0" w:oddVBand="0" w:evenVBand="0" w:oddHBand="0" w:evenHBand="0" w:firstRowFirstColumn="0" w:firstRowLastColumn="0" w:lastRowFirstColumn="0" w:lastRowLastColumn="0"/>
          <w:trHeight w:val="131"/>
        </w:trPr>
        <w:tc>
          <w:tcPr>
            <w:tcW w:w="2628" w:type="pct"/>
            <w:gridSpan w:val="2"/>
            <w:vMerge w:val="restart"/>
            <w:tcBorders>
              <w:top w:val="single" w:sz="4" w:space="0" w:color="auto"/>
              <w:left w:val="single" w:sz="4" w:space="0" w:color="auto"/>
              <w:bottom w:val="single" w:sz="4" w:space="0" w:color="auto"/>
              <w:right w:val="single" w:sz="4" w:space="0" w:color="auto"/>
            </w:tcBorders>
            <w:hideMark/>
          </w:tcPr>
          <w:p w14:paraId="682072F3" w14:textId="77777777" w:rsidR="000E44DE" w:rsidRPr="004D4EDD" w:rsidRDefault="000E44DE" w:rsidP="000E44DE">
            <w:pPr>
              <w:pStyle w:val="Tabletext"/>
              <w:ind w:left="0" w:right="0"/>
              <w:rPr>
                <w:b w:val="0"/>
                <w:sz w:val="20"/>
                <w:szCs w:val="20"/>
              </w:rPr>
            </w:pPr>
            <w:bookmarkStart w:id="60" w:name="_Hlk81297192"/>
            <w:r w:rsidRPr="004D4EDD">
              <w:rPr>
                <w:sz w:val="20"/>
                <w:szCs w:val="20"/>
              </w:rPr>
              <w:t>Summary of safety concerns</w:t>
            </w:r>
          </w:p>
        </w:tc>
        <w:tc>
          <w:tcPr>
            <w:tcW w:w="1183" w:type="pct"/>
            <w:gridSpan w:val="2"/>
            <w:tcBorders>
              <w:top w:val="single" w:sz="4" w:space="0" w:color="auto"/>
              <w:left w:val="single" w:sz="4" w:space="0" w:color="auto"/>
              <w:bottom w:val="single" w:sz="4" w:space="0" w:color="auto"/>
              <w:right w:val="single" w:sz="4" w:space="0" w:color="auto"/>
            </w:tcBorders>
            <w:hideMark/>
          </w:tcPr>
          <w:p w14:paraId="3FE6B19A" w14:textId="77777777" w:rsidR="000E44DE" w:rsidRPr="004D4EDD" w:rsidRDefault="000E44DE" w:rsidP="000E44DE">
            <w:pPr>
              <w:pStyle w:val="Tabletext"/>
              <w:ind w:left="0" w:right="0"/>
              <w:rPr>
                <w:b w:val="0"/>
                <w:sz w:val="20"/>
                <w:szCs w:val="20"/>
              </w:rPr>
            </w:pPr>
            <w:r w:rsidRPr="004D4EDD">
              <w:rPr>
                <w:sz w:val="20"/>
                <w:szCs w:val="20"/>
              </w:rPr>
              <w:t>Pharmacovigilance</w:t>
            </w:r>
          </w:p>
        </w:tc>
        <w:tc>
          <w:tcPr>
            <w:tcW w:w="1189" w:type="pct"/>
            <w:gridSpan w:val="2"/>
            <w:tcBorders>
              <w:top w:val="single" w:sz="4" w:space="0" w:color="auto"/>
              <w:left w:val="single" w:sz="4" w:space="0" w:color="auto"/>
              <w:bottom w:val="single" w:sz="4" w:space="0" w:color="auto"/>
              <w:right w:val="single" w:sz="4" w:space="0" w:color="auto"/>
            </w:tcBorders>
            <w:hideMark/>
          </w:tcPr>
          <w:p w14:paraId="10383086" w14:textId="77777777" w:rsidR="000E44DE" w:rsidRPr="004D4EDD" w:rsidRDefault="000E44DE" w:rsidP="000E44DE">
            <w:pPr>
              <w:pStyle w:val="Tabletext"/>
              <w:ind w:left="0" w:right="0"/>
              <w:rPr>
                <w:b w:val="0"/>
                <w:sz w:val="20"/>
                <w:szCs w:val="20"/>
              </w:rPr>
            </w:pPr>
            <w:r w:rsidRPr="004D4EDD">
              <w:rPr>
                <w:sz w:val="20"/>
                <w:szCs w:val="20"/>
              </w:rPr>
              <w:t>Risk Minimisation</w:t>
            </w:r>
          </w:p>
        </w:tc>
      </w:tr>
      <w:tr w:rsidR="000E44DE" w:rsidRPr="004D4EDD" w14:paraId="72CD7C6D" w14:textId="77777777" w:rsidTr="005941B9">
        <w:trPr>
          <w:trHeight w:val="150"/>
        </w:trPr>
        <w:tc>
          <w:tcPr>
            <w:tcW w:w="2628" w:type="pct"/>
            <w:gridSpan w:val="2"/>
            <w:vMerge/>
            <w:tcBorders>
              <w:top w:val="single" w:sz="4" w:space="0" w:color="auto"/>
              <w:left w:val="single" w:sz="4" w:space="0" w:color="auto"/>
              <w:bottom w:val="single" w:sz="4" w:space="0" w:color="auto"/>
              <w:right w:val="single" w:sz="4" w:space="0" w:color="auto"/>
            </w:tcBorders>
            <w:hideMark/>
          </w:tcPr>
          <w:p w14:paraId="5AA96EAB" w14:textId="77777777" w:rsidR="000E44DE" w:rsidRPr="004D4EDD" w:rsidRDefault="000E44DE" w:rsidP="000E44DE">
            <w:pPr>
              <w:pStyle w:val="Tabletext"/>
              <w:ind w:left="0" w:right="0"/>
            </w:pPr>
          </w:p>
        </w:tc>
        <w:tc>
          <w:tcPr>
            <w:tcW w:w="515" w:type="pct"/>
            <w:tcBorders>
              <w:top w:val="single" w:sz="4" w:space="0" w:color="auto"/>
              <w:left w:val="single" w:sz="4" w:space="0" w:color="auto"/>
              <w:bottom w:val="single" w:sz="4" w:space="0" w:color="auto"/>
              <w:right w:val="single" w:sz="4" w:space="0" w:color="auto"/>
            </w:tcBorders>
            <w:shd w:val="clear" w:color="auto" w:fill="006DA7"/>
            <w:hideMark/>
          </w:tcPr>
          <w:p w14:paraId="31077DC0" w14:textId="77777777" w:rsidR="000E44DE" w:rsidRPr="004D4EDD" w:rsidRDefault="000E44DE" w:rsidP="000E44DE">
            <w:pPr>
              <w:pStyle w:val="Tabletext"/>
              <w:ind w:left="0" w:right="0"/>
              <w:rPr>
                <w:b/>
                <w:bCs/>
                <w:color w:val="FFFFFF" w:themeColor="background1"/>
              </w:rPr>
            </w:pPr>
            <w:r w:rsidRPr="004D4EDD">
              <w:rPr>
                <w:b/>
                <w:bCs/>
                <w:color w:val="FFFFFF" w:themeColor="background1"/>
              </w:rPr>
              <w:t>Routine</w:t>
            </w:r>
          </w:p>
        </w:tc>
        <w:tc>
          <w:tcPr>
            <w:tcW w:w="668" w:type="pct"/>
            <w:tcBorders>
              <w:top w:val="single" w:sz="4" w:space="0" w:color="auto"/>
              <w:left w:val="single" w:sz="4" w:space="0" w:color="auto"/>
              <w:bottom w:val="single" w:sz="4" w:space="0" w:color="auto"/>
              <w:right w:val="single" w:sz="4" w:space="0" w:color="auto"/>
            </w:tcBorders>
            <w:shd w:val="clear" w:color="auto" w:fill="006DA7"/>
            <w:hideMark/>
          </w:tcPr>
          <w:p w14:paraId="076FEA3F" w14:textId="77777777" w:rsidR="000E44DE" w:rsidRPr="004D4EDD" w:rsidRDefault="000E44DE" w:rsidP="000E44DE">
            <w:pPr>
              <w:pStyle w:val="Tabletext"/>
              <w:ind w:left="0" w:right="0"/>
              <w:rPr>
                <w:b/>
                <w:bCs/>
                <w:color w:val="FFFFFF" w:themeColor="background1"/>
              </w:rPr>
            </w:pPr>
            <w:r w:rsidRPr="004D4EDD">
              <w:rPr>
                <w:b/>
                <w:bCs/>
                <w:color w:val="FFFFFF" w:themeColor="background1"/>
              </w:rPr>
              <w:t>Additional</w:t>
            </w:r>
          </w:p>
        </w:tc>
        <w:tc>
          <w:tcPr>
            <w:tcW w:w="520" w:type="pct"/>
            <w:tcBorders>
              <w:top w:val="single" w:sz="4" w:space="0" w:color="auto"/>
              <w:left w:val="single" w:sz="4" w:space="0" w:color="auto"/>
              <w:bottom w:val="single" w:sz="4" w:space="0" w:color="auto"/>
              <w:right w:val="single" w:sz="4" w:space="0" w:color="auto"/>
            </w:tcBorders>
            <w:shd w:val="clear" w:color="auto" w:fill="006DA7"/>
            <w:hideMark/>
          </w:tcPr>
          <w:p w14:paraId="6B7A2EE7" w14:textId="77777777" w:rsidR="000E44DE" w:rsidRPr="004D4EDD" w:rsidRDefault="000E44DE" w:rsidP="000E44DE">
            <w:pPr>
              <w:pStyle w:val="Tabletext"/>
              <w:ind w:left="0" w:right="0"/>
              <w:rPr>
                <w:b/>
                <w:bCs/>
                <w:color w:val="FFFFFF" w:themeColor="background1"/>
              </w:rPr>
            </w:pPr>
            <w:r w:rsidRPr="004D4EDD">
              <w:rPr>
                <w:b/>
                <w:bCs/>
                <w:color w:val="FFFFFF" w:themeColor="background1"/>
              </w:rPr>
              <w:t>Routine</w:t>
            </w:r>
          </w:p>
        </w:tc>
        <w:tc>
          <w:tcPr>
            <w:tcW w:w="669" w:type="pct"/>
            <w:tcBorders>
              <w:top w:val="single" w:sz="4" w:space="0" w:color="auto"/>
              <w:left w:val="single" w:sz="4" w:space="0" w:color="auto"/>
              <w:bottom w:val="single" w:sz="4" w:space="0" w:color="auto"/>
              <w:right w:val="single" w:sz="4" w:space="0" w:color="auto"/>
            </w:tcBorders>
            <w:shd w:val="clear" w:color="auto" w:fill="006DA7"/>
            <w:hideMark/>
          </w:tcPr>
          <w:p w14:paraId="496640B7" w14:textId="77777777" w:rsidR="000E44DE" w:rsidRPr="004D4EDD" w:rsidRDefault="000E44DE" w:rsidP="000E44DE">
            <w:pPr>
              <w:pStyle w:val="Tabletext"/>
              <w:ind w:left="0" w:right="0"/>
              <w:rPr>
                <w:b/>
                <w:bCs/>
                <w:color w:val="FFFFFF" w:themeColor="background1"/>
              </w:rPr>
            </w:pPr>
            <w:r w:rsidRPr="004D4EDD">
              <w:rPr>
                <w:b/>
                <w:bCs/>
                <w:color w:val="FFFFFF" w:themeColor="background1"/>
              </w:rPr>
              <w:t>Additional</w:t>
            </w:r>
          </w:p>
        </w:tc>
      </w:tr>
      <w:tr w:rsidR="000E44DE" w:rsidRPr="004D4EDD" w14:paraId="473D45FC" w14:textId="77777777" w:rsidTr="005941B9">
        <w:trPr>
          <w:trHeight w:val="137"/>
        </w:trPr>
        <w:tc>
          <w:tcPr>
            <w:tcW w:w="680" w:type="pct"/>
            <w:tcBorders>
              <w:top w:val="single" w:sz="4" w:space="0" w:color="auto"/>
            </w:tcBorders>
            <w:hideMark/>
          </w:tcPr>
          <w:p w14:paraId="502B5A88" w14:textId="77777777" w:rsidR="000E44DE" w:rsidRPr="004D4EDD" w:rsidRDefault="000E44DE" w:rsidP="000E44DE">
            <w:pPr>
              <w:pStyle w:val="Tabletext"/>
              <w:ind w:left="0" w:right="0"/>
              <w:rPr>
                <w:b/>
                <w:sz w:val="20"/>
                <w:szCs w:val="20"/>
              </w:rPr>
            </w:pPr>
            <w:r w:rsidRPr="004D4EDD">
              <w:rPr>
                <w:b/>
                <w:sz w:val="20"/>
                <w:szCs w:val="20"/>
              </w:rPr>
              <w:t>Important identified risks</w:t>
            </w:r>
          </w:p>
        </w:tc>
        <w:tc>
          <w:tcPr>
            <w:tcW w:w="1947" w:type="pct"/>
            <w:tcBorders>
              <w:top w:val="single" w:sz="4" w:space="0" w:color="auto"/>
            </w:tcBorders>
            <w:hideMark/>
          </w:tcPr>
          <w:p w14:paraId="2A3CF3D7" w14:textId="77777777" w:rsidR="000E44DE" w:rsidRPr="004D4EDD" w:rsidRDefault="000E44DE" w:rsidP="000E44DE">
            <w:pPr>
              <w:pStyle w:val="Tabletext"/>
              <w:ind w:left="0" w:right="0"/>
              <w:rPr>
                <w:sz w:val="20"/>
                <w:szCs w:val="20"/>
              </w:rPr>
            </w:pPr>
            <w:r w:rsidRPr="004D4EDD">
              <w:rPr>
                <w:sz w:val="20"/>
                <w:szCs w:val="20"/>
              </w:rPr>
              <w:t>(none)</w:t>
            </w:r>
          </w:p>
        </w:tc>
        <w:tc>
          <w:tcPr>
            <w:tcW w:w="515" w:type="pct"/>
            <w:tcBorders>
              <w:top w:val="single" w:sz="4" w:space="0" w:color="auto"/>
            </w:tcBorders>
            <w:hideMark/>
          </w:tcPr>
          <w:p w14:paraId="7F63502D" w14:textId="77777777" w:rsidR="000E44DE" w:rsidRPr="004D4EDD" w:rsidRDefault="000E44DE" w:rsidP="005941B9">
            <w:pPr>
              <w:pStyle w:val="Tabletext"/>
              <w:ind w:left="0" w:right="0"/>
              <w:jc w:val="center"/>
              <w:rPr>
                <w:sz w:val="20"/>
                <w:szCs w:val="20"/>
              </w:rPr>
            </w:pPr>
            <w:r w:rsidRPr="004D4EDD">
              <w:rPr>
                <w:sz w:val="20"/>
                <w:szCs w:val="20"/>
              </w:rPr>
              <w:t>–</w:t>
            </w:r>
          </w:p>
        </w:tc>
        <w:tc>
          <w:tcPr>
            <w:tcW w:w="668" w:type="pct"/>
            <w:tcBorders>
              <w:top w:val="single" w:sz="4" w:space="0" w:color="auto"/>
            </w:tcBorders>
            <w:hideMark/>
          </w:tcPr>
          <w:p w14:paraId="2007BCB8" w14:textId="77777777" w:rsidR="000E44DE" w:rsidRPr="004D4EDD" w:rsidRDefault="000E44DE" w:rsidP="005941B9">
            <w:pPr>
              <w:pStyle w:val="Tabletext"/>
              <w:ind w:left="0" w:right="0"/>
              <w:jc w:val="center"/>
              <w:rPr>
                <w:sz w:val="20"/>
                <w:szCs w:val="20"/>
              </w:rPr>
            </w:pPr>
            <w:r w:rsidRPr="004D4EDD">
              <w:rPr>
                <w:sz w:val="20"/>
                <w:szCs w:val="20"/>
              </w:rPr>
              <w:t>–</w:t>
            </w:r>
          </w:p>
        </w:tc>
        <w:tc>
          <w:tcPr>
            <w:tcW w:w="520" w:type="pct"/>
            <w:tcBorders>
              <w:top w:val="single" w:sz="4" w:space="0" w:color="auto"/>
            </w:tcBorders>
            <w:hideMark/>
          </w:tcPr>
          <w:p w14:paraId="63DFA7BF" w14:textId="77777777" w:rsidR="000E44DE" w:rsidRPr="004D4EDD" w:rsidRDefault="000E44DE" w:rsidP="005941B9">
            <w:pPr>
              <w:pStyle w:val="Tabletext"/>
              <w:ind w:left="0" w:right="0"/>
              <w:jc w:val="center"/>
              <w:rPr>
                <w:sz w:val="20"/>
                <w:szCs w:val="20"/>
              </w:rPr>
            </w:pPr>
            <w:r w:rsidRPr="004D4EDD">
              <w:rPr>
                <w:sz w:val="20"/>
                <w:szCs w:val="20"/>
              </w:rPr>
              <w:t>–</w:t>
            </w:r>
          </w:p>
        </w:tc>
        <w:tc>
          <w:tcPr>
            <w:tcW w:w="669" w:type="pct"/>
            <w:tcBorders>
              <w:top w:val="single" w:sz="4" w:space="0" w:color="auto"/>
            </w:tcBorders>
            <w:hideMark/>
          </w:tcPr>
          <w:p w14:paraId="1633407A" w14:textId="77777777" w:rsidR="000E44DE" w:rsidRPr="004D4EDD" w:rsidRDefault="000E44DE" w:rsidP="005941B9">
            <w:pPr>
              <w:pStyle w:val="Tabletext"/>
              <w:ind w:left="0" w:right="0"/>
              <w:jc w:val="center"/>
              <w:rPr>
                <w:sz w:val="20"/>
                <w:szCs w:val="20"/>
              </w:rPr>
            </w:pPr>
            <w:r w:rsidRPr="004D4EDD">
              <w:rPr>
                <w:sz w:val="20"/>
                <w:szCs w:val="20"/>
              </w:rPr>
              <w:t>–</w:t>
            </w:r>
          </w:p>
        </w:tc>
      </w:tr>
      <w:tr w:rsidR="000E44DE" w:rsidRPr="004D4EDD" w14:paraId="09C3A66D" w14:textId="77777777" w:rsidTr="005941B9">
        <w:trPr>
          <w:trHeight w:val="159"/>
        </w:trPr>
        <w:tc>
          <w:tcPr>
            <w:tcW w:w="680" w:type="pct"/>
            <w:vMerge w:val="restart"/>
            <w:hideMark/>
          </w:tcPr>
          <w:p w14:paraId="14B2C132" w14:textId="77777777" w:rsidR="000E44DE" w:rsidRPr="004D4EDD" w:rsidRDefault="000E44DE" w:rsidP="000E44DE">
            <w:pPr>
              <w:pStyle w:val="Tabletext"/>
              <w:ind w:left="0" w:right="0"/>
              <w:rPr>
                <w:b/>
                <w:sz w:val="20"/>
                <w:szCs w:val="20"/>
              </w:rPr>
            </w:pPr>
            <w:r w:rsidRPr="004D4EDD">
              <w:rPr>
                <w:b/>
                <w:sz w:val="20"/>
                <w:szCs w:val="20"/>
              </w:rPr>
              <w:t>Important potential risks</w:t>
            </w:r>
          </w:p>
        </w:tc>
        <w:tc>
          <w:tcPr>
            <w:tcW w:w="1947" w:type="pct"/>
            <w:hideMark/>
          </w:tcPr>
          <w:p w14:paraId="28AA5D2D" w14:textId="25B3901D" w:rsidR="000E44DE" w:rsidRPr="004D4EDD" w:rsidRDefault="000E44DE" w:rsidP="000E44DE">
            <w:pPr>
              <w:pStyle w:val="Tabletext"/>
              <w:ind w:left="0" w:right="0"/>
              <w:rPr>
                <w:sz w:val="20"/>
                <w:szCs w:val="20"/>
              </w:rPr>
            </w:pPr>
            <w:r w:rsidRPr="004D4EDD">
              <w:rPr>
                <w:sz w:val="20"/>
                <w:szCs w:val="20"/>
              </w:rPr>
              <w:t>Symptomatic bradycardia</w:t>
            </w:r>
          </w:p>
        </w:tc>
        <w:tc>
          <w:tcPr>
            <w:tcW w:w="515" w:type="pct"/>
            <w:hideMark/>
          </w:tcPr>
          <w:p w14:paraId="2AC5622A" w14:textId="5FD78D35" w:rsidR="000E44DE" w:rsidRPr="004D4EDD" w:rsidRDefault="000E44DE" w:rsidP="005941B9">
            <w:pPr>
              <w:pStyle w:val="Tabletext"/>
              <w:ind w:left="0" w:right="0"/>
              <w:jc w:val="center"/>
              <w:rPr>
                <w:sz w:val="20"/>
                <w:szCs w:val="20"/>
              </w:rPr>
            </w:pPr>
            <w:r w:rsidRPr="004D4EDD">
              <w:rPr>
                <w:sz w:val="20"/>
                <w:szCs w:val="20"/>
              </w:rPr>
              <w:sym w:font="Wingdings" w:char="F0FC"/>
            </w:r>
          </w:p>
        </w:tc>
        <w:tc>
          <w:tcPr>
            <w:tcW w:w="668" w:type="pct"/>
            <w:hideMark/>
          </w:tcPr>
          <w:p w14:paraId="71539E6D" w14:textId="77777777" w:rsidR="000E44DE" w:rsidRPr="004D4EDD" w:rsidRDefault="000E44DE" w:rsidP="005941B9">
            <w:pPr>
              <w:pStyle w:val="Tabletext"/>
              <w:ind w:left="0" w:right="0"/>
              <w:jc w:val="center"/>
              <w:rPr>
                <w:sz w:val="20"/>
                <w:szCs w:val="20"/>
                <w:vertAlign w:val="superscript"/>
              </w:rPr>
            </w:pPr>
            <w:r w:rsidRPr="004D4EDD">
              <w:rPr>
                <w:sz w:val="20"/>
                <w:szCs w:val="20"/>
              </w:rPr>
              <w:sym w:font="Wingdings" w:char="F0FC"/>
            </w:r>
            <w:r w:rsidRPr="004D4EDD">
              <w:rPr>
                <w:sz w:val="20"/>
                <w:szCs w:val="20"/>
                <w:vertAlign w:val="superscript"/>
              </w:rPr>
              <w:t>2,3</w:t>
            </w:r>
          </w:p>
        </w:tc>
        <w:tc>
          <w:tcPr>
            <w:tcW w:w="520" w:type="pct"/>
            <w:hideMark/>
          </w:tcPr>
          <w:p w14:paraId="2FF1AC24" w14:textId="77777777" w:rsidR="000E44DE" w:rsidRPr="004D4EDD" w:rsidRDefault="000E44DE" w:rsidP="005941B9">
            <w:pPr>
              <w:pStyle w:val="Tabletext"/>
              <w:ind w:left="0" w:right="0"/>
              <w:jc w:val="center"/>
              <w:rPr>
                <w:sz w:val="20"/>
                <w:szCs w:val="20"/>
              </w:rPr>
            </w:pPr>
            <w:r w:rsidRPr="004D4EDD">
              <w:rPr>
                <w:sz w:val="20"/>
                <w:szCs w:val="20"/>
              </w:rPr>
              <w:sym w:font="Wingdings" w:char="F0FC"/>
            </w:r>
          </w:p>
        </w:tc>
        <w:tc>
          <w:tcPr>
            <w:tcW w:w="669" w:type="pct"/>
            <w:hideMark/>
          </w:tcPr>
          <w:p w14:paraId="6565B452" w14:textId="77777777" w:rsidR="000E44DE" w:rsidRPr="004D4EDD" w:rsidRDefault="000E44DE" w:rsidP="005941B9">
            <w:pPr>
              <w:pStyle w:val="Tabletext"/>
              <w:ind w:left="0" w:right="0"/>
              <w:jc w:val="center"/>
              <w:rPr>
                <w:sz w:val="20"/>
                <w:szCs w:val="20"/>
              </w:rPr>
            </w:pPr>
            <w:r w:rsidRPr="004D4EDD">
              <w:rPr>
                <w:sz w:val="20"/>
                <w:szCs w:val="20"/>
              </w:rPr>
              <w:sym w:font="Wingdings" w:char="F0FC"/>
            </w:r>
            <w:r w:rsidRPr="004D4EDD">
              <w:rPr>
                <w:sz w:val="20"/>
                <w:szCs w:val="20"/>
                <w:vertAlign w:val="superscript"/>
              </w:rPr>
              <w:t>3</w:t>
            </w:r>
          </w:p>
        </w:tc>
      </w:tr>
      <w:tr w:rsidR="000E44DE" w:rsidRPr="004D4EDD" w14:paraId="197F9C03" w14:textId="77777777" w:rsidTr="005941B9">
        <w:trPr>
          <w:trHeight w:val="122"/>
        </w:trPr>
        <w:tc>
          <w:tcPr>
            <w:tcW w:w="680" w:type="pct"/>
            <w:vMerge/>
            <w:hideMark/>
          </w:tcPr>
          <w:p w14:paraId="31D46802" w14:textId="77777777" w:rsidR="000E44DE" w:rsidRPr="004D4EDD" w:rsidRDefault="000E44DE" w:rsidP="000E44DE">
            <w:pPr>
              <w:pStyle w:val="Tabletext"/>
              <w:ind w:left="0" w:right="0"/>
              <w:rPr>
                <w:b/>
                <w:sz w:val="20"/>
                <w:szCs w:val="20"/>
              </w:rPr>
            </w:pPr>
          </w:p>
        </w:tc>
        <w:tc>
          <w:tcPr>
            <w:tcW w:w="1947" w:type="pct"/>
            <w:hideMark/>
          </w:tcPr>
          <w:p w14:paraId="3CA6E859" w14:textId="77777777" w:rsidR="000E44DE" w:rsidRPr="004D4EDD" w:rsidRDefault="000E44DE" w:rsidP="000E44DE">
            <w:pPr>
              <w:pStyle w:val="Tabletext"/>
              <w:ind w:left="0" w:right="0"/>
              <w:rPr>
                <w:sz w:val="20"/>
                <w:szCs w:val="20"/>
              </w:rPr>
            </w:pPr>
            <w:r w:rsidRPr="004D4EDD">
              <w:rPr>
                <w:sz w:val="20"/>
                <w:szCs w:val="20"/>
              </w:rPr>
              <w:t>Severe liver injury</w:t>
            </w:r>
          </w:p>
        </w:tc>
        <w:tc>
          <w:tcPr>
            <w:tcW w:w="515" w:type="pct"/>
            <w:hideMark/>
          </w:tcPr>
          <w:p w14:paraId="6A2C6D14" w14:textId="6B510657" w:rsidR="000E44DE" w:rsidRPr="004D4EDD" w:rsidRDefault="000E44DE" w:rsidP="005941B9">
            <w:pPr>
              <w:pStyle w:val="Tabletext"/>
              <w:ind w:left="0" w:right="0"/>
              <w:jc w:val="center"/>
              <w:rPr>
                <w:sz w:val="20"/>
                <w:szCs w:val="20"/>
              </w:rPr>
            </w:pPr>
            <w:r w:rsidRPr="004D4EDD">
              <w:rPr>
                <w:sz w:val="20"/>
                <w:szCs w:val="20"/>
              </w:rPr>
              <w:sym w:font="Wingdings" w:char="F0FC"/>
            </w:r>
          </w:p>
        </w:tc>
        <w:tc>
          <w:tcPr>
            <w:tcW w:w="668" w:type="pct"/>
            <w:hideMark/>
          </w:tcPr>
          <w:p w14:paraId="456194CC" w14:textId="77777777" w:rsidR="000E44DE" w:rsidRPr="004D4EDD" w:rsidRDefault="000E44DE" w:rsidP="005941B9">
            <w:pPr>
              <w:pStyle w:val="Tabletext"/>
              <w:ind w:left="0" w:right="0"/>
              <w:jc w:val="center"/>
              <w:rPr>
                <w:sz w:val="20"/>
                <w:szCs w:val="20"/>
              </w:rPr>
            </w:pPr>
            <w:r w:rsidRPr="004D4EDD">
              <w:rPr>
                <w:sz w:val="20"/>
                <w:szCs w:val="20"/>
              </w:rPr>
              <w:sym w:font="Wingdings" w:char="F0FC"/>
            </w:r>
            <w:r w:rsidRPr="004D4EDD">
              <w:rPr>
                <w:sz w:val="20"/>
                <w:szCs w:val="20"/>
                <w:vertAlign w:val="superscript"/>
              </w:rPr>
              <w:t>2,3,4</w:t>
            </w:r>
          </w:p>
        </w:tc>
        <w:tc>
          <w:tcPr>
            <w:tcW w:w="520" w:type="pct"/>
            <w:hideMark/>
          </w:tcPr>
          <w:p w14:paraId="4B962B9A" w14:textId="77777777" w:rsidR="000E44DE" w:rsidRPr="004D4EDD" w:rsidRDefault="000E44DE" w:rsidP="005941B9">
            <w:pPr>
              <w:pStyle w:val="Tabletext"/>
              <w:ind w:left="0" w:right="0"/>
              <w:jc w:val="center"/>
              <w:rPr>
                <w:sz w:val="20"/>
                <w:szCs w:val="20"/>
              </w:rPr>
            </w:pPr>
            <w:r w:rsidRPr="004D4EDD">
              <w:rPr>
                <w:sz w:val="20"/>
                <w:szCs w:val="20"/>
              </w:rPr>
              <w:sym w:font="Wingdings" w:char="F0FC"/>
            </w:r>
          </w:p>
        </w:tc>
        <w:tc>
          <w:tcPr>
            <w:tcW w:w="669" w:type="pct"/>
            <w:hideMark/>
          </w:tcPr>
          <w:p w14:paraId="5B139673" w14:textId="77777777" w:rsidR="000E44DE" w:rsidRPr="004D4EDD" w:rsidRDefault="000E44DE" w:rsidP="005941B9">
            <w:pPr>
              <w:pStyle w:val="Tabletext"/>
              <w:ind w:left="0" w:right="0"/>
              <w:jc w:val="center"/>
              <w:rPr>
                <w:sz w:val="20"/>
                <w:szCs w:val="20"/>
              </w:rPr>
            </w:pPr>
            <w:r w:rsidRPr="004D4EDD">
              <w:rPr>
                <w:sz w:val="20"/>
                <w:szCs w:val="20"/>
              </w:rPr>
              <w:sym w:font="Wingdings" w:char="F0FC"/>
            </w:r>
            <w:r w:rsidRPr="004D4EDD">
              <w:rPr>
                <w:sz w:val="20"/>
                <w:szCs w:val="20"/>
                <w:vertAlign w:val="superscript"/>
              </w:rPr>
              <w:t>3</w:t>
            </w:r>
          </w:p>
        </w:tc>
      </w:tr>
      <w:tr w:rsidR="000E44DE" w:rsidRPr="004D4EDD" w14:paraId="7477CDFF" w14:textId="77777777" w:rsidTr="005941B9">
        <w:trPr>
          <w:trHeight w:val="122"/>
        </w:trPr>
        <w:tc>
          <w:tcPr>
            <w:tcW w:w="680" w:type="pct"/>
            <w:vMerge/>
            <w:hideMark/>
          </w:tcPr>
          <w:p w14:paraId="4F90D796" w14:textId="77777777" w:rsidR="000E44DE" w:rsidRPr="004D4EDD" w:rsidRDefault="000E44DE" w:rsidP="000E44DE">
            <w:pPr>
              <w:pStyle w:val="Tabletext"/>
              <w:ind w:left="0" w:right="0"/>
              <w:rPr>
                <w:b/>
                <w:sz w:val="20"/>
                <w:szCs w:val="20"/>
              </w:rPr>
            </w:pPr>
          </w:p>
        </w:tc>
        <w:tc>
          <w:tcPr>
            <w:tcW w:w="1947" w:type="pct"/>
            <w:hideMark/>
          </w:tcPr>
          <w:p w14:paraId="02AB6DB0" w14:textId="187CD562" w:rsidR="000E44DE" w:rsidRPr="004D4EDD" w:rsidRDefault="000E44DE" w:rsidP="000E44DE">
            <w:pPr>
              <w:pStyle w:val="Tabletext"/>
              <w:ind w:left="0" w:right="0"/>
              <w:rPr>
                <w:sz w:val="20"/>
                <w:szCs w:val="20"/>
              </w:rPr>
            </w:pPr>
            <w:r w:rsidRPr="004D4EDD">
              <w:rPr>
                <w:sz w:val="20"/>
                <w:szCs w:val="20"/>
              </w:rPr>
              <w:t xml:space="preserve">Serious opportunistic infections including </w:t>
            </w:r>
            <w:r w:rsidR="0030630C" w:rsidRPr="004D4EDD">
              <w:rPr>
                <w:sz w:val="20"/>
                <w:szCs w:val="20"/>
              </w:rPr>
              <w:t>p</w:t>
            </w:r>
            <w:r w:rsidRPr="004D4EDD">
              <w:rPr>
                <w:sz w:val="20"/>
                <w:szCs w:val="20"/>
              </w:rPr>
              <w:t xml:space="preserve">rogressive multifocal </w:t>
            </w:r>
            <w:proofErr w:type="spellStart"/>
            <w:proofErr w:type="gramStart"/>
            <w:r w:rsidRPr="004D4EDD">
              <w:rPr>
                <w:sz w:val="20"/>
                <w:szCs w:val="20"/>
              </w:rPr>
              <w:t>leukoencephalopathy</w:t>
            </w:r>
            <w:r w:rsidR="00FB0FA8" w:rsidRPr="004D4EDD">
              <w:rPr>
                <w:sz w:val="20"/>
                <w:szCs w:val="20"/>
              </w:rPr>
              <w:t>;</w:t>
            </w:r>
            <w:r w:rsidRPr="004D4EDD">
              <w:rPr>
                <w:sz w:val="20"/>
                <w:szCs w:val="20"/>
                <w:vertAlign w:val="superscript"/>
              </w:rPr>
              <w:t>a</w:t>
            </w:r>
            <w:proofErr w:type="spellEnd"/>
            <w:proofErr w:type="gramEnd"/>
          </w:p>
        </w:tc>
        <w:tc>
          <w:tcPr>
            <w:tcW w:w="515" w:type="pct"/>
            <w:hideMark/>
          </w:tcPr>
          <w:p w14:paraId="059BA466" w14:textId="77777777" w:rsidR="000E44DE" w:rsidRPr="004D4EDD" w:rsidRDefault="000E44DE" w:rsidP="005941B9">
            <w:pPr>
              <w:pStyle w:val="Tabletext"/>
              <w:ind w:left="0" w:right="0"/>
              <w:jc w:val="center"/>
              <w:rPr>
                <w:sz w:val="20"/>
                <w:szCs w:val="20"/>
              </w:rPr>
            </w:pPr>
            <w:r w:rsidRPr="004D4EDD">
              <w:rPr>
                <w:sz w:val="20"/>
                <w:szCs w:val="20"/>
              </w:rPr>
              <w:sym w:font="Wingdings" w:char="F0FC"/>
            </w:r>
            <w:r w:rsidRPr="004D4EDD">
              <w:rPr>
                <w:sz w:val="20"/>
                <w:szCs w:val="20"/>
                <w:vertAlign w:val="superscript"/>
              </w:rPr>
              <w:t>1</w:t>
            </w:r>
          </w:p>
        </w:tc>
        <w:tc>
          <w:tcPr>
            <w:tcW w:w="668" w:type="pct"/>
            <w:hideMark/>
          </w:tcPr>
          <w:p w14:paraId="3EFE9E05" w14:textId="77777777" w:rsidR="000E44DE" w:rsidRPr="004D4EDD" w:rsidRDefault="000E44DE" w:rsidP="005941B9">
            <w:pPr>
              <w:pStyle w:val="Tabletext"/>
              <w:ind w:left="0" w:right="0"/>
              <w:jc w:val="center"/>
              <w:rPr>
                <w:sz w:val="20"/>
                <w:szCs w:val="20"/>
              </w:rPr>
            </w:pPr>
            <w:r w:rsidRPr="004D4EDD">
              <w:rPr>
                <w:sz w:val="20"/>
                <w:szCs w:val="20"/>
              </w:rPr>
              <w:sym w:font="Wingdings" w:char="F0FC"/>
            </w:r>
            <w:r w:rsidRPr="004D4EDD">
              <w:rPr>
                <w:sz w:val="20"/>
                <w:szCs w:val="20"/>
                <w:vertAlign w:val="superscript"/>
              </w:rPr>
              <w:t>2,3,4,5</w:t>
            </w:r>
          </w:p>
        </w:tc>
        <w:tc>
          <w:tcPr>
            <w:tcW w:w="520" w:type="pct"/>
            <w:hideMark/>
          </w:tcPr>
          <w:p w14:paraId="490102CB" w14:textId="77777777" w:rsidR="000E44DE" w:rsidRPr="004D4EDD" w:rsidRDefault="000E44DE" w:rsidP="005941B9">
            <w:pPr>
              <w:pStyle w:val="Tabletext"/>
              <w:ind w:left="0" w:right="0"/>
              <w:jc w:val="center"/>
              <w:rPr>
                <w:sz w:val="20"/>
                <w:szCs w:val="20"/>
              </w:rPr>
            </w:pPr>
            <w:r w:rsidRPr="004D4EDD">
              <w:rPr>
                <w:sz w:val="20"/>
                <w:szCs w:val="20"/>
              </w:rPr>
              <w:sym w:font="Wingdings" w:char="F0FC"/>
            </w:r>
          </w:p>
        </w:tc>
        <w:tc>
          <w:tcPr>
            <w:tcW w:w="669" w:type="pct"/>
            <w:hideMark/>
          </w:tcPr>
          <w:p w14:paraId="46D50042" w14:textId="77777777" w:rsidR="000E44DE" w:rsidRPr="004D4EDD" w:rsidRDefault="000E44DE" w:rsidP="005941B9">
            <w:pPr>
              <w:pStyle w:val="Tabletext"/>
              <w:ind w:left="0" w:right="0"/>
              <w:jc w:val="center"/>
              <w:rPr>
                <w:sz w:val="20"/>
                <w:szCs w:val="20"/>
              </w:rPr>
            </w:pPr>
            <w:r w:rsidRPr="004D4EDD">
              <w:rPr>
                <w:sz w:val="20"/>
                <w:szCs w:val="20"/>
              </w:rPr>
              <w:sym w:font="Wingdings" w:char="F0FC"/>
            </w:r>
            <w:r w:rsidRPr="004D4EDD">
              <w:rPr>
                <w:sz w:val="20"/>
                <w:szCs w:val="20"/>
                <w:vertAlign w:val="superscript"/>
              </w:rPr>
              <w:t>3</w:t>
            </w:r>
          </w:p>
        </w:tc>
      </w:tr>
      <w:tr w:rsidR="000E44DE" w:rsidRPr="004D4EDD" w14:paraId="29754C29" w14:textId="77777777" w:rsidTr="005941B9">
        <w:trPr>
          <w:trHeight w:val="122"/>
        </w:trPr>
        <w:tc>
          <w:tcPr>
            <w:tcW w:w="680" w:type="pct"/>
            <w:vMerge/>
            <w:hideMark/>
          </w:tcPr>
          <w:p w14:paraId="3326B0AA" w14:textId="77777777" w:rsidR="000E44DE" w:rsidRPr="004D4EDD" w:rsidRDefault="000E44DE" w:rsidP="000E44DE">
            <w:pPr>
              <w:pStyle w:val="Tabletext"/>
              <w:ind w:left="0" w:right="0"/>
              <w:rPr>
                <w:b/>
                <w:sz w:val="20"/>
                <w:szCs w:val="20"/>
              </w:rPr>
            </w:pPr>
          </w:p>
        </w:tc>
        <w:tc>
          <w:tcPr>
            <w:tcW w:w="1947" w:type="pct"/>
            <w:hideMark/>
          </w:tcPr>
          <w:p w14:paraId="6E543B81" w14:textId="73C2084B" w:rsidR="000E44DE" w:rsidRPr="004D4EDD" w:rsidRDefault="000E44DE" w:rsidP="000E44DE">
            <w:pPr>
              <w:pStyle w:val="Tabletext"/>
              <w:ind w:left="0" w:right="0"/>
              <w:rPr>
                <w:sz w:val="20"/>
                <w:szCs w:val="20"/>
              </w:rPr>
            </w:pPr>
            <w:r w:rsidRPr="004D4EDD">
              <w:rPr>
                <w:sz w:val="20"/>
                <w:szCs w:val="20"/>
              </w:rPr>
              <w:t>Macular oedema</w:t>
            </w:r>
          </w:p>
        </w:tc>
        <w:tc>
          <w:tcPr>
            <w:tcW w:w="515" w:type="pct"/>
            <w:hideMark/>
          </w:tcPr>
          <w:p w14:paraId="307BA439" w14:textId="1E6D1A83" w:rsidR="000E44DE" w:rsidRPr="004D4EDD" w:rsidRDefault="000E44DE" w:rsidP="005941B9">
            <w:pPr>
              <w:pStyle w:val="Tabletext"/>
              <w:ind w:left="0" w:right="0"/>
              <w:jc w:val="center"/>
              <w:rPr>
                <w:sz w:val="20"/>
                <w:szCs w:val="20"/>
              </w:rPr>
            </w:pPr>
            <w:r w:rsidRPr="004D4EDD">
              <w:rPr>
                <w:sz w:val="20"/>
                <w:szCs w:val="20"/>
              </w:rPr>
              <w:sym w:font="Wingdings" w:char="F0FC"/>
            </w:r>
          </w:p>
        </w:tc>
        <w:tc>
          <w:tcPr>
            <w:tcW w:w="668" w:type="pct"/>
            <w:hideMark/>
          </w:tcPr>
          <w:p w14:paraId="1257E8F7" w14:textId="77777777" w:rsidR="000E44DE" w:rsidRPr="004D4EDD" w:rsidRDefault="000E44DE" w:rsidP="005941B9">
            <w:pPr>
              <w:pStyle w:val="Tabletext"/>
              <w:ind w:left="0" w:right="0"/>
              <w:jc w:val="center"/>
              <w:rPr>
                <w:sz w:val="20"/>
                <w:szCs w:val="20"/>
                <w:vertAlign w:val="superscript"/>
              </w:rPr>
            </w:pPr>
            <w:r w:rsidRPr="004D4EDD">
              <w:rPr>
                <w:sz w:val="20"/>
                <w:szCs w:val="20"/>
              </w:rPr>
              <w:sym w:font="Wingdings" w:char="F0FC"/>
            </w:r>
            <w:r w:rsidRPr="004D4EDD">
              <w:rPr>
                <w:sz w:val="20"/>
                <w:szCs w:val="20"/>
                <w:vertAlign w:val="superscript"/>
              </w:rPr>
              <w:t>2,3,4</w:t>
            </w:r>
          </w:p>
        </w:tc>
        <w:tc>
          <w:tcPr>
            <w:tcW w:w="520" w:type="pct"/>
            <w:hideMark/>
          </w:tcPr>
          <w:p w14:paraId="5190FF6E" w14:textId="77777777" w:rsidR="000E44DE" w:rsidRPr="004D4EDD" w:rsidRDefault="000E44DE" w:rsidP="005941B9">
            <w:pPr>
              <w:pStyle w:val="Tabletext"/>
              <w:ind w:left="0" w:right="0"/>
              <w:jc w:val="center"/>
              <w:rPr>
                <w:sz w:val="20"/>
                <w:szCs w:val="20"/>
              </w:rPr>
            </w:pPr>
            <w:r w:rsidRPr="004D4EDD">
              <w:rPr>
                <w:sz w:val="20"/>
                <w:szCs w:val="20"/>
              </w:rPr>
              <w:sym w:font="Wingdings" w:char="F0FC"/>
            </w:r>
          </w:p>
        </w:tc>
        <w:tc>
          <w:tcPr>
            <w:tcW w:w="669" w:type="pct"/>
            <w:hideMark/>
          </w:tcPr>
          <w:p w14:paraId="42A4058A" w14:textId="77777777" w:rsidR="000E44DE" w:rsidRPr="004D4EDD" w:rsidRDefault="000E44DE" w:rsidP="005941B9">
            <w:pPr>
              <w:pStyle w:val="Tabletext"/>
              <w:ind w:left="0" w:right="0"/>
              <w:jc w:val="center"/>
              <w:rPr>
                <w:sz w:val="20"/>
                <w:szCs w:val="20"/>
              </w:rPr>
            </w:pPr>
            <w:r w:rsidRPr="004D4EDD">
              <w:rPr>
                <w:sz w:val="20"/>
                <w:szCs w:val="20"/>
              </w:rPr>
              <w:sym w:font="Wingdings" w:char="F0FC"/>
            </w:r>
            <w:r w:rsidRPr="004D4EDD">
              <w:rPr>
                <w:sz w:val="20"/>
                <w:szCs w:val="20"/>
                <w:vertAlign w:val="superscript"/>
              </w:rPr>
              <w:t>3</w:t>
            </w:r>
          </w:p>
        </w:tc>
      </w:tr>
      <w:tr w:rsidR="000E44DE" w:rsidRPr="004D4EDD" w14:paraId="310CCEFB" w14:textId="77777777" w:rsidTr="005941B9">
        <w:trPr>
          <w:trHeight w:val="122"/>
        </w:trPr>
        <w:tc>
          <w:tcPr>
            <w:tcW w:w="680" w:type="pct"/>
            <w:vMerge/>
          </w:tcPr>
          <w:p w14:paraId="13F7903F" w14:textId="77777777" w:rsidR="000E44DE" w:rsidRPr="004D4EDD" w:rsidRDefault="000E44DE" w:rsidP="000E44DE">
            <w:pPr>
              <w:pStyle w:val="Tabletext"/>
              <w:ind w:left="0" w:right="0"/>
              <w:rPr>
                <w:b/>
                <w:sz w:val="20"/>
                <w:szCs w:val="20"/>
              </w:rPr>
            </w:pPr>
          </w:p>
        </w:tc>
        <w:tc>
          <w:tcPr>
            <w:tcW w:w="1947" w:type="pct"/>
          </w:tcPr>
          <w:p w14:paraId="1B658214" w14:textId="77777777" w:rsidR="000E44DE" w:rsidRPr="004D4EDD" w:rsidRDefault="000E44DE" w:rsidP="000E44DE">
            <w:pPr>
              <w:pStyle w:val="Tabletext"/>
              <w:ind w:left="0" w:right="0"/>
              <w:rPr>
                <w:sz w:val="20"/>
                <w:szCs w:val="20"/>
              </w:rPr>
            </w:pPr>
            <w:r w:rsidRPr="004D4EDD">
              <w:rPr>
                <w:sz w:val="20"/>
                <w:szCs w:val="20"/>
              </w:rPr>
              <w:t>Malignancy</w:t>
            </w:r>
          </w:p>
        </w:tc>
        <w:tc>
          <w:tcPr>
            <w:tcW w:w="515" w:type="pct"/>
          </w:tcPr>
          <w:p w14:paraId="203BEDCB" w14:textId="5A9EE470" w:rsidR="000E44DE" w:rsidRPr="004D4EDD" w:rsidRDefault="000E44DE" w:rsidP="005941B9">
            <w:pPr>
              <w:pStyle w:val="Tabletext"/>
              <w:ind w:left="0" w:right="0"/>
              <w:jc w:val="center"/>
              <w:rPr>
                <w:sz w:val="20"/>
                <w:szCs w:val="20"/>
              </w:rPr>
            </w:pPr>
            <w:r w:rsidRPr="004D4EDD">
              <w:rPr>
                <w:sz w:val="20"/>
                <w:szCs w:val="20"/>
              </w:rPr>
              <w:sym w:font="Wingdings" w:char="F0FC"/>
            </w:r>
          </w:p>
        </w:tc>
        <w:tc>
          <w:tcPr>
            <w:tcW w:w="668" w:type="pct"/>
          </w:tcPr>
          <w:p w14:paraId="361E44E3" w14:textId="77777777" w:rsidR="000E44DE" w:rsidRPr="004D4EDD" w:rsidRDefault="000E44DE" w:rsidP="005941B9">
            <w:pPr>
              <w:pStyle w:val="Tabletext"/>
              <w:ind w:left="0" w:right="0"/>
              <w:jc w:val="center"/>
              <w:rPr>
                <w:sz w:val="20"/>
                <w:szCs w:val="20"/>
                <w:vertAlign w:val="superscript"/>
              </w:rPr>
            </w:pPr>
            <w:r w:rsidRPr="004D4EDD">
              <w:rPr>
                <w:sz w:val="20"/>
                <w:szCs w:val="20"/>
              </w:rPr>
              <w:sym w:font="Wingdings" w:char="F0FC"/>
            </w:r>
            <w:r w:rsidRPr="004D4EDD">
              <w:rPr>
                <w:sz w:val="20"/>
                <w:szCs w:val="20"/>
                <w:vertAlign w:val="superscript"/>
              </w:rPr>
              <w:t>2,3,4,5</w:t>
            </w:r>
          </w:p>
        </w:tc>
        <w:tc>
          <w:tcPr>
            <w:tcW w:w="520" w:type="pct"/>
          </w:tcPr>
          <w:p w14:paraId="42457E86" w14:textId="77777777" w:rsidR="000E44DE" w:rsidRPr="004D4EDD" w:rsidRDefault="000E44DE" w:rsidP="005941B9">
            <w:pPr>
              <w:pStyle w:val="Tabletext"/>
              <w:ind w:left="0" w:right="0"/>
              <w:jc w:val="center"/>
              <w:rPr>
                <w:sz w:val="20"/>
                <w:szCs w:val="20"/>
              </w:rPr>
            </w:pPr>
            <w:r w:rsidRPr="004D4EDD">
              <w:rPr>
                <w:sz w:val="20"/>
                <w:szCs w:val="20"/>
              </w:rPr>
              <w:sym w:font="Wingdings" w:char="F0FC"/>
            </w:r>
          </w:p>
        </w:tc>
        <w:tc>
          <w:tcPr>
            <w:tcW w:w="669" w:type="pct"/>
          </w:tcPr>
          <w:p w14:paraId="7F13AE25" w14:textId="77777777" w:rsidR="000E44DE" w:rsidRPr="004D4EDD" w:rsidRDefault="000E44DE" w:rsidP="005941B9">
            <w:pPr>
              <w:pStyle w:val="Tabletext"/>
              <w:ind w:left="0" w:right="0"/>
              <w:jc w:val="center"/>
              <w:rPr>
                <w:sz w:val="20"/>
                <w:szCs w:val="20"/>
              </w:rPr>
            </w:pPr>
            <w:r w:rsidRPr="004D4EDD">
              <w:rPr>
                <w:sz w:val="20"/>
                <w:szCs w:val="20"/>
              </w:rPr>
              <w:sym w:font="Wingdings" w:char="F0FC"/>
            </w:r>
            <w:r w:rsidRPr="004D4EDD">
              <w:rPr>
                <w:sz w:val="20"/>
                <w:szCs w:val="20"/>
                <w:vertAlign w:val="superscript"/>
              </w:rPr>
              <w:t>3</w:t>
            </w:r>
          </w:p>
        </w:tc>
      </w:tr>
      <w:tr w:rsidR="000E44DE" w:rsidRPr="004D4EDD" w14:paraId="3B3BD747" w14:textId="77777777" w:rsidTr="005941B9">
        <w:trPr>
          <w:trHeight w:val="122"/>
        </w:trPr>
        <w:tc>
          <w:tcPr>
            <w:tcW w:w="680" w:type="pct"/>
            <w:vMerge/>
            <w:hideMark/>
          </w:tcPr>
          <w:p w14:paraId="536D51AB" w14:textId="77777777" w:rsidR="000E44DE" w:rsidRPr="004D4EDD" w:rsidRDefault="000E44DE" w:rsidP="000E44DE">
            <w:pPr>
              <w:pStyle w:val="Tabletext"/>
              <w:ind w:left="0" w:right="0"/>
              <w:rPr>
                <w:b/>
                <w:sz w:val="20"/>
                <w:szCs w:val="20"/>
              </w:rPr>
            </w:pPr>
          </w:p>
        </w:tc>
        <w:tc>
          <w:tcPr>
            <w:tcW w:w="1947" w:type="pct"/>
            <w:hideMark/>
          </w:tcPr>
          <w:p w14:paraId="23E2E8D6" w14:textId="0A6B9EFE" w:rsidR="000E44DE" w:rsidRPr="004D4EDD" w:rsidRDefault="000E44DE" w:rsidP="000E44DE">
            <w:pPr>
              <w:pStyle w:val="Tabletext"/>
              <w:ind w:left="0" w:right="0"/>
              <w:rPr>
                <w:sz w:val="20"/>
                <w:szCs w:val="20"/>
              </w:rPr>
            </w:pPr>
            <w:r w:rsidRPr="004D4EDD">
              <w:rPr>
                <w:sz w:val="20"/>
                <w:szCs w:val="20"/>
              </w:rPr>
              <w:t>Posterior reversible encephalopathy syndrome</w:t>
            </w:r>
          </w:p>
        </w:tc>
        <w:tc>
          <w:tcPr>
            <w:tcW w:w="515" w:type="pct"/>
            <w:hideMark/>
          </w:tcPr>
          <w:p w14:paraId="530B19CE" w14:textId="1CAE7628" w:rsidR="000E44DE" w:rsidRPr="004D4EDD" w:rsidRDefault="000E44DE" w:rsidP="005941B9">
            <w:pPr>
              <w:pStyle w:val="Tabletext"/>
              <w:ind w:left="0" w:right="0"/>
              <w:jc w:val="center"/>
              <w:rPr>
                <w:sz w:val="20"/>
                <w:szCs w:val="20"/>
              </w:rPr>
            </w:pPr>
            <w:r w:rsidRPr="004D4EDD">
              <w:rPr>
                <w:sz w:val="20"/>
                <w:szCs w:val="20"/>
              </w:rPr>
              <w:sym w:font="Wingdings" w:char="F0FC"/>
            </w:r>
          </w:p>
        </w:tc>
        <w:tc>
          <w:tcPr>
            <w:tcW w:w="668" w:type="pct"/>
            <w:hideMark/>
          </w:tcPr>
          <w:p w14:paraId="6BE9D949" w14:textId="77777777" w:rsidR="000E44DE" w:rsidRPr="004D4EDD" w:rsidRDefault="000E44DE" w:rsidP="005941B9">
            <w:pPr>
              <w:pStyle w:val="Tabletext"/>
              <w:ind w:left="0" w:right="0"/>
              <w:jc w:val="center"/>
              <w:rPr>
                <w:sz w:val="20"/>
                <w:szCs w:val="20"/>
              </w:rPr>
            </w:pPr>
            <w:r w:rsidRPr="004D4EDD">
              <w:rPr>
                <w:sz w:val="20"/>
                <w:szCs w:val="20"/>
              </w:rPr>
              <w:sym w:font="Wingdings" w:char="F0FC"/>
            </w:r>
            <w:r w:rsidRPr="004D4EDD">
              <w:rPr>
                <w:sz w:val="20"/>
                <w:szCs w:val="20"/>
                <w:vertAlign w:val="superscript"/>
              </w:rPr>
              <w:t>2,3,4</w:t>
            </w:r>
          </w:p>
        </w:tc>
        <w:tc>
          <w:tcPr>
            <w:tcW w:w="520" w:type="pct"/>
            <w:hideMark/>
          </w:tcPr>
          <w:p w14:paraId="0541C37A" w14:textId="77777777" w:rsidR="000E44DE" w:rsidRPr="004D4EDD" w:rsidRDefault="000E44DE" w:rsidP="005941B9">
            <w:pPr>
              <w:pStyle w:val="Tabletext"/>
              <w:ind w:left="0" w:right="0"/>
              <w:jc w:val="center"/>
              <w:rPr>
                <w:sz w:val="20"/>
                <w:szCs w:val="20"/>
              </w:rPr>
            </w:pPr>
            <w:r w:rsidRPr="004D4EDD">
              <w:rPr>
                <w:sz w:val="20"/>
                <w:szCs w:val="20"/>
              </w:rPr>
              <w:sym w:font="Wingdings" w:char="F0FC"/>
            </w:r>
          </w:p>
        </w:tc>
        <w:tc>
          <w:tcPr>
            <w:tcW w:w="669" w:type="pct"/>
            <w:hideMark/>
          </w:tcPr>
          <w:p w14:paraId="46F4DFD5" w14:textId="77777777" w:rsidR="000E44DE" w:rsidRPr="004D4EDD" w:rsidRDefault="000E44DE" w:rsidP="005941B9">
            <w:pPr>
              <w:pStyle w:val="Tabletext"/>
              <w:ind w:left="0" w:right="0"/>
              <w:jc w:val="center"/>
              <w:rPr>
                <w:sz w:val="20"/>
                <w:szCs w:val="20"/>
              </w:rPr>
            </w:pPr>
            <w:r w:rsidRPr="004D4EDD">
              <w:rPr>
                <w:sz w:val="20"/>
                <w:szCs w:val="20"/>
              </w:rPr>
              <w:t>–</w:t>
            </w:r>
          </w:p>
        </w:tc>
      </w:tr>
      <w:tr w:rsidR="000E44DE" w:rsidRPr="004D4EDD" w14:paraId="14F64DF4" w14:textId="77777777" w:rsidTr="005941B9">
        <w:trPr>
          <w:trHeight w:val="122"/>
        </w:trPr>
        <w:tc>
          <w:tcPr>
            <w:tcW w:w="680" w:type="pct"/>
            <w:vMerge/>
            <w:hideMark/>
          </w:tcPr>
          <w:p w14:paraId="01BEA406" w14:textId="77777777" w:rsidR="000E44DE" w:rsidRPr="004D4EDD" w:rsidRDefault="000E44DE" w:rsidP="000E44DE">
            <w:pPr>
              <w:pStyle w:val="Tabletext"/>
              <w:ind w:left="0" w:right="0"/>
              <w:rPr>
                <w:b/>
                <w:sz w:val="20"/>
                <w:szCs w:val="20"/>
              </w:rPr>
            </w:pPr>
          </w:p>
        </w:tc>
        <w:tc>
          <w:tcPr>
            <w:tcW w:w="1947" w:type="pct"/>
            <w:hideMark/>
          </w:tcPr>
          <w:p w14:paraId="09A73CDF" w14:textId="3616A8A5" w:rsidR="000E44DE" w:rsidRPr="004D4EDD" w:rsidRDefault="000E44DE" w:rsidP="000E44DE">
            <w:pPr>
              <w:pStyle w:val="Tabletext"/>
              <w:ind w:left="0" w:right="0"/>
              <w:rPr>
                <w:sz w:val="20"/>
                <w:szCs w:val="20"/>
              </w:rPr>
            </w:pPr>
            <w:r w:rsidRPr="004D4EDD">
              <w:rPr>
                <w:sz w:val="20"/>
                <w:szCs w:val="20"/>
              </w:rPr>
              <w:t>Embryofetal toxicity in exposed pregnant females</w:t>
            </w:r>
          </w:p>
        </w:tc>
        <w:tc>
          <w:tcPr>
            <w:tcW w:w="515" w:type="pct"/>
            <w:hideMark/>
          </w:tcPr>
          <w:p w14:paraId="6FD6DD73" w14:textId="77777777" w:rsidR="000E44DE" w:rsidRPr="004D4EDD" w:rsidRDefault="000E44DE" w:rsidP="005941B9">
            <w:pPr>
              <w:pStyle w:val="Tabletext"/>
              <w:ind w:left="0" w:right="0"/>
              <w:jc w:val="center"/>
              <w:rPr>
                <w:sz w:val="20"/>
                <w:szCs w:val="20"/>
                <w:vertAlign w:val="superscript"/>
              </w:rPr>
            </w:pPr>
            <w:r w:rsidRPr="004D4EDD">
              <w:rPr>
                <w:sz w:val="20"/>
                <w:szCs w:val="20"/>
              </w:rPr>
              <w:sym w:font="Wingdings" w:char="F0FC"/>
            </w:r>
            <w:r w:rsidRPr="004D4EDD">
              <w:rPr>
                <w:sz w:val="20"/>
                <w:szCs w:val="20"/>
                <w:vertAlign w:val="superscript"/>
              </w:rPr>
              <w:t>1</w:t>
            </w:r>
          </w:p>
        </w:tc>
        <w:tc>
          <w:tcPr>
            <w:tcW w:w="668" w:type="pct"/>
            <w:hideMark/>
          </w:tcPr>
          <w:p w14:paraId="20FA7C95" w14:textId="77777777" w:rsidR="000E44DE" w:rsidRPr="004D4EDD" w:rsidRDefault="000E44DE" w:rsidP="005941B9">
            <w:pPr>
              <w:pStyle w:val="Tabletext"/>
              <w:ind w:left="0" w:right="0"/>
              <w:jc w:val="center"/>
              <w:rPr>
                <w:sz w:val="20"/>
                <w:szCs w:val="20"/>
              </w:rPr>
            </w:pPr>
            <w:r w:rsidRPr="004D4EDD">
              <w:rPr>
                <w:sz w:val="20"/>
                <w:szCs w:val="20"/>
              </w:rPr>
              <w:sym w:font="Wingdings" w:char="F0FC"/>
            </w:r>
            <w:r w:rsidRPr="004D4EDD">
              <w:rPr>
                <w:sz w:val="20"/>
                <w:szCs w:val="20"/>
                <w:vertAlign w:val="superscript"/>
              </w:rPr>
              <w:t>2,3,4</w:t>
            </w:r>
          </w:p>
        </w:tc>
        <w:tc>
          <w:tcPr>
            <w:tcW w:w="520" w:type="pct"/>
            <w:hideMark/>
          </w:tcPr>
          <w:p w14:paraId="448A1567" w14:textId="77777777" w:rsidR="000E44DE" w:rsidRPr="004D4EDD" w:rsidRDefault="000E44DE" w:rsidP="005941B9">
            <w:pPr>
              <w:pStyle w:val="Tabletext"/>
              <w:ind w:left="0" w:right="0"/>
              <w:jc w:val="center"/>
              <w:rPr>
                <w:sz w:val="20"/>
                <w:szCs w:val="20"/>
              </w:rPr>
            </w:pPr>
            <w:r w:rsidRPr="004D4EDD">
              <w:rPr>
                <w:sz w:val="20"/>
                <w:szCs w:val="20"/>
              </w:rPr>
              <w:sym w:font="Wingdings" w:char="F0FC"/>
            </w:r>
          </w:p>
        </w:tc>
        <w:tc>
          <w:tcPr>
            <w:tcW w:w="669" w:type="pct"/>
            <w:hideMark/>
          </w:tcPr>
          <w:p w14:paraId="0063EFE1" w14:textId="77777777" w:rsidR="000E44DE" w:rsidRPr="004D4EDD" w:rsidRDefault="000E44DE" w:rsidP="005941B9">
            <w:pPr>
              <w:pStyle w:val="Tabletext"/>
              <w:ind w:left="0" w:right="0"/>
              <w:jc w:val="center"/>
              <w:rPr>
                <w:sz w:val="20"/>
                <w:szCs w:val="20"/>
              </w:rPr>
            </w:pPr>
            <w:r w:rsidRPr="004D4EDD">
              <w:rPr>
                <w:sz w:val="20"/>
                <w:szCs w:val="20"/>
              </w:rPr>
              <w:sym w:font="Wingdings" w:char="F0FC"/>
            </w:r>
            <w:r w:rsidRPr="004D4EDD">
              <w:rPr>
                <w:sz w:val="20"/>
                <w:szCs w:val="20"/>
                <w:vertAlign w:val="superscript"/>
              </w:rPr>
              <w:t>3</w:t>
            </w:r>
          </w:p>
        </w:tc>
      </w:tr>
      <w:tr w:rsidR="000E44DE" w:rsidRPr="004D4EDD" w14:paraId="48F2EDEC" w14:textId="77777777" w:rsidTr="005941B9">
        <w:trPr>
          <w:trHeight w:val="178"/>
        </w:trPr>
        <w:tc>
          <w:tcPr>
            <w:tcW w:w="680" w:type="pct"/>
            <w:vMerge w:val="restart"/>
            <w:hideMark/>
          </w:tcPr>
          <w:p w14:paraId="48193A7F" w14:textId="77777777" w:rsidR="000E44DE" w:rsidRPr="004D4EDD" w:rsidRDefault="000E44DE" w:rsidP="000E44DE">
            <w:pPr>
              <w:pStyle w:val="Tabletext"/>
              <w:ind w:left="0" w:right="0"/>
              <w:rPr>
                <w:b/>
                <w:sz w:val="20"/>
                <w:szCs w:val="20"/>
              </w:rPr>
            </w:pPr>
            <w:r w:rsidRPr="004D4EDD">
              <w:rPr>
                <w:b/>
                <w:sz w:val="20"/>
                <w:szCs w:val="20"/>
              </w:rPr>
              <w:t>Missing information</w:t>
            </w:r>
          </w:p>
        </w:tc>
        <w:tc>
          <w:tcPr>
            <w:tcW w:w="1947" w:type="pct"/>
            <w:hideMark/>
          </w:tcPr>
          <w:p w14:paraId="0AE5EC78" w14:textId="77777777" w:rsidR="000E44DE" w:rsidRPr="004D4EDD" w:rsidRDefault="000E44DE" w:rsidP="000E44DE">
            <w:pPr>
              <w:pStyle w:val="Tabletext"/>
              <w:ind w:left="0" w:right="0"/>
              <w:rPr>
                <w:sz w:val="20"/>
                <w:szCs w:val="20"/>
              </w:rPr>
            </w:pPr>
            <w:r w:rsidRPr="004D4EDD">
              <w:rPr>
                <w:sz w:val="20"/>
                <w:szCs w:val="20"/>
              </w:rPr>
              <w:t>Long term risk of cardiovascular effects</w:t>
            </w:r>
          </w:p>
        </w:tc>
        <w:tc>
          <w:tcPr>
            <w:tcW w:w="515" w:type="pct"/>
            <w:hideMark/>
          </w:tcPr>
          <w:p w14:paraId="31AD647A" w14:textId="77777777" w:rsidR="000E44DE" w:rsidRPr="004D4EDD" w:rsidRDefault="000E44DE" w:rsidP="005941B9">
            <w:pPr>
              <w:pStyle w:val="Tabletext"/>
              <w:ind w:left="0" w:right="0"/>
              <w:jc w:val="center"/>
              <w:rPr>
                <w:sz w:val="20"/>
                <w:szCs w:val="20"/>
              </w:rPr>
            </w:pPr>
            <w:r w:rsidRPr="004D4EDD">
              <w:rPr>
                <w:sz w:val="20"/>
                <w:szCs w:val="20"/>
              </w:rPr>
              <w:sym w:font="Wingdings" w:char="F0FC"/>
            </w:r>
          </w:p>
        </w:tc>
        <w:tc>
          <w:tcPr>
            <w:tcW w:w="668" w:type="pct"/>
            <w:hideMark/>
          </w:tcPr>
          <w:p w14:paraId="63F46E97" w14:textId="77777777" w:rsidR="000E44DE" w:rsidRPr="004D4EDD" w:rsidRDefault="000E44DE" w:rsidP="005941B9">
            <w:pPr>
              <w:pStyle w:val="Tabletext"/>
              <w:ind w:left="0" w:right="0"/>
              <w:jc w:val="center"/>
              <w:rPr>
                <w:sz w:val="20"/>
                <w:szCs w:val="20"/>
              </w:rPr>
            </w:pPr>
            <w:r w:rsidRPr="004D4EDD">
              <w:rPr>
                <w:sz w:val="20"/>
                <w:szCs w:val="20"/>
              </w:rPr>
              <w:sym w:font="Wingdings" w:char="F0FC"/>
            </w:r>
            <w:r w:rsidRPr="004D4EDD">
              <w:rPr>
                <w:sz w:val="20"/>
                <w:szCs w:val="20"/>
                <w:vertAlign w:val="superscript"/>
              </w:rPr>
              <w:t>2,3,4</w:t>
            </w:r>
          </w:p>
        </w:tc>
        <w:tc>
          <w:tcPr>
            <w:tcW w:w="520" w:type="pct"/>
            <w:hideMark/>
          </w:tcPr>
          <w:p w14:paraId="334381A1" w14:textId="77777777" w:rsidR="000E44DE" w:rsidRPr="004D4EDD" w:rsidRDefault="000E44DE" w:rsidP="005941B9">
            <w:pPr>
              <w:pStyle w:val="Tabletext"/>
              <w:ind w:left="0" w:right="0"/>
              <w:jc w:val="center"/>
              <w:rPr>
                <w:sz w:val="20"/>
                <w:szCs w:val="20"/>
              </w:rPr>
            </w:pPr>
            <w:r w:rsidRPr="004D4EDD">
              <w:rPr>
                <w:sz w:val="20"/>
                <w:szCs w:val="20"/>
              </w:rPr>
              <w:t>–</w:t>
            </w:r>
          </w:p>
        </w:tc>
        <w:tc>
          <w:tcPr>
            <w:tcW w:w="669" w:type="pct"/>
            <w:hideMark/>
          </w:tcPr>
          <w:p w14:paraId="3FD0D11C" w14:textId="77777777" w:rsidR="000E44DE" w:rsidRPr="004D4EDD" w:rsidRDefault="000E44DE" w:rsidP="005941B9">
            <w:pPr>
              <w:pStyle w:val="Tabletext"/>
              <w:ind w:left="0" w:right="0"/>
              <w:jc w:val="center"/>
              <w:rPr>
                <w:sz w:val="20"/>
                <w:szCs w:val="20"/>
              </w:rPr>
            </w:pPr>
            <w:r w:rsidRPr="004D4EDD">
              <w:rPr>
                <w:sz w:val="20"/>
                <w:szCs w:val="20"/>
              </w:rPr>
              <w:t>–</w:t>
            </w:r>
          </w:p>
        </w:tc>
      </w:tr>
      <w:tr w:rsidR="000E44DE" w:rsidRPr="004D4EDD" w14:paraId="68268F1B" w14:textId="77777777" w:rsidTr="005941B9">
        <w:trPr>
          <w:trHeight w:val="140"/>
        </w:trPr>
        <w:tc>
          <w:tcPr>
            <w:tcW w:w="680" w:type="pct"/>
            <w:vMerge/>
            <w:hideMark/>
          </w:tcPr>
          <w:p w14:paraId="2A9E4CE7" w14:textId="77777777" w:rsidR="000E44DE" w:rsidRPr="004D4EDD" w:rsidRDefault="000E44DE" w:rsidP="000E44DE">
            <w:pPr>
              <w:pStyle w:val="Tabletext"/>
              <w:ind w:left="0" w:right="0"/>
              <w:rPr>
                <w:sz w:val="20"/>
                <w:szCs w:val="20"/>
              </w:rPr>
            </w:pPr>
          </w:p>
        </w:tc>
        <w:tc>
          <w:tcPr>
            <w:tcW w:w="1947" w:type="pct"/>
            <w:hideMark/>
          </w:tcPr>
          <w:p w14:paraId="15F90F6A" w14:textId="77777777" w:rsidR="000E44DE" w:rsidRPr="004D4EDD" w:rsidRDefault="000E44DE" w:rsidP="000E44DE">
            <w:pPr>
              <w:pStyle w:val="Tabletext"/>
              <w:ind w:left="0" w:right="0"/>
              <w:rPr>
                <w:sz w:val="20"/>
                <w:szCs w:val="20"/>
              </w:rPr>
            </w:pPr>
            <w:r w:rsidRPr="004D4EDD">
              <w:rPr>
                <w:sz w:val="20"/>
                <w:szCs w:val="20"/>
              </w:rPr>
              <w:t>Effects following withdrawal of drug</w:t>
            </w:r>
          </w:p>
        </w:tc>
        <w:tc>
          <w:tcPr>
            <w:tcW w:w="515" w:type="pct"/>
            <w:hideMark/>
          </w:tcPr>
          <w:p w14:paraId="0ED112A7" w14:textId="77777777" w:rsidR="000E44DE" w:rsidRPr="004D4EDD" w:rsidRDefault="000E44DE" w:rsidP="005941B9">
            <w:pPr>
              <w:pStyle w:val="Tabletext"/>
              <w:ind w:left="0" w:right="0"/>
              <w:jc w:val="center"/>
              <w:rPr>
                <w:sz w:val="20"/>
                <w:szCs w:val="20"/>
              </w:rPr>
            </w:pPr>
            <w:r w:rsidRPr="004D4EDD">
              <w:rPr>
                <w:sz w:val="20"/>
                <w:szCs w:val="20"/>
              </w:rPr>
              <w:sym w:font="Wingdings" w:char="F0FC"/>
            </w:r>
          </w:p>
        </w:tc>
        <w:tc>
          <w:tcPr>
            <w:tcW w:w="668" w:type="pct"/>
            <w:hideMark/>
          </w:tcPr>
          <w:p w14:paraId="05C54C8A" w14:textId="77777777" w:rsidR="000E44DE" w:rsidRPr="004D4EDD" w:rsidRDefault="000E44DE" w:rsidP="005941B9">
            <w:pPr>
              <w:pStyle w:val="Tabletext"/>
              <w:ind w:left="0" w:right="0"/>
              <w:jc w:val="center"/>
              <w:rPr>
                <w:sz w:val="20"/>
                <w:szCs w:val="20"/>
              </w:rPr>
            </w:pPr>
            <w:r w:rsidRPr="004D4EDD">
              <w:rPr>
                <w:sz w:val="20"/>
                <w:szCs w:val="20"/>
              </w:rPr>
              <w:sym w:font="Wingdings" w:char="F0FC"/>
            </w:r>
            <w:r w:rsidRPr="004D4EDD">
              <w:rPr>
                <w:sz w:val="20"/>
                <w:szCs w:val="20"/>
                <w:vertAlign w:val="superscript"/>
              </w:rPr>
              <w:t>2,3,4</w:t>
            </w:r>
          </w:p>
        </w:tc>
        <w:tc>
          <w:tcPr>
            <w:tcW w:w="520" w:type="pct"/>
            <w:hideMark/>
          </w:tcPr>
          <w:p w14:paraId="7D1602A0" w14:textId="77777777" w:rsidR="000E44DE" w:rsidRPr="004D4EDD" w:rsidRDefault="000E44DE" w:rsidP="005941B9">
            <w:pPr>
              <w:pStyle w:val="Tabletext"/>
              <w:ind w:left="0" w:right="0"/>
              <w:jc w:val="center"/>
              <w:rPr>
                <w:sz w:val="20"/>
                <w:szCs w:val="20"/>
              </w:rPr>
            </w:pPr>
            <w:r w:rsidRPr="004D4EDD">
              <w:rPr>
                <w:sz w:val="20"/>
                <w:szCs w:val="20"/>
              </w:rPr>
              <w:sym w:font="Wingdings" w:char="F0FC"/>
            </w:r>
          </w:p>
        </w:tc>
        <w:tc>
          <w:tcPr>
            <w:tcW w:w="669" w:type="pct"/>
            <w:hideMark/>
          </w:tcPr>
          <w:p w14:paraId="506FB2AE" w14:textId="77777777" w:rsidR="000E44DE" w:rsidRPr="004D4EDD" w:rsidRDefault="000E44DE" w:rsidP="005941B9">
            <w:pPr>
              <w:pStyle w:val="Tabletext"/>
              <w:ind w:left="0" w:right="0"/>
              <w:jc w:val="center"/>
              <w:rPr>
                <w:sz w:val="20"/>
                <w:szCs w:val="20"/>
              </w:rPr>
            </w:pPr>
            <w:r w:rsidRPr="004D4EDD">
              <w:rPr>
                <w:sz w:val="20"/>
                <w:szCs w:val="20"/>
              </w:rPr>
              <w:t>–</w:t>
            </w:r>
          </w:p>
        </w:tc>
      </w:tr>
      <w:tr w:rsidR="000E44DE" w:rsidRPr="004D4EDD" w14:paraId="54B9FA9F" w14:textId="77777777" w:rsidTr="005941B9">
        <w:trPr>
          <w:trHeight w:val="140"/>
        </w:trPr>
        <w:tc>
          <w:tcPr>
            <w:tcW w:w="680" w:type="pct"/>
            <w:vMerge/>
            <w:hideMark/>
          </w:tcPr>
          <w:p w14:paraId="2A4CED1B" w14:textId="77777777" w:rsidR="000E44DE" w:rsidRPr="004D4EDD" w:rsidRDefault="000E44DE" w:rsidP="000E44DE">
            <w:pPr>
              <w:pStyle w:val="Tabletext"/>
              <w:ind w:left="0" w:right="0"/>
              <w:rPr>
                <w:sz w:val="20"/>
                <w:szCs w:val="20"/>
              </w:rPr>
            </w:pPr>
          </w:p>
        </w:tc>
        <w:tc>
          <w:tcPr>
            <w:tcW w:w="1947" w:type="pct"/>
            <w:hideMark/>
          </w:tcPr>
          <w:p w14:paraId="6430E6AB" w14:textId="77777777" w:rsidR="000E44DE" w:rsidRPr="004D4EDD" w:rsidRDefault="000E44DE" w:rsidP="000E44DE">
            <w:pPr>
              <w:pStyle w:val="Tabletext"/>
              <w:ind w:left="0" w:right="0"/>
              <w:rPr>
                <w:sz w:val="20"/>
                <w:szCs w:val="20"/>
                <w:vertAlign w:val="superscript"/>
              </w:rPr>
            </w:pPr>
            <w:r w:rsidRPr="004D4EDD">
              <w:rPr>
                <w:sz w:val="20"/>
                <w:szCs w:val="20"/>
              </w:rPr>
              <w:t>Use in patients over 65 years</w:t>
            </w:r>
          </w:p>
        </w:tc>
        <w:tc>
          <w:tcPr>
            <w:tcW w:w="515" w:type="pct"/>
            <w:hideMark/>
          </w:tcPr>
          <w:p w14:paraId="430E215C" w14:textId="77777777" w:rsidR="000E44DE" w:rsidRPr="004D4EDD" w:rsidRDefault="000E44DE" w:rsidP="005941B9">
            <w:pPr>
              <w:pStyle w:val="Tabletext"/>
              <w:ind w:left="0" w:right="0"/>
              <w:jc w:val="center"/>
              <w:rPr>
                <w:sz w:val="20"/>
                <w:szCs w:val="20"/>
              </w:rPr>
            </w:pPr>
            <w:r w:rsidRPr="004D4EDD">
              <w:rPr>
                <w:sz w:val="20"/>
                <w:szCs w:val="20"/>
              </w:rPr>
              <w:sym w:font="Wingdings" w:char="F0FC"/>
            </w:r>
          </w:p>
        </w:tc>
        <w:tc>
          <w:tcPr>
            <w:tcW w:w="668" w:type="pct"/>
            <w:hideMark/>
          </w:tcPr>
          <w:p w14:paraId="1022AE33" w14:textId="77777777" w:rsidR="000E44DE" w:rsidRPr="004D4EDD" w:rsidRDefault="000E44DE" w:rsidP="005941B9">
            <w:pPr>
              <w:pStyle w:val="Tabletext"/>
              <w:ind w:left="0" w:right="0"/>
              <w:jc w:val="center"/>
              <w:rPr>
                <w:sz w:val="20"/>
                <w:szCs w:val="20"/>
              </w:rPr>
            </w:pPr>
            <w:r w:rsidRPr="004D4EDD">
              <w:rPr>
                <w:sz w:val="20"/>
                <w:szCs w:val="20"/>
              </w:rPr>
              <w:sym w:font="Wingdings" w:char="F0FC"/>
            </w:r>
            <w:r w:rsidRPr="004D4EDD">
              <w:rPr>
                <w:sz w:val="20"/>
                <w:szCs w:val="20"/>
                <w:vertAlign w:val="superscript"/>
              </w:rPr>
              <w:t>2,3,4</w:t>
            </w:r>
          </w:p>
        </w:tc>
        <w:tc>
          <w:tcPr>
            <w:tcW w:w="520" w:type="pct"/>
            <w:hideMark/>
          </w:tcPr>
          <w:p w14:paraId="1D81A3F6" w14:textId="77777777" w:rsidR="000E44DE" w:rsidRPr="004D4EDD" w:rsidRDefault="000E44DE" w:rsidP="005941B9">
            <w:pPr>
              <w:pStyle w:val="Tabletext"/>
              <w:ind w:left="0" w:right="0"/>
              <w:jc w:val="center"/>
              <w:rPr>
                <w:sz w:val="20"/>
                <w:szCs w:val="20"/>
              </w:rPr>
            </w:pPr>
            <w:r w:rsidRPr="004D4EDD">
              <w:rPr>
                <w:sz w:val="20"/>
                <w:szCs w:val="20"/>
              </w:rPr>
              <w:sym w:font="Wingdings" w:char="F0FC"/>
            </w:r>
          </w:p>
        </w:tc>
        <w:tc>
          <w:tcPr>
            <w:tcW w:w="669" w:type="pct"/>
            <w:hideMark/>
          </w:tcPr>
          <w:p w14:paraId="117BC825" w14:textId="77777777" w:rsidR="000E44DE" w:rsidRPr="004D4EDD" w:rsidRDefault="000E44DE" w:rsidP="005941B9">
            <w:pPr>
              <w:pStyle w:val="Tabletext"/>
              <w:ind w:left="0" w:right="0"/>
              <w:jc w:val="center"/>
              <w:rPr>
                <w:sz w:val="20"/>
                <w:szCs w:val="20"/>
              </w:rPr>
            </w:pPr>
            <w:r w:rsidRPr="004D4EDD">
              <w:rPr>
                <w:sz w:val="20"/>
                <w:szCs w:val="20"/>
              </w:rPr>
              <w:t>–</w:t>
            </w:r>
          </w:p>
        </w:tc>
      </w:tr>
    </w:tbl>
    <w:bookmarkEnd w:id="60"/>
    <w:p w14:paraId="7DD09507" w14:textId="41CED2FF" w:rsidR="000E44DE" w:rsidRPr="004D4EDD" w:rsidRDefault="000E44DE" w:rsidP="00703839">
      <w:pPr>
        <w:pStyle w:val="TableDescription"/>
      </w:pPr>
      <w:proofErr w:type="spellStart"/>
      <w:proofErr w:type="gramStart"/>
      <w:r w:rsidRPr="004D4EDD">
        <w:t>a</w:t>
      </w:r>
      <w:proofErr w:type="spellEnd"/>
      <w:proofErr w:type="gramEnd"/>
      <w:r w:rsidRPr="004D4EDD">
        <w:t xml:space="preserve"> Additional studies listed are not powered to assess </w:t>
      </w:r>
      <w:r w:rsidR="00FB0FA8" w:rsidRPr="004D4EDD">
        <w:t>leukoencephalopathy</w:t>
      </w:r>
      <w:r w:rsidRPr="004D4EDD">
        <w:t xml:space="preserve"> but will provide safety information in conjunction with enhanced pharmacovigilance. </w:t>
      </w:r>
    </w:p>
    <w:p w14:paraId="45F223A1" w14:textId="77777777" w:rsidR="000E44DE" w:rsidRPr="004D4EDD" w:rsidRDefault="000E44DE" w:rsidP="00703839">
      <w:pPr>
        <w:pStyle w:val="TableDescription"/>
      </w:pPr>
      <w:r w:rsidRPr="004D4EDD">
        <w:t>1 Follow-up questionnaire</w:t>
      </w:r>
    </w:p>
    <w:p w14:paraId="754DBB84" w14:textId="1FA6F579" w:rsidR="000E44DE" w:rsidRPr="004D4EDD" w:rsidRDefault="000E44DE" w:rsidP="00703839">
      <w:pPr>
        <w:pStyle w:val="TableDescription"/>
      </w:pPr>
      <w:r w:rsidRPr="004D4EDD">
        <w:lastRenderedPageBreak/>
        <w:t xml:space="preserve">2 </w:t>
      </w:r>
      <w:r w:rsidR="00FB0FA8" w:rsidRPr="004D4EDD">
        <w:t xml:space="preserve">the </w:t>
      </w:r>
      <w:r w:rsidRPr="004D4EDD">
        <w:t xml:space="preserve">ORION </w:t>
      </w:r>
      <w:r w:rsidR="00FB0FA8" w:rsidRPr="004D4EDD">
        <w:t>trial</w:t>
      </w:r>
      <w:r w:rsidRPr="004D4EDD">
        <w:t xml:space="preserve"> (</w:t>
      </w:r>
      <w:r w:rsidR="00265C8D" w:rsidRPr="004D4EDD">
        <w:t>multiple sclerosis</w:t>
      </w:r>
      <w:r w:rsidRPr="004D4EDD">
        <w:t>)</w:t>
      </w:r>
    </w:p>
    <w:p w14:paraId="421FA399" w14:textId="512C90CE" w:rsidR="000E44DE" w:rsidRPr="004D4EDD" w:rsidRDefault="000E44DE" w:rsidP="00703839">
      <w:pPr>
        <w:pStyle w:val="TableDescription"/>
      </w:pPr>
      <w:r w:rsidRPr="004D4EDD">
        <w:t xml:space="preserve">3 </w:t>
      </w:r>
      <w:bookmarkStart w:id="61" w:name="_Hlk81318619"/>
      <w:r w:rsidRPr="004D4EDD">
        <w:t>Study RPC01-3102 (</w:t>
      </w:r>
      <w:r w:rsidR="00301384" w:rsidRPr="004D4EDD">
        <w:t>ulcerative colitis</w:t>
      </w:r>
      <w:r w:rsidRPr="004D4EDD">
        <w:t>)</w:t>
      </w:r>
      <w:bookmarkEnd w:id="61"/>
    </w:p>
    <w:p w14:paraId="52D40D1B" w14:textId="6929E71F" w:rsidR="000E44DE" w:rsidRPr="004D4EDD" w:rsidRDefault="000E44DE" w:rsidP="00703839">
      <w:pPr>
        <w:pStyle w:val="TableDescription"/>
      </w:pPr>
      <w:r w:rsidRPr="004D4EDD">
        <w:t>4 Long-term follow-up of Study RPC01-3001 (</w:t>
      </w:r>
      <w:r w:rsidR="00265C8D" w:rsidRPr="004D4EDD">
        <w:t>multiple sclerosis</w:t>
      </w:r>
      <w:r w:rsidRPr="004D4EDD">
        <w:t>)</w:t>
      </w:r>
    </w:p>
    <w:p w14:paraId="2C07AD8F" w14:textId="6F7DD395" w:rsidR="000E44DE" w:rsidRPr="004D4EDD" w:rsidRDefault="000E44DE" w:rsidP="00703839">
      <w:pPr>
        <w:pStyle w:val="TableDescription"/>
      </w:pPr>
      <w:r w:rsidRPr="004D4EDD">
        <w:t xml:space="preserve">5 </w:t>
      </w:r>
      <w:r w:rsidR="00301384" w:rsidRPr="004D4EDD">
        <w:t>ulcerative colitis</w:t>
      </w:r>
      <w:r w:rsidRPr="004D4EDD">
        <w:t xml:space="preserve"> </w:t>
      </w:r>
      <w:r w:rsidR="00FB0FA8" w:rsidRPr="004D4EDD">
        <w:t>post-authorisation safety study (</w:t>
      </w:r>
      <w:r w:rsidRPr="004D4EDD">
        <w:t>PASS</w:t>
      </w:r>
      <w:r w:rsidR="00FB0FA8" w:rsidRPr="004D4EDD">
        <w:t>)</w:t>
      </w:r>
    </w:p>
    <w:p w14:paraId="3D9A1E3E" w14:textId="605C973B" w:rsidR="000E44DE" w:rsidRPr="004D4EDD" w:rsidRDefault="000E44DE" w:rsidP="00703839">
      <w:pPr>
        <w:pStyle w:val="TableDescription"/>
      </w:pPr>
      <w:r w:rsidRPr="004D4EDD">
        <w:t xml:space="preserve">3 </w:t>
      </w:r>
      <w:r w:rsidR="00FB0FA8" w:rsidRPr="004D4EDD">
        <w:t xml:space="preserve">Healthcare practitioner </w:t>
      </w:r>
      <w:r w:rsidRPr="004D4EDD">
        <w:t xml:space="preserve">checklist and </w:t>
      </w:r>
      <w:r w:rsidR="00FB0FA8" w:rsidRPr="004D4EDD">
        <w:t>p</w:t>
      </w:r>
      <w:r w:rsidRPr="004D4EDD">
        <w:t>atient/caregiver guide</w:t>
      </w:r>
    </w:p>
    <w:p w14:paraId="41695D31" w14:textId="117CF7AE" w:rsidR="000E44DE" w:rsidRPr="004D4EDD" w:rsidRDefault="000E44DE" w:rsidP="000E44DE">
      <w:pPr>
        <w:pStyle w:val="ListBullet"/>
      </w:pPr>
      <w:r w:rsidRPr="004D4EDD">
        <w:t xml:space="preserve">The summary of safety concerns </w:t>
      </w:r>
      <w:proofErr w:type="gramStart"/>
      <w:r w:rsidRPr="004D4EDD">
        <w:t>are</w:t>
      </w:r>
      <w:proofErr w:type="gramEnd"/>
      <w:r w:rsidRPr="004D4EDD">
        <w:t xml:space="preserve"> the same as for the existing </w:t>
      </w:r>
      <w:r w:rsidR="00265C8D" w:rsidRPr="004D4EDD">
        <w:t>multiple sclerosis</w:t>
      </w:r>
      <w:r w:rsidRPr="004D4EDD">
        <w:t xml:space="preserve"> indication and there are no differences between EU-RMP and ASA concerns. Since the time of last RMP evaluation sponsor has updated a safety concern for the missing information; ‘</w:t>
      </w:r>
      <w:r w:rsidR="00FB0FA8" w:rsidRPr="004D4EDD">
        <w:t>u</w:t>
      </w:r>
      <w:r w:rsidRPr="004D4EDD">
        <w:t xml:space="preserve">se in patients aged over 55 years’ to ‘use in patients aged over 65 years’ to reflect results of </w:t>
      </w:r>
      <w:r w:rsidR="00301384" w:rsidRPr="004D4EDD">
        <w:t>ulcerative colitis</w:t>
      </w:r>
      <w:r w:rsidRPr="004D4EDD">
        <w:t xml:space="preserve"> study findings in elderly cohort. No Australia specific safety concerns are proposed. From an RMP perspective, the summary of safety concerns is acceptable.</w:t>
      </w:r>
    </w:p>
    <w:p w14:paraId="022908A8" w14:textId="016A5F7B" w:rsidR="000E44DE" w:rsidRPr="004D4EDD" w:rsidRDefault="000E44DE" w:rsidP="000E44DE">
      <w:pPr>
        <w:pStyle w:val="ListBullet"/>
      </w:pPr>
      <w:r w:rsidRPr="004D4EDD">
        <w:t xml:space="preserve">The sponsor has proposed routine pharmacovigilance activities for all safety concerns, including continued use of follow-up forms for </w:t>
      </w:r>
      <w:r w:rsidR="00FB0FA8" w:rsidRPr="004D4EDD">
        <w:t>leukoencephalopathy</w:t>
      </w:r>
      <w:r w:rsidRPr="004D4EDD">
        <w:t xml:space="preserve"> and pregnancy in </w:t>
      </w:r>
      <w:r w:rsidR="00301384" w:rsidRPr="004D4EDD">
        <w:t>ulcerative colitis</w:t>
      </w:r>
      <w:r w:rsidRPr="004D4EDD">
        <w:t xml:space="preserve"> patient cohort. The sponsor has advised that core questions will be tailored on a case-by-case basis when investigating follow-up information for several safety concerns. The sponsor has proposed a PASS and an ongoing clinical Study</w:t>
      </w:r>
      <w:r w:rsidR="00FB0FA8" w:rsidRPr="004D4EDD">
        <w:t> </w:t>
      </w:r>
      <w:r w:rsidRPr="004D4EDD">
        <w:t>RPC01-3102 (</w:t>
      </w:r>
      <w:r w:rsidR="00301384" w:rsidRPr="004D4EDD">
        <w:t>ulcerative colitis</w:t>
      </w:r>
      <w:r w:rsidRPr="004D4EDD">
        <w:t xml:space="preserve">) as additional pharmacovigilance activities to address all safety concerns for </w:t>
      </w:r>
      <w:r w:rsidR="00301384" w:rsidRPr="004D4EDD">
        <w:t>ulcerative colitis</w:t>
      </w:r>
      <w:r w:rsidRPr="004D4EDD">
        <w:t xml:space="preserve"> indication. From an RMP perspective, the proposed pharmacovigilance plan is acceptable.</w:t>
      </w:r>
    </w:p>
    <w:p w14:paraId="56F5E46C" w14:textId="31A2CAC8" w:rsidR="0074163C" w:rsidRPr="004D4EDD" w:rsidRDefault="000E44DE" w:rsidP="000E44DE">
      <w:pPr>
        <w:pStyle w:val="ListBullet"/>
      </w:pPr>
      <w:r w:rsidRPr="004D4EDD">
        <w:t xml:space="preserve">The sponsor has proposed routine risk minimisation activities for </w:t>
      </w:r>
      <w:proofErr w:type="gramStart"/>
      <w:r w:rsidRPr="004D4EDD">
        <w:t>the majority of</w:t>
      </w:r>
      <w:proofErr w:type="gramEnd"/>
      <w:r w:rsidRPr="004D4EDD">
        <w:t xml:space="preserve"> safety concerns. The sponsor has proposed a </w:t>
      </w:r>
      <w:r w:rsidR="00FB0FA8" w:rsidRPr="004D4EDD">
        <w:t>healthcare practitioner</w:t>
      </w:r>
      <w:r w:rsidRPr="004D4EDD">
        <w:t xml:space="preserve"> checklist and patient/caregiver guide as additional risk minimisation activities to address all important risks, with exception of </w:t>
      </w:r>
      <w:r w:rsidR="00FB0FA8" w:rsidRPr="004D4EDD">
        <w:t>posterior reversible encephalopathy syndrome</w:t>
      </w:r>
      <w:r w:rsidRPr="004D4EDD">
        <w:t xml:space="preserve"> which is addressed by routine measures alone. The activities are in line with other S1P receptor modulators and the existing </w:t>
      </w:r>
      <w:r w:rsidR="00265C8D" w:rsidRPr="004D4EDD">
        <w:t>multiple sclerosis</w:t>
      </w:r>
      <w:r w:rsidRPr="004D4EDD">
        <w:t xml:space="preserve"> indication of Zeposia. Proposed activities are considered a requirement of Zeposia for </w:t>
      </w:r>
      <w:r w:rsidR="00301384" w:rsidRPr="004D4EDD">
        <w:t>ulcerative colitis</w:t>
      </w:r>
      <w:r w:rsidRPr="004D4EDD">
        <w:t xml:space="preserve"> indication as there will be a different prescriber population and patient cohort. Prescribers in both Australia and Europe for </w:t>
      </w:r>
      <w:r w:rsidR="00265C8D" w:rsidRPr="004D4EDD">
        <w:t>multiple sclerosis</w:t>
      </w:r>
      <w:r w:rsidRPr="004D4EDD">
        <w:t xml:space="preserve"> treatments (including ozanimod) are neurologists and for </w:t>
      </w:r>
      <w:r w:rsidR="00301384" w:rsidRPr="004D4EDD">
        <w:t>ulcerative colitis</w:t>
      </w:r>
      <w:r w:rsidRPr="004D4EDD">
        <w:t xml:space="preserve"> therapies (including ozanimod) are specialist gastroenterologists. From an RMP perspective, the proposed pharmacovigilance plan is considered acceptable overall.</w:t>
      </w:r>
    </w:p>
    <w:p w14:paraId="3AD0F361" w14:textId="77777777" w:rsidR="008E7846" w:rsidRPr="004D4EDD" w:rsidRDefault="00AA0ED0" w:rsidP="008E7846">
      <w:pPr>
        <w:pStyle w:val="Heading3"/>
      </w:pPr>
      <w:bookmarkStart w:id="62" w:name="_Toc113536197"/>
      <w:r w:rsidRPr="004D4EDD">
        <w:t>Risk-benefit a</w:t>
      </w:r>
      <w:r w:rsidR="008E7846" w:rsidRPr="004D4EDD">
        <w:t>nalysis</w:t>
      </w:r>
      <w:bookmarkEnd w:id="55"/>
      <w:bookmarkEnd w:id="56"/>
      <w:bookmarkEnd w:id="62"/>
    </w:p>
    <w:p w14:paraId="7D159E89" w14:textId="77777777" w:rsidR="0074163C" w:rsidRPr="004D4EDD" w:rsidRDefault="0074163C" w:rsidP="0074163C">
      <w:pPr>
        <w:pStyle w:val="Heading4"/>
      </w:pPr>
      <w:bookmarkStart w:id="63" w:name="_Toc98931932"/>
      <w:r w:rsidRPr="004D4EDD">
        <w:t>Delegate’s considerations</w:t>
      </w:r>
      <w:bookmarkEnd w:id="63"/>
    </w:p>
    <w:p w14:paraId="3A9AB2A1" w14:textId="51C58568" w:rsidR="001551AA" w:rsidRPr="004D4EDD" w:rsidRDefault="001551AA" w:rsidP="001551AA">
      <w:r w:rsidRPr="004D4EDD">
        <w:t>The clinical evaluat</w:t>
      </w:r>
      <w:r w:rsidR="0030630C" w:rsidRPr="004D4EDD">
        <w:t>ion</w:t>
      </w:r>
      <w:r w:rsidRPr="004D4EDD">
        <w:t xml:space="preserve"> concluded that the sponsor had demonstrated the efficacy and safety of ozanimod in the treatment of moderate to severe </w:t>
      </w:r>
      <w:r w:rsidR="00301384" w:rsidRPr="004D4EDD">
        <w:t>ulcerative colitis</w:t>
      </w:r>
      <w:r w:rsidR="00FB0FA8" w:rsidRPr="004D4EDD">
        <w:t>,</w:t>
      </w:r>
      <w:r w:rsidRPr="004D4EDD">
        <w:rPr>
          <w:vertAlign w:val="superscript"/>
        </w:rPr>
        <w:footnoteReference w:id="24"/>
      </w:r>
      <w:r w:rsidRPr="004D4EDD">
        <w:t xml:space="preserve"> but challenged whether the benefits identified in the population of patients with </w:t>
      </w:r>
      <w:r w:rsidR="00301384" w:rsidRPr="004D4EDD">
        <w:t>ulcerative colitis</w:t>
      </w:r>
      <w:r w:rsidRPr="004D4EDD">
        <w:t xml:space="preserve"> included in the pivotal and supportive studies should be generali</w:t>
      </w:r>
      <w:r w:rsidR="00265C8D" w:rsidRPr="004D4EDD">
        <w:t>s</w:t>
      </w:r>
      <w:r w:rsidRPr="004D4EDD">
        <w:t xml:space="preserve">ed to all patients with moderate to severe </w:t>
      </w:r>
      <w:r w:rsidR="00301384" w:rsidRPr="004D4EDD">
        <w:t>ulcerative colitis</w:t>
      </w:r>
      <w:r w:rsidRPr="004D4EDD">
        <w:t>. One pivotal question was whether study participants</w:t>
      </w:r>
      <w:r w:rsidR="0030630C" w:rsidRPr="004D4EDD">
        <w:t xml:space="preserve">, </w:t>
      </w:r>
      <w:r w:rsidRPr="004D4EDD">
        <w:t xml:space="preserve">who according to the protocol were required to continue with </w:t>
      </w:r>
      <w:r w:rsidR="00DC0E31" w:rsidRPr="004D4EDD">
        <w:t>5</w:t>
      </w:r>
      <w:r w:rsidR="00DC0E31" w:rsidRPr="004D4EDD">
        <w:noBreakHyphen/>
      </w:r>
      <w:r w:rsidR="00427A76" w:rsidRPr="004D4EDD">
        <w:t>aminosalicylate</w:t>
      </w:r>
      <w:r w:rsidR="0030630C" w:rsidRPr="004D4EDD">
        <w:t xml:space="preserve"> agents, or </w:t>
      </w:r>
      <w:r w:rsidRPr="004D4EDD">
        <w:t xml:space="preserve">moderate doses of </w:t>
      </w:r>
      <w:r w:rsidR="0030630C" w:rsidRPr="004D4EDD">
        <w:t xml:space="preserve">either oral </w:t>
      </w:r>
      <w:r w:rsidRPr="004D4EDD">
        <w:t xml:space="preserve">corticosteroids (≤ </w:t>
      </w:r>
      <w:r w:rsidR="0030630C" w:rsidRPr="004D4EDD">
        <w:t xml:space="preserve">prednisone </w:t>
      </w:r>
      <w:r w:rsidRPr="004D4EDD">
        <w:t>20</w:t>
      </w:r>
      <w:r w:rsidR="00265C8D" w:rsidRPr="004D4EDD">
        <w:t> </w:t>
      </w:r>
      <w:r w:rsidRPr="004D4EDD">
        <w:t>mg/day</w:t>
      </w:r>
      <w:r w:rsidR="0030630C" w:rsidRPr="004D4EDD">
        <w:t xml:space="preserve"> or equivalent</w:t>
      </w:r>
      <w:r w:rsidRPr="004D4EDD">
        <w:t xml:space="preserve">) or budesonide </w:t>
      </w:r>
      <w:r w:rsidR="00A20545" w:rsidRPr="004D4EDD">
        <w:t>multi-matrix</w:t>
      </w:r>
      <w:r w:rsidRPr="004D4EDD">
        <w:t xml:space="preserve">, should be considered to </w:t>
      </w:r>
      <w:r w:rsidR="0006054F" w:rsidRPr="004D4EDD">
        <w:t>‘</w:t>
      </w:r>
      <w:r w:rsidRPr="004D4EDD">
        <w:rPr>
          <w:i/>
        </w:rPr>
        <w:t>have had an inadequate response, lost response, or were intolerant to</w:t>
      </w:r>
      <w:r w:rsidR="00B653F5" w:rsidRPr="004D4EDD">
        <w:rPr>
          <w:i/>
        </w:rPr>
        <w:t xml:space="preserve"> </w:t>
      </w:r>
      <w:r w:rsidRPr="004D4EDD">
        <w:rPr>
          <w:i/>
        </w:rPr>
        <w:t>conventional therapy</w:t>
      </w:r>
      <w:r w:rsidR="0006054F" w:rsidRPr="004D4EDD">
        <w:t>’</w:t>
      </w:r>
      <w:r w:rsidRPr="004D4EDD">
        <w:t xml:space="preserve">. The sponsor’s definition of conventional therapy included </w:t>
      </w:r>
      <w:r w:rsidR="0006054F" w:rsidRPr="004D4EDD">
        <w:t>‘</w:t>
      </w:r>
      <w:r w:rsidR="00DC0E31" w:rsidRPr="004D4EDD">
        <w:rPr>
          <w:i/>
        </w:rPr>
        <w:t>5</w:t>
      </w:r>
      <w:r w:rsidR="00DC0E31" w:rsidRPr="004D4EDD">
        <w:rPr>
          <w:i/>
        </w:rPr>
        <w:noBreakHyphen/>
      </w:r>
      <w:r w:rsidR="00A65269" w:rsidRPr="004D4EDD">
        <w:rPr>
          <w:i/>
        </w:rPr>
        <w:t>aminosalicylates</w:t>
      </w:r>
      <w:r w:rsidRPr="004D4EDD">
        <w:rPr>
          <w:i/>
        </w:rPr>
        <w:t>, corticosteroids, immunomodulators</w:t>
      </w:r>
      <w:r w:rsidR="0006054F" w:rsidRPr="004D4EDD">
        <w:t>’</w:t>
      </w:r>
      <w:r w:rsidRPr="004D4EDD">
        <w:t>. Of Cohort 1 patients who were randomi</w:t>
      </w:r>
      <w:r w:rsidR="00265C8D" w:rsidRPr="004D4EDD">
        <w:t>s</w:t>
      </w:r>
      <w:r w:rsidRPr="004D4EDD">
        <w:t xml:space="preserve">ed to ozanimod, </w:t>
      </w:r>
      <w:r w:rsidRPr="004D4EDD">
        <w:lastRenderedPageBreak/>
        <w:t xml:space="preserve">approximately 70% were receiving concomitant mesalazine, approximately 16% were receiving concomitant sulfasalazine, and approximately 33% were receiving concomitant corticosteroids. A proportion may have had concomitant treatment with both </w:t>
      </w:r>
      <w:r w:rsidR="00DC0E31" w:rsidRPr="004D4EDD">
        <w:t>5</w:t>
      </w:r>
      <w:r w:rsidR="00DC0E31" w:rsidRPr="004D4EDD">
        <w:noBreakHyphen/>
      </w:r>
      <w:r w:rsidR="00427A76" w:rsidRPr="004D4EDD">
        <w:t>aminosalicylate</w:t>
      </w:r>
      <w:r w:rsidR="000D2965" w:rsidRPr="004D4EDD">
        <w:t xml:space="preserve"> agents</w:t>
      </w:r>
      <w:r w:rsidRPr="004D4EDD">
        <w:t xml:space="preserve"> and corticosteroid therapies. In pre-defined subgroup analyses corticosteroid</w:t>
      </w:r>
      <w:r w:rsidR="000D2965" w:rsidRPr="004D4EDD">
        <w:t>-</w:t>
      </w:r>
      <w:r w:rsidRPr="004D4EDD">
        <w:t>naïve participants appeared to respond to ozanimod better than those who had been treated with corticosteroids.</w:t>
      </w:r>
    </w:p>
    <w:p w14:paraId="5BC38B4D" w14:textId="5FB5891F" w:rsidR="001551AA" w:rsidRPr="004D4EDD" w:rsidRDefault="001551AA" w:rsidP="001551AA">
      <w:r w:rsidRPr="004D4EDD">
        <w:t xml:space="preserve">The </w:t>
      </w:r>
      <w:r w:rsidR="000D2965" w:rsidRPr="004D4EDD">
        <w:t xml:space="preserve">clinical evaluation </w:t>
      </w:r>
      <w:r w:rsidRPr="004D4EDD">
        <w:t xml:space="preserve">proposed that a </w:t>
      </w:r>
      <w:r w:rsidR="000D2965" w:rsidRPr="004D4EDD">
        <w:t xml:space="preserve">total </w:t>
      </w:r>
      <w:r w:rsidRPr="004D4EDD">
        <w:t>Mayo score</w:t>
      </w:r>
      <w:r w:rsidR="000D2965" w:rsidRPr="004D4EDD">
        <w:t>;</w:t>
      </w:r>
      <w:r w:rsidR="000D2965" w:rsidRPr="004D4EDD">
        <w:rPr>
          <w:vertAlign w:val="superscript"/>
        </w:rPr>
        <w:fldChar w:fldCharType="begin"/>
      </w:r>
      <w:r w:rsidR="000D2965" w:rsidRPr="004D4EDD">
        <w:rPr>
          <w:vertAlign w:val="superscript"/>
        </w:rPr>
        <w:instrText xml:space="preserve"> NOTEREF _Ref112666345 \h  \* MERGEFORMAT </w:instrText>
      </w:r>
      <w:r w:rsidR="000D2965" w:rsidRPr="004D4EDD">
        <w:rPr>
          <w:vertAlign w:val="superscript"/>
        </w:rPr>
      </w:r>
      <w:r w:rsidR="000D2965" w:rsidRPr="004D4EDD">
        <w:rPr>
          <w:vertAlign w:val="superscript"/>
        </w:rPr>
        <w:fldChar w:fldCharType="separate"/>
      </w:r>
      <w:r w:rsidR="004D4EDD">
        <w:rPr>
          <w:vertAlign w:val="superscript"/>
        </w:rPr>
        <w:t>19</w:t>
      </w:r>
      <w:r w:rsidR="000D2965" w:rsidRPr="004D4EDD">
        <w:rPr>
          <w:vertAlign w:val="superscript"/>
        </w:rPr>
        <w:fldChar w:fldCharType="end"/>
      </w:r>
      <w:r w:rsidR="000D2965" w:rsidRPr="004D4EDD">
        <w:t xml:space="preserve"> of </w:t>
      </w:r>
      <w:r w:rsidRPr="004D4EDD">
        <w:t>6</w:t>
      </w:r>
      <w:r w:rsidR="00DC0E31" w:rsidRPr="004D4EDD">
        <w:t xml:space="preserve"> to</w:t>
      </w:r>
      <w:r w:rsidRPr="004D4EDD">
        <w:t xml:space="preserve"> 12 at </w:t>
      </w:r>
      <w:r w:rsidR="00D4390C" w:rsidRPr="004D4EDD">
        <w:t>Baseline</w:t>
      </w:r>
      <w:r w:rsidRPr="004D4EDD">
        <w:t xml:space="preserve"> despite </w:t>
      </w:r>
      <w:r w:rsidR="000D2965" w:rsidRPr="004D4EDD">
        <w:t>5</w:t>
      </w:r>
      <w:r w:rsidR="000D2965" w:rsidRPr="004D4EDD">
        <w:noBreakHyphen/>
      </w:r>
      <w:r w:rsidR="00427A76" w:rsidRPr="004D4EDD">
        <w:t>aminosalicylate</w:t>
      </w:r>
      <w:r w:rsidR="000D2965" w:rsidRPr="004D4EDD">
        <w:t xml:space="preserve"> </w:t>
      </w:r>
      <w:r w:rsidRPr="004D4EDD">
        <w:t xml:space="preserve">or systemic </w:t>
      </w:r>
      <w:r w:rsidR="000D2965" w:rsidRPr="004D4EDD">
        <w:t>cortico</w:t>
      </w:r>
      <w:r w:rsidRPr="004D4EDD">
        <w:t>steroid</w:t>
      </w:r>
      <w:r w:rsidR="000D2965" w:rsidRPr="004D4EDD">
        <w:t xml:space="preserve"> treatment</w:t>
      </w:r>
      <w:r w:rsidRPr="004D4EDD">
        <w:t xml:space="preserve"> confirms either inadequate or lost response to these two conventional modalities of treatment and therefore this should be reflected in the indication, and the </w:t>
      </w:r>
      <w:r w:rsidR="00DC0E31" w:rsidRPr="004D4EDD">
        <w:t>Delegate</w:t>
      </w:r>
      <w:r w:rsidRPr="004D4EDD">
        <w:t xml:space="preserve"> concurs.</w:t>
      </w:r>
    </w:p>
    <w:p w14:paraId="77C3E761" w14:textId="08BCB067" w:rsidR="001551AA" w:rsidRPr="004D4EDD" w:rsidRDefault="001551AA" w:rsidP="001551AA">
      <w:r w:rsidRPr="004D4EDD">
        <w:t xml:space="preserve">The reverse issue then lies with whether a population restriction in the indication should also include failure to respond or intolerance to other </w:t>
      </w:r>
      <w:r w:rsidR="0006054F" w:rsidRPr="004D4EDD">
        <w:t>‘</w:t>
      </w:r>
      <w:r w:rsidRPr="004D4EDD">
        <w:t>conventional</w:t>
      </w:r>
      <w:r w:rsidR="0006054F" w:rsidRPr="004D4EDD">
        <w:t>’</w:t>
      </w:r>
      <w:r w:rsidRPr="004D4EDD">
        <w:t xml:space="preserve"> immunomodulators. The inclusion and exclusion criteria regarding previous and concomitant medications in the ozanimod </w:t>
      </w:r>
      <w:r w:rsidR="00301384" w:rsidRPr="004D4EDD">
        <w:t>ulcerative colitis</w:t>
      </w:r>
      <w:r w:rsidRPr="004D4EDD">
        <w:t xml:space="preserve"> trials are included in</w:t>
      </w:r>
      <w:r w:rsidR="00746C62" w:rsidRPr="004D4EDD">
        <w:t xml:space="preserve"> </w:t>
      </w:r>
      <w:r w:rsidR="00746C62" w:rsidRPr="004D4EDD">
        <w:fldChar w:fldCharType="begin"/>
      </w:r>
      <w:r w:rsidR="00746C62" w:rsidRPr="004D4EDD">
        <w:instrText xml:space="preserve"> REF _Ref113534884 \h </w:instrText>
      </w:r>
      <w:r w:rsidR="004D4EDD">
        <w:instrText xml:space="preserve"> \* MERGEFORMAT </w:instrText>
      </w:r>
      <w:r w:rsidR="00746C62" w:rsidRPr="004D4EDD">
        <w:fldChar w:fldCharType="separate"/>
      </w:r>
      <w:r w:rsidR="004D4EDD" w:rsidRPr="004D4EDD">
        <w:t xml:space="preserve">Table </w:t>
      </w:r>
      <w:r w:rsidR="004D4EDD">
        <w:rPr>
          <w:noProof/>
        </w:rPr>
        <w:t>9</w:t>
      </w:r>
      <w:r w:rsidR="00746C62" w:rsidRPr="004D4EDD">
        <w:fldChar w:fldCharType="end"/>
      </w:r>
      <w:r w:rsidRPr="004D4EDD">
        <w:t xml:space="preserve">. As previously discussed, azathioprine, methotrexate and 6-mercaptopurine have a long history of use in the treatment of </w:t>
      </w:r>
      <w:r w:rsidR="00301384" w:rsidRPr="004D4EDD">
        <w:t>ulcerative colitis</w:t>
      </w:r>
      <w:r w:rsidRPr="004D4EDD">
        <w:t xml:space="preserve"> despite no specific indication. The sponsor argued based on </w:t>
      </w:r>
      <w:r w:rsidRPr="004D4EDD">
        <w:rPr>
          <w:i/>
        </w:rPr>
        <w:t>post hoc</w:t>
      </w:r>
      <w:r w:rsidRPr="004D4EDD">
        <w:t xml:space="preserve"> analyses that 49.0% of participants in the induction phase of the pivotal study were naïve to both conventional immunomodulators and anti-TNF or other biological medicines, and therefore could not be considered to have failed these treatments. In the opinion of the sponsor, a restriction to having failed </w:t>
      </w:r>
      <w:r w:rsidR="0006054F" w:rsidRPr="004D4EDD">
        <w:t>‘</w:t>
      </w:r>
      <w:r w:rsidRPr="004D4EDD">
        <w:t>conventional</w:t>
      </w:r>
      <w:r w:rsidR="0006054F" w:rsidRPr="004D4EDD">
        <w:t>’</w:t>
      </w:r>
      <w:r w:rsidRPr="004D4EDD">
        <w:t xml:space="preserve"> immunotherapies would imply that ozanimod should not be commenced before methotrexate, 6</w:t>
      </w:r>
      <w:r w:rsidR="000D2965" w:rsidRPr="004D4EDD">
        <w:noBreakHyphen/>
      </w:r>
      <w:r w:rsidRPr="004D4EDD">
        <w:t>mercaptopurine or azathioprine have been trialled. The sponsor also contends that as 67.0% of participants in the pivotal induction study were naïve to biological medicines including anti-TNFs and vedolizumab, it would not be correct to require failure of or intolerance to biological therapies prior to trialling ozanimod.</w:t>
      </w:r>
    </w:p>
    <w:p w14:paraId="088DCBC3" w14:textId="6CAAD0CA" w:rsidR="00AA3025" w:rsidRPr="004D4EDD" w:rsidRDefault="00AA3025" w:rsidP="00703839">
      <w:pPr>
        <w:pStyle w:val="TableTitle"/>
      </w:pPr>
      <w:bookmarkStart w:id="64" w:name="_Ref113534884"/>
      <w:r w:rsidRPr="004D4EDD">
        <w:t xml:space="preserve">Table </w:t>
      </w:r>
      <w:r w:rsidR="009C0FB4">
        <w:fldChar w:fldCharType="begin"/>
      </w:r>
      <w:r w:rsidR="009C0FB4">
        <w:instrText xml:space="preserve"> SEQ Tab</w:instrText>
      </w:r>
      <w:r w:rsidR="009C0FB4">
        <w:instrText xml:space="preserve">le \* ARABIC </w:instrText>
      </w:r>
      <w:r w:rsidR="009C0FB4">
        <w:fldChar w:fldCharType="separate"/>
      </w:r>
      <w:r w:rsidR="004D4EDD">
        <w:rPr>
          <w:noProof/>
        </w:rPr>
        <w:t>9</w:t>
      </w:r>
      <w:r w:rsidR="009C0FB4">
        <w:rPr>
          <w:noProof/>
        </w:rPr>
        <w:fldChar w:fldCharType="end"/>
      </w:r>
      <w:bookmarkEnd w:id="64"/>
      <w:r w:rsidRPr="004D4EDD">
        <w:t>: Study RPC01-3101 Summary of key criteria pertaining to prior and/or concomitant ulcerative colitis medication (5-</w:t>
      </w:r>
      <w:r w:rsidR="00A65269" w:rsidRPr="004D4EDD">
        <w:t>aminosalicylates</w:t>
      </w:r>
      <w:r w:rsidRPr="004D4EDD">
        <w:t>, corticosteroids, immunomodulators, and anti-tumour necrosis factors and other biologics)</w:t>
      </w:r>
    </w:p>
    <w:tbl>
      <w:tblPr>
        <w:tblStyle w:val="TableGrid"/>
        <w:tblW w:w="0" w:type="auto"/>
        <w:tblLook w:val="04A0" w:firstRow="1" w:lastRow="0" w:firstColumn="1" w:lastColumn="0" w:noHBand="0" w:noVBand="1"/>
      </w:tblPr>
      <w:tblGrid>
        <w:gridCol w:w="2425"/>
        <w:gridCol w:w="5792"/>
      </w:tblGrid>
      <w:tr w:rsidR="003A34A4" w:rsidRPr="004D4EDD" w14:paraId="689D1F4F" w14:textId="77777777" w:rsidTr="00706FD7">
        <w:tc>
          <w:tcPr>
            <w:tcW w:w="8217" w:type="dxa"/>
            <w:gridSpan w:val="2"/>
          </w:tcPr>
          <w:p w14:paraId="0FF29725" w14:textId="4646F823" w:rsidR="003A34A4" w:rsidRPr="004D4EDD" w:rsidRDefault="003A34A4" w:rsidP="001551AA">
            <w:pPr>
              <w:rPr>
                <w:b/>
              </w:rPr>
            </w:pPr>
            <w:r w:rsidRPr="004D4EDD">
              <w:rPr>
                <w:b/>
              </w:rPr>
              <w:t xml:space="preserve">Biologics / </w:t>
            </w:r>
            <w:r w:rsidR="00AB2D21" w:rsidRPr="004D4EDD">
              <w:rPr>
                <w:b/>
              </w:rPr>
              <w:t>a</w:t>
            </w:r>
            <w:r w:rsidRPr="004D4EDD">
              <w:rPr>
                <w:b/>
              </w:rPr>
              <w:t>nti-TNFs</w:t>
            </w:r>
          </w:p>
        </w:tc>
      </w:tr>
      <w:tr w:rsidR="003A34A4" w:rsidRPr="004D4EDD" w14:paraId="66732D83" w14:textId="77777777" w:rsidTr="00706FD7">
        <w:tc>
          <w:tcPr>
            <w:tcW w:w="8217" w:type="dxa"/>
            <w:gridSpan w:val="2"/>
          </w:tcPr>
          <w:p w14:paraId="74DAE659" w14:textId="380D8F82" w:rsidR="003A34A4" w:rsidRPr="004D4EDD" w:rsidRDefault="003A34A4" w:rsidP="007E1579">
            <w:pPr>
              <w:pStyle w:val="ListBullet"/>
              <w:rPr>
                <w:b/>
                <w:lang w:val="en-GB"/>
              </w:rPr>
            </w:pPr>
            <w:r w:rsidRPr="004D4EDD">
              <w:rPr>
                <w:b/>
                <w:lang w:val="en-GB"/>
              </w:rPr>
              <w:t>Eligibility:</w:t>
            </w:r>
          </w:p>
          <w:p w14:paraId="0CC3E92F" w14:textId="433373E8" w:rsidR="003A34A4" w:rsidRPr="004D4EDD" w:rsidRDefault="003A34A4" w:rsidP="007E1579">
            <w:pPr>
              <w:pStyle w:val="ListBullet2"/>
            </w:pPr>
            <w:r w:rsidRPr="004D4EDD">
              <w:t>Prior therapy allowed</w:t>
            </w:r>
          </w:p>
          <w:p w14:paraId="243890BD" w14:textId="63BB6285" w:rsidR="003A34A4" w:rsidRPr="004D4EDD" w:rsidRDefault="003A34A4" w:rsidP="007E1579">
            <w:pPr>
              <w:pStyle w:val="ListBullet2"/>
            </w:pPr>
            <w:r w:rsidRPr="004D4EDD">
              <w:t>Excluded if:</w:t>
            </w:r>
            <w:r w:rsidR="003463C2" w:rsidRPr="004D4EDD">
              <w:t xml:space="preserve"> </w:t>
            </w:r>
            <w:r w:rsidRPr="004D4EDD">
              <w:t xml:space="preserve">used within 8 weeks or 5 elimination half-lives (whichever is less) prior to randomisation; </w:t>
            </w:r>
            <w:r w:rsidRPr="004D4EDD">
              <w:rPr>
                <w:i/>
              </w:rPr>
              <w:t>or</w:t>
            </w:r>
            <w:r w:rsidR="003463C2" w:rsidRPr="004D4EDD">
              <w:rPr>
                <w:i/>
              </w:rPr>
              <w:t xml:space="preserve"> </w:t>
            </w:r>
            <w:r w:rsidRPr="004D4EDD">
              <w:t xml:space="preserve">if primary </w:t>
            </w:r>
            <w:proofErr w:type="spellStart"/>
            <w:r w:rsidRPr="004D4EDD">
              <w:t>nonresponder</w:t>
            </w:r>
            <w:proofErr w:type="spellEnd"/>
            <w:r w:rsidRPr="004D4EDD">
              <w:t xml:space="preserve"> to 2 or more biologic agents approved for the treatments of </w:t>
            </w:r>
            <w:r w:rsidR="003463C2" w:rsidRPr="004D4EDD">
              <w:t>ulcerative colitis</w:t>
            </w:r>
          </w:p>
          <w:p w14:paraId="29157AA1" w14:textId="3BAAC7EC" w:rsidR="003A34A4" w:rsidRPr="004D4EDD" w:rsidRDefault="003A34A4" w:rsidP="007E1579">
            <w:pPr>
              <w:pStyle w:val="ListBullet2"/>
            </w:pPr>
            <w:r w:rsidRPr="004D4EDD">
              <w:t>Concomitant use prohibited</w:t>
            </w:r>
          </w:p>
          <w:p w14:paraId="37E8D508" w14:textId="00BC84FE" w:rsidR="003A34A4" w:rsidRPr="004D4EDD" w:rsidRDefault="003A34A4" w:rsidP="007E1579">
            <w:pPr>
              <w:pStyle w:val="ListBullet"/>
              <w:rPr>
                <w:lang w:val="en-GB"/>
              </w:rPr>
            </w:pPr>
            <w:r w:rsidRPr="004D4EDD">
              <w:rPr>
                <w:b/>
                <w:lang w:val="en-GB"/>
              </w:rPr>
              <w:t>Failed/inadequate response</w:t>
            </w:r>
            <w:r w:rsidRPr="004D4EDD">
              <w:rPr>
                <w:lang w:val="en-GB"/>
              </w:rPr>
              <w:t xml:space="preserve"> (per protocol and designated on eCRF):</w:t>
            </w:r>
            <w:r w:rsidR="003463C2" w:rsidRPr="004D4EDD">
              <w:rPr>
                <w:lang w:val="en-GB"/>
              </w:rPr>
              <w:t xml:space="preserve"> </w:t>
            </w:r>
            <w:r w:rsidRPr="004D4EDD">
              <w:t xml:space="preserve">considered after at least 4 weeks (approved for marketing at an approved </w:t>
            </w:r>
            <w:r w:rsidR="003463C2" w:rsidRPr="004D4EDD">
              <w:t>labelled</w:t>
            </w:r>
            <w:r w:rsidRPr="004D4EDD">
              <w:t xml:space="preserve"> dose) for induction therapy, or recurrence of disease activity despite scheduled maintenance therapy</w:t>
            </w:r>
          </w:p>
          <w:p w14:paraId="4D8D6CF5" w14:textId="759A30EC" w:rsidR="003A34A4" w:rsidRPr="004D4EDD" w:rsidRDefault="003A34A4" w:rsidP="007E1579">
            <w:pPr>
              <w:pStyle w:val="ListBullet2"/>
            </w:pPr>
            <w:r w:rsidRPr="004D4EDD">
              <w:rPr>
                <w:b/>
              </w:rPr>
              <w:t>Primary nonresponse</w:t>
            </w:r>
            <w:r w:rsidRPr="004D4EDD">
              <w:t xml:space="preserve"> (designated on eCRF): signs and symptoms of persistently active disease despite an adequate trial of induction treatment with an anti-TNF agent (per country's approved label).</w:t>
            </w:r>
          </w:p>
          <w:p w14:paraId="3B4E09DF" w14:textId="500831BE" w:rsidR="003A34A4" w:rsidRPr="004D4EDD" w:rsidRDefault="003A34A4" w:rsidP="007E1579">
            <w:pPr>
              <w:pStyle w:val="ListBullet2"/>
            </w:pPr>
            <w:r w:rsidRPr="004D4EDD">
              <w:rPr>
                <w:b/>
              </w:rPr>
              <w:t>Secondary nonresponse</w:t>
            </w:r>
            <w:r w:rsidRPr="004D4EDD">
              <w:t xml:space="preserve"> (designated on eCRF): recurrence of symptoms during maintenance </w:t>
            </w:r>
            <w:r w:rsidRPr="004D4EDD">
              <w:rPr>
                <w:lang w:val="en-GB"/>
              </w:rPr>
              <w:t>dosing following prior clinical benefit</w:t>
            </w:r>
          </w:p>
          <w:p w14:paraId="6EC714BB" w14:textId="76547919" w:rsidR="003A34A4" w:rsidRPr="004D4EDD" w:rsidRDefault="003A34A4" w:rsidP="007E1579">
            <w:pPr>
              <w:pStyle w:val="ListBullet"/>
            </w:pPr>
            <w:r w:rsidRPr="004D4EDD">
              <w:rPr>
                <w:b/>
              </w:rPr>
              <w:t>Intolerance</w:t>
            </w:r>
            <w:r w:rsidRPr="004D4EDD">
              <w:t xml:space="preserve"> (per protocol and designated on eCRF): unable to achieve doses, dose levels, or treatment durations because of treatment-related side effects and/or laboratory abnormalities</w:t>
            </w:r>
          </w:p>
        </w:tc>
      </w:tr>
      <w:tr w:rsidR="003A34A4" w:rsidRPr="004D4EDD" w14:paraId="562376FE" w14:textId="77777777" w:rsidTr="00706FD7">
        <w:tc>
          <w:tcPr>
            <w:tcW w:w="8217" w:type="dxa"/>
            <w:gridSpan w:val="2"/>
          </w:tcPr>
          <w:p w14:paraId="6BA5E3DD" w14:textId="69EAB886" w:rsidR="003A34A4" w:rsidRPr="004D4EDD" w:rsidRDefault="003A34A4" w:rsidP="001551AA">
            <w:pPr>
              <w:rPr>
                <w:b/>
              </w:rPr>
            </w:pPr>
            <w:r w:rsidRPr="004D4EDD">
              <w:rPr>
                <w:b/>
              </w:rPr>
              <w:lastRenderedPageBreak/>
              <w:t>Immunomodulators (AZA, 6-MP, MTX)</w:t>
            </w:r>
          </w:p>
        </w:tc>
      </w:tr>
      <w:tr w:rsidR="003A34A4" w:rsidRPr="004D4EDD" w14:paraId="6472DB84" w14:textId="77777777" w:rsidTr="00706FD7">
        <w:tc>
          <w:tcPr>
            <w:tcW w:w="8217" w:type="dxa"/>
            <w:gridSpan w:val="2"/>
          </w:tcPr>
          <w:p w14:paraId="33EE4BCA" w14:textId="09E0ED6C" w:rsidR="003A34A4" w:rsidRPr="004D4EDD" w:rsidRDefault="003A34A4" w:rsidP="007E1579">
            <w:pPr>
              <w:pStyle w:val="ListBullet"/>
              <w:rPr>
                <w:b/>
              </w:rPr>
            </w:pPr>
            <w:r w:rsidRPr="004D4EDD">
              <w:rPr>
                <w:b/>
              </w:rPr>
              <w:t>Eligibility:</w:t>
            </w:r>
          </w:p>
          <w:p w14:paraId="57DE462B" w14:textId="16FE61EF" w:rsidR="003A34A4" w:rsidRPr="004D4EDD" w:rsidRDefault="003A34A4" w:rsidP="007E1579">
            <w:pPr>
              <w:pStyle w:val="ListBullet2"/>
            </w:pPr>
            <w:r w:rsidRPr="004D4EDD">
              <w:t>Prior therapy allowed</w:t>
            </w:r>
          </w:p>
          <w:p w14:paraId="0536CBE5" w14:textId="56DF197A" w:rsidR="003A34A4" w:rsidRPr="004D4EDD" w:rsidRDefault="003A34A4" w:rsidP="007E1579">
            <w:pPr>
              <w:pStyle w:val="ListBullet2"/>
            </w:pPr>
            <w:r w:rsidRPr="004D4EDD">
              <w:t>Excluded: Planned use anytime on or after randomisation</w:t>
            </w:r>
          </w:p>
          <w:p w14:paraId="2238D5BA" w14:textId="535DA902" w:rsidR="003A34A4" w:rsidRPr="004D4EDD" w:rsidRDefault="003A34A4" w:rsidP="007E1579">
            <w:pPr>
              <w:pStyle w:val="ListBullet2"/>
            </w:pPr>
            <w:r w:rsidRPr="004D4EDD">
              <w:t>Concomitant use prohibited</w:t>
            </w:r>
          </w:p>
          <w:p w14:paraId="40BA1CC9" w14:textId="1992942F" w:rsidR="003A34A4" w:rsidRPr="004D4EDD" w:rsidRDefault="003A34A4" w:rsidP="007E1579">
            <w:pPr>
              <w:pStyle w:val="ListBullet"/>
            </w:pPr>
            <w:r w:rsidRPr="004D4EDD">
              <w:rPr>
                <w:b/>
              </w:rPr>
              <w:t>Failed/inadequate response</w:t>
            </w:r>
            <w:r w:rsidRPr="004D4EDD">
              <w:t xml:space="preserve"> (per</w:t>
            </w:r>
            <w:r w:rsidR="00D022D5" w:rsidRPr="004D4EDD">
              <w:t>-</w:t>
            </w:r>
            <w:r w:rsidRPr="004D4EDD">
              <w:t>protocol and designated on eCRF): considered after at least 8 weeks of oral AZA ≥ 1.5 mg/kg or 6-MP ≥ 0.75 mg/kg or MTX ≥ 12.5 mg/week</w:t>
            </w:r>
          </w:p>
          <w:p w14:paraId="2998C2B8" w14:textId="4F47631D" w:rsidR="003463C2" w:rsidRPr="004D4EDD" w:rsidRDefault="003A34A4" w:rsidP="007E1579">
            <w:pPr>
              <w:pStyle w:val="ListBullet"/>
            </w:pPr>
            <w:r w:rsidRPr="004D4EDD">
              <w:rPr>
                <w:b/>
              </w:rPr>
              <w:t>Intolerance</w:t>
            </w:r>
            <w:r w:rsidRPr="004D4EDD">
              <w:t xml:space="preserve"> (per protocol and designated on eCRF): unable to achieve doses, dose levels, or treatment durations because of treatment-related side effects and/or laboratory abnormalities</w:t>
            </w:r>
          </w:p>
        </w:tc>
      </w:tr>
      <w:tr w:rsidR="003A34A4" w:rsidRPr="004D4EDD" w14:paraId="60F03D91" w14:textId="77777777" w:rsidTr="00706FD7">
        <w:tc>
          <w:tcPr>
            <w:tcW w:w="8217" w:type="dxa"/>
            <w:gridSpan w:val="2"/>
          </w:tcPr>
          <w:p w14:paraId="255C4C84" w14:textId="20AF8D84" w:rsidR="003A34A4" w:rsidRPr="004D4EDD" w:rsidRDefault="00080804" w:rsidP="003463C2">
            <w:pPr>
              <w:rPr>
                <w:b/>
              </w:rPr>
            </w:pPr>
            <w:r w:rsidRPr="004D4EDD">
              <w:rPr>
                <w:b/>
              </w:rPr>
              <w:t>Required c</w:t>
            </w:r>
            <w:r w:rsidR="003463C2" w:rsidRPr="004D4EDD">
              <w:rPr>
                <w:b/>
              </w:rPr>
              <w:t xml:space="preserve">oncomitant </w:t>
            </w:r>
            <w:r w:rsidR="00D022D5" w:rsidRPr="004D4EDD">
              <w:rPr>
                <w:b/>
              </w:rPr>
              <w:t>m</w:t>
            </w:r>
            <w:r w:rsidR="003463C2" w:rsidRPr="004D4EDD">
              <w:rPr>
                <w:b/>
              </w:rPr>
              <w:t>edication</w:t>
            </w:r>
            <w:r w:rsidRPr="004D4EDD">
              <w:rPr>
                <w:b/>
              </w:rPr>
              <w:t xml:space="preserve"> (c</w:t>
            </w:r>
            <w:r w:rsidR="003463C2" w:rsidRPr="004D4EDD">
              <w:rPr>
                <w:b/>
              </w:rPr>
              <w:t>orticosteroids and/or 5-ASA)</w:t>
            </w:r>
          </w:p>
        </w:tc>
      </w:tr>
      <w:tr w:rsidR="003463C2" w:rsidRPr="004D4EDD" w14:paraId="1222B565" w14:textId="77777777" w:rsidTr="00706FD7">
        <w:tc>
          <w:tcPr>
            <w:tcW w:w="8217" w:type="dxa"/>
            <w:gridSpan w:val="2"/>
          </w:tcPr>
          <w:p w14:paraId="1568136D" w14:textId="20BB71A4" w:rsidR="003463C2" w:rsidRPr="004D4EDD" w:rsidRDefault="003463C2" w:rsidP="007E1579">
            <w:pPr>
              <w:pStyle w:val="ListBullet"/>
              <w:rPr>
                <w:b/>
              </w:rPr>
            </w:pPr>
            <w:r w:rsidRPr="004D4EDD">
              <w:rPr>
                <w:b/>
              </w:rPr>
              <w:t>Eligibility</w:t>
            </w:r>
          </w:p>
          <w:p w14:paraId="182B1DFF" w14:textId="655F3F29" w:rsidR="003463C2" w:rsidRPr="004D4EDD" w:rsidRDefault="003463C2" w:rsidP="007E1579">
            <w:pPr>
              <w:pStyle w:val="ListBullet2"/>
            </w:pPr>
            <w:r w:rsidRPr="004D4EDD">
              <w:t>Required to be on concomitant therapy with either corticosteroids until Week 10 or oral 5-ASAs until Week 52</w:t>
            </w:r>
          </w:p>
          <w:p w14:paraId="47B6DFC2" w14:textId="4561B4DA" w:rsidR="003463C2" w:rsidRPr="004D4EDD" w:rsidRDefault="003463C2" w:rsidP="007E1579">
            <w:pPr>
              <w:pStyle w:val="ListBullet3"/>
            </w:pPr>
            <w:r w:rsidRPr="004D4EDD">
              <w:t>If on corticosteroids, a stable dose for at least 2 weeks pr</w:t>
            </w:r>
            <w:r w:rsidR="001368ED" w:rsidRPr="004D4EDD">
              <w:t xml:space="preserve">ior to </w:t>
            </w:r>
            <w:r w:rsidR="00D022D5" w:rsidRPr="004D4EDD">
              <w:t>s</w:t>
            </w:r>
            <w:r w:rsidR="001368ED" w:rsidRPr="004D4EDD">
              <w:t>creening endoscopy (for example</w:t>
            </w:r>
            <w:r w:rsidRPr="004D4EDD">
              <w:t>, prednisone ≤ 20 mg per day or equivalent; budesonide MMX: dose not specified for eligibility) was required.</w:t>
            </w:r>
          </w:p>
          <w:p w14:paraId="6437CC3C" w14:textId="5E734362" w:rsidR="003463C2" w:rsidRPr="004D4EDD" w:rsidRDefault="003463C2" w:rsidP="007E1579">
            <w:pPr>
              <w:pStyle w:val="ListBullet3"/>
            </w:pPr>
            <w:r w:rsidRPr="004D4EDD">
              <w:t xml:space="preserve">If on 5-ASA, a stable dose at least 3 weeks prior to </w:t>
            </w:r>
            <w:r w:rsidR="00D022D5" w:rsidRPr="004D4EDD">
              <w:t>s</w:t>
            </w:r>
            <w:r w:rsidRPr="004D4EDD">
              <w:t>creening endoscopy (</w:t>
            </w:r>
            <w:r w:rsidR="00706FD7" w:rsidRPr="004D4EDD">
              <w:t xml:space="preserve">for example, </w:t>
            </w:r>
            <w:r w:rsidRPr="004D4EDD">
              <w:t>mesalamine, sulfasalazine, olsalazine, balsalazide ≥ 2.4 g/day) was required.</w:t>
            </w:r>
          </w:p>
          <w:p w14:paraId="48E4F1F2" w14:textId="177ED3CF" w:rsidR="003463C2" w:rsidRPr="004D4EDD" w:rsidRDefault="003463C2" w:rsidP="007E1579">
            <w:pPr>
              <w:pStyle w:val="ListBullet2"/>
            </w:pPr>
            <w:r w:rsidRPr="004D4EDD">
              <w:rPr>
                <w:b/>
              </w:rPr>
              <w:t>Excluded</w:t>
            </w:r>
            <w:r w:rsidRPr="004D4EDD">
              <w:t xml:space="preserve">: topical rectal 5-ASA or topical rectal steroids within 2 weeks prior to </w:t>
            </w:r>
            <w:r w:rsidR="00706FD7" w:rsidRPr="004D4EDD">
              <w:t>s</w:t>
            </w:r>
            <w:r w:rsidRPr="004D4EDD">
              <w:t>creening</w:t>
            </w:r>
            <w:r w:rsidR="00706FD7" w:rsidRPr="004D4EDD">
              <w:t xml:space="preserve"> endoscopy</w:t>
            </w:r>
          </w:p>
        </w:tc>
      </w:tr>
      <w:tr w:rsidR="00283225" w:rsidRPr="004D4EDD" w14:paraId="513A6E83" w14:textId="77777777" w:rsidTr="00706FD7">
        <w:tc>
          <w:tcPr>
            <w:tcW w:w="8217" w:type="dxa"/>
            <w:gridSpan w:val="2"/>
          </w:tcPr>
          <w:p w14:paraId="62DCF1F0" w14:textId="24F2CF0A" w:rsidR="00283225" w:rsidRPr="004D4EDD" w:rsidRDefault="00283225" w:rsidP="00283225">
            <w:pPr>
              <w:rPr>
                <w:b/>
              </w:rPr>
            </w:pPr>
            <w:r w:rsidRPr="004D4EDD">
              <w:rPr>
                <w:b/>
              </w:rPr>
              <w:t>Required concomitant medication (corticosteroids and/or 5-ASA)</w:t>
            </w:r>
          </w:p>
        </w:tc>
      </w:tr>
      <w:tr w:rsidR="003A34A4" w:rsidRPr="004D4EDD" w14:paraId="16B5B297" w14:textId="77777777" w:rsidTr="00706FD7">
        <w:tc>
          <w:tcPr>
            <w:tcW w:w="8217" w:type="dxa"/>
            <w:gridSpan w:val="2"/>
          </w:tcPr>
          <w:p w14:paraId="793F1DB1" w14:textId="77777777" w:rsidR="00283225" w:rsidRPr="004D4EDD" w:rsidRDefault="00283225" w:rsidP="00283225">
            <w:pPr>
              <w:rPr>
                <w:b/>
              </w:rPr>
            </w:pPr>
            <w:r w:rsidRPr="004D4EDD">
              <w:rPr>
                <w:b/>
              </w:rPr>
              <w:t>Corticosteroids</w:t>
            </w:r>
          </w:p>
          <w:p w14:paraId="31C2769F" w14:textId="58DB4C9D" w:rsidR="00283225" w:rsidRPr="004D4EDD" w:rsidRDefault="00283225" w:rsidP="007E1579">
            <w:pPr>
              <w:pStyle w:val="ListBullet"/>
            </w:pPr>
            <w:r w:rsidRPr="004D4EDD">
              <w:rPr>
                <w:b/>
              </w:rPr>
              <w:t>Failed/inadequate response</w:t>
            </w:r>
            <w:r w:rsidRPr="004D4EDD">
              <w:t xml:space="preserve"> (per protocol and designated on eCRF): considered after at least 2 weeks of oral prednisone ≥ 30 mg or budesonide MMX ≥ 9 mg or intravenous corticosteroids for</w:t>
            </w:r>
            <w:r w:rsidR="00706FD7" w:rsidRPr="004D4EDD">
              <w:t xml:space="preserve"> one</w:t>
            </w:r>
            <w:r w:rsidRPr="004D4EDD">
              <w:t xml:space="preserve"> week.</w:t>
            </w:r>
          </w:p>
          <w:p w14:paraId="0C4D927F" w14:textId="335A25CB" w:rsidR="00283225" w:rsidRPr="004D4EDD" w:rsidRDefault="00283225" w:rsidP="007E1579">
            <w:pPr>
              <w:pStyle w:val="ListBullet"/>
              <w:rPr>
                <w:b/>
              </w:rPr>
            </w:pPr>
            <w:r w:rsidRPr="004D4EDD">
              <w:rPr>
                <w:b/>
              </w:rPr>
              <w:t>Tapering:</w:t>
            </w:r>
          </w:p>
          <w:p w14:paraId="16F9D8B9" w14:textId="5C18DD78" w:rsidR="00283225" w:rsidRPr="004D4EDD" w:rsidRDefault="00283225" w:rsidP="007E1579">
            <w:pPr>
              <w:pStyle w:val="ListBullet2"/>
            </w:pPr>
            <w:r w:rsidRPr="004D4EDD">
              <w:rPr>
                <w:b/>
              </w:rPr>
              <w:t>Induction</w:t>
            </w:r>
            <w:r w:rsidRPr="004D4EDD">
              <w:t>: maintain stable dose through Week 10</w:t>
            </w:r>
          </w:p>
          <w:p w14:paraId="09FBE8BC" w14:textId="10DBF0E4" w:rsidR="00283225" w:rsidRPr="004D4EDD" w:rsidRDefault="00283225" w:rsidP="007E1579">
            <w:pPr>
              <w:pStyle w:val="ListBullet2"/>
            </w:pPr>
            <w:r w:rsidRPr="004D4EDD">
              <w:rPr>
                <w:b/>
              </w:rPr>
              <w:t>Maintenance</w:t>
            </w:r>
            <w:r w:rsidRPr="004D4EDD">
              <w:t xml:space="preserve">: taper upon entering the </w:t>
            </w:r>
            <w:r w:rsidR="00706FD7" w:rsidRPr="004D4EDD">
              <w:t xml:space="preserve">maintenance period </w:t>
            </w:r>
            <w:r w:rsidRPr="004D4EDD">
              <w:t>(Week 10)</w:t>
            </w:r>
          </w:p>
          <w:p w14:paraId="70DBA35F" w14:textId="749E88B6" w:rsidR="00283225" w:rsidRPr="004D4EDD" w:rsidRDefault="00283225" w:rsidP="007E1579">
            <w:pPr>
              <w:pStyle w:val="ListBullet3"/>
            </w:pPr>
            <w:r w:rsidRPr="004D4EDD">
              <w:t>Prednisone &gt; 10 mg/day (or equivalent): reduced at a rate of 5 mg per week until a 10 mg/day dose (or equivalent) is achieved.</w:t>
            </w:r>
          </w:p>
          <w:p w14:paraId="3B090BB5" w14:textId="57C6BF1B" w:rsidR="00283225" w:rsidRPr="004D4EDD" w:rsidRDefault="00283225" w:rsidP="007E1579">
            <w:pPr>
              <w:pStyle w:val="ListBullet3"/>
            </w:pPr>
            <w:r w:rsidRPr="004D4EDD">
              <w:t>Prednisone 10 mg/day (or equivalent), or once a 10 mg/day dose (or equivalent) is achieved by tapering, should have their dose reduced at a rate of 2.5 mg/week until discontinuation.</w:t>
            </w:r>
          </w:p>
          <w:p w14:paraId="21930B04" w14:textId="1E4B887E" w:rsidR="00283225" w:rsidRPr="004D4EDD" w:rsidRDefault="00283225" w:rsidP="007E1579">
            <w:pPr>
              <w:pStyle w:val="ListBullet3"/>
            </w:pPr>
            <w:r w:rsidRPr="004D4EDD">
              <w:t>Budesonide MMX ≥ 9 mg every day reduced to 9 mg every other day for 2</w:t>
            </w:r>
            <w:r w:rsidR="00706FD7" w:rsidRPr="004D4EDD">
              <w:t> </w:t>
            </w:r>
            <w:r w:rsidRPr="004D4EDD">
              <w:t>weeks and then discontinued.</w:t>
            </w:r>
          </w:p>
          <w:p w14:paraId="2AEC7A42" w14:textId="6B04ACDE" w:rsidR="00283225" w:rsidRPr="004D4EDD" w:rsidRDefault="00283225" w:rsidP="007E1579">
            <w:pPr>
              <w:pStyle w:val="ListBullet2"/>
            </w:pPr>
            <w:r w:rsidRPr="004D4EDD">
              <w:t>For subjects who cannot tolerate the corticosteroid taper, the corticosteroid dose may be increased (up to the dose at trial entry if required), but tapering should begin again within 2 weeks.</w:t>
            </w:r>
          </w:p>
          <w:p w14:paraId="4D1AEE9F" w14:textId="77777777" w:rsidR="00283225" w:rsidRPr="004D4EDD" w:rsidRDefault="00283225" w:rsidP="00283225">
            <w:pPr>
              <w:rPr>
                <w:b/>
              </w:rPr>
            </w:pPr>
            <w:proofErr w:type="spellStart"/>
            <w:r w:rsidRPr="004D4EDD">
              <w:rPr>
                <w:b/>
              </w:rPr>
              <w:t>Aminosalicylates</w:t>
            </w:r>
            <w:proofErr w:type="spellEnd"/>
            <w:r w:rsidRPr="004D4EDD">
              <w:rPr>
                <w:b/>
              </w:rPr>
              <w:t xml:space="preserve"> (5-ASAs)</w:t>
            </w:r>
          </w:p>
          <w:p w14:paraId="7B76C6CD" w14:textId="502CEDFD" w:rsidR="003A34A4" w:rsidRPr="004D4EDD" w:rsidRDefault="00283225" w:rsidP="007E1579">
            <w:pPr>
              <w:pStyle w:val="ListBullet"/>
            </w:pPr>
            <w:r w:rsidRPr="004D4EDD">
              <w:rPr>
                <w:b/>
              </w:rPr>
              <w:lastRenderedPageBreak/>
              <w:t>Failed/inadequate response</w:t>
            </w:r>
            <w:r w:rsidRPr="004D4EDD">
              <w:t xml:space="preserve"> (per protocol and designated on eCRF): considered after at least 8 weeks of oral therapy ≥ 2.4 g/day</w:t>
            </w:r>
          </w:p>
        </w:tc>
      </w:tr>
      <w:tr w:rsidR="003A34A4" w:rsidRPr="004D4EDD" w14:paraId="0056A811" w14:textId="77777777" w:rsidTr="00706FD7">
        <w:tc>
          <w:tcPr>
            <w:tcW w:w="8217" w:type="dxa"/>
            <w:gridSpan w:val="2"/>
          </w:tcPr>
          <w:p w14:paraId="5391181B" w14:textId="217E8566" w:rsidR="003A34A4" w:rsidRPr="004D4EDD" w:rsidRDefault="00283225" w:rsidP="001551AA">
            <w:pPr>
              <w:rPr>
                <w:b/>
              </w:rPr>
            </w:pPr>
            <w:r w:rsidRPr="004D4EDD">
              <w:rPr>
                <w:b/>
              </w:rPr>
              <w:lastRenderedPageBreak/>
              <w:t>Considerations for statistical analysis</w:t>
            </w:r>
          </w:p>
        </w:tc>
      </w:tr>
      <w:tr w:rsidR="00283225" w:rsidRPr="004D4EDD" w14:paraId="494F6103" w14:textId="77777777" w:rsidTr="00706FD7">
        <w:trPr>
          <w:trHeight w:val="450"/>
        </w:trPr>
        <w:tc>
          <w:tcPr>
            <w:tcW w:w="2425" w:type="dxa"/>
          </w:tcPr>
          <w:p w14:paraId="67B07543" w14:textId="3B6045E5" w:rsidR="00283225" w:rsidRPr="004D4EDD" w:rsidRDefault="00AA3025">
            <w:r w:rsidRPr="004D4EDD">
              <w:t>Biologics/</w:t>
            </w:r>
            <w:r w:rsidR="00AB2D21" w:rsidRPr="004D4EDD">
              <w:t>a</w:t>
            </w:r>
            <w:r w:rsidRPr="004D4EDD">
              <w:t>nti-TNFs</w:t>
            </w:r>
          </w:p>
        </w:tc>
        <w:tc>
          <w:tcPr>
            <w:tcW w:w="5792" w:type="dxa"/>
          </w:tcPr>
          <w:p w14:paraId="31244E44" w14:textId="1F122B76" w:rsidR="00283225" w:rsidRPr="004D4EDD" w:rsidRDefault="00283225">
            <w:r w:rsidRPr="004D4EDD">
              <w:t xml:space="preserve">Prior </w:t>
            </w:r>
            <w:r w:rsidR="00AB2D21" w:rsidRPr="004D4EDD">
              <w:t>a</w:t>
            </w:r>
            <w:r w:rsidRPr="004D4EDD">
              <w:t xml:space="preserve">nti-TNFs use: </w:t>
            </w:r>
            <w:r w:rsidR="00706FD7" w:rsidRPr="004D4EDD">
              <w:t>s</w:t>
            </w:r>
            <w:r w:rsidRPr="004D4EDD">
              <w:t>tratified at induction (</w:t>
            </w:r>
            <w:r w:rsidR="00AB2D21" w:rsidRPr="004D4EDD">
              <w:t>y</w:t>
            </w:r>
            <w:r w:rsidR="00706FD7" w:rsidRPr="004D4EDD">
              <w:t>es</w:t>
            </w:r>
            <w:r w:rsidRPr="004D4EDD">
              <w:t>/</w:t>
            </w:r>
            <w:r w:rsidR="00AB2D21" w:rsidRPr="004D4EDD">
              <w:t>n</w:t>
            </w:r>
            <w:r w:rsidR="00706FD7" w:rsidRPr="004D4EDD">
              <w:t>o</w:t>
            </w:r>
            <w:r w:rsidRPr="004D4EDD">
              <w:t>)</w:t>
            </w:r>
          </w:p>
          <w:p w14:paraId="177A4901" w14:textId="61B88594" w:rsidR="00AA3025" w:rsidRPr="004D4EDD" w:rsidRDefault="00AA3025">
            <w:r w:rsidRPr="004D4EDD">
              <w:t>Treatment failure if initiated during study</w:t>
            </w:r>
          </w:p>
        </w:tc>
      </w:tr>
      <w:tr w:rsidR="00AA3025" w:rsidRPr="004D4EDD" w14:paraId="1CB68ABF" w14:textId="77777777" w:rsidTr="00706FD7">
        <w:trPr>
          <w:trHeight w:val="450"/>
        </w:trPr>
        <w:tc>
          <w:tcPr>
            <w:tcW w:w="2425" w:type="dxa"/>
          </w:tcPr>
          <w:p w14:paraId="759E51A0" w14:textId="23D9E2AE" w:rsidR="00AA3025" w:rsidRPr="004D4EDD" w:rsidRDefault="00AA3025" w:rsidP="00AA3025">
            <w:r w:rsidRPr="004D4EDD">
              <w:t>Immunomodulators (AZA, 6-MP, MTX)</w:t>
            </w:r>
          </w:p>
        </w:tc>
        <w:tc>
          <w:tcPr>
            <w:tcW w:w="5792" w:type="dxa"/>
          </w:tcPr>
          <w:p w14:paraId="55AE59C4" w14:textId="439C013A" w:rsidR="00AA3025" w:rsidRPr="004D4EDD" w:rsidRDefault="00AA3025" w:rsidP="00AA3025">
            <w:r w:rsidRPr="004D4EDD">
              <w:t>Treatment failure if initiated during study</w:t>
            </w:r>
          </w:p>
        </w:tc>
      </w:tr>
      <w:tr w:rsidR="00283225" w:rsidRPr="004D4EDD" w14:paraId="3C53C350" w14:textId="77777777" w:rsidTr="00706FD7">
        <w:trPr>
          <w:trHeight w:val="448"/>
        </w:trPr>
        <w:tc>
          <w:tcPr>
            <w:tcW w:w="2425" w:type="dxa"/>
          </w:tcPr>
          <w:p w14:paraId="00E12F17" w14:textId="5F894BBC" w:rsidR="00283225" w:rsidRPr="004D4EDD" w:rsidRDefault="00AA3025" w:rsidP="00283225">
            <w:r w:rsidRPr="004D4EDD">
              <w:t>Corticosteroids</w:t>
            </w:r>
          </w:p>
        </w:tc>
        <w:tc>
          <w:tcPr>
            <w:tcW w:w="5792" w:type="dxa"/>
          </w:tcPr>
          <w:p w14:paraId="548DF90F" w14:textId="021FAA0B" w:rsidR="00AA3025" w:rsidRPr="004D4EDD" w:rsidRDefault="00AA3025">
            <w:r w:rsidRPr="004D4EDD">
              <w:t>Stratified in induction (</w:t>
            </w:r>
            <w:r w:rsidR="00AB2D21" w:rsidRPr="004D4EDD">
              <w:t xml:space="preserve">yes/no </w:t>
            </w:r>
            <w:r w:rsidRPr="004D4EDD">
              <w:t>based on steroids at screening) and maintenance (</w:t>
            </w:r>
            <w:r w:rsidR="00AB2D21" w:rsidRPr="004D4EDD">
              <w:t xml:space="preserve">yes/no </w:t>
            </w:r>
            <w:r w:rsidRPr="004D4EDD">
              <w:t xml:space="preserve">based on steroids at Week </w:t>
            </w:r>
            <w:proofErr w:type="gramStart"/>
            <w:r w:rsidRPr="004D4EDD">
              <w:t>10)</w:t>
            </w:r>
            <w:r w:rsidRPr="004D4EDD">
              <w:rPr>
                <w:vertAlign w:val="superscript"/>
              </w:rPr>
              <w:t>a</w:t>
            </w:r>
            <w:proofErr w:type="gramEnd"/>
          </w:p>
          <w:p w14:paraId="65988EE3" w14:textId="78786F27" w:rsidR="00AA3025" w:rsidRPr="004D4EDD" w:rsidRDefault="00AA3025">
            <w:r w:rsidRPr="004D4EDD">
              <w:t>Treatment failure if:</w:t>
            </w:r>
          </w:p>
          <w:p w14:paraId="74D8F14F" w14:textId="77777777" w:rsidR="00AA3025" w:rsidRPr="004D4EDD" w:rsidRDefault="00AA3025" w:rsidP="007E1579">
            <w:pPr>
              <w:pStyle w:val="ListBullet"/>
            </w:pPr>
            <w:r w:rsidRPr="004D4EDD">
              <w:t>initiated during study (oral or rectal) or increased dose above Baseline</w:t>
            </w:r>
          </w:p>
          <w:p w14:paraId="29299C09" w14:textId="3842FE82" w:rsidR="00283225" w:rsidRPr="004D4EDD" w:rsidRDefault="00AA3025" w:rsidP="007E1579">
            <w:pPr>
              <w:pStyle w:val="ListBullet"/>
            </w:pPr>
            <w:r w:rsidRPr="004D4EDD">
              <w:t>systemic steroids used for &gt; 14 days for treatment other than ulcerative colitis</w:t>
            </w:r>
          </w:p>
        </w:tc>
      </w:tr>
      <w:tr w:rsidR="00283225" w:rsidRPr="004D4EDD" w14:paraId="15FF5A67" w14:textId="77777777" w:rsidTr="00706FD7">
        <w:trPr>
          <w:trHeight w:val="448"/>
        </w:trPr>
        <w:tc>
          <w:tcPr>
            <w:tcW w:w="2425" w:type="dxa"/>
          </w:tcPr>
          <w:p w14:paraId="2531CC35" w14:textId="0BCCEC85" w:rsidR="00283225" w:rsidRPr="004D4EDD" w:rsidRDefault="00AA3025">
            <w:r w:rsidRPr="004D4EDD">
              <w:t>5-ASAs</w:t>
            </w:r>
          </w:p>
        </w:tc>
        <w:tc>
          <w:tcPr>
            <w:tcW w:w="5792" w:type="dxa"/>
          </w:tcPr>
          <w:p w14:paraId="769A3C11" w14:textId="2A9DAE72" w:rsidR="00283225" w:rsidRPr="004D4EDD" w:rsidRDefault="00AA3025" w:rsidP="00283225">
            <w:r w:rsidRPr="004D4EDD">
              <w:t>Treatment failure if initiated during study (oral or rectal) or increased dose above Baseline</w:t>
            </w:r>
          </w:p>
        </w:tc>
      </w:tr>
    </w:tbl>
    <w:p w14:paraId="3AE6C4D5" w14:textId="201D47B3" w:rsidR="00D57CA8" w:rsidRPr="004D4EDD" w:rsidRDefault="00AA3025" w:rsidP="00703839">
      <w:pPr>
        <w:pStyle w:val="TableDescription"/>
      </w:pPr>
      <w:r w:rsidRPr="004D4EDD">
        <w:t>A</w:t>
      </w:r>
      <w:r w:rsidR="004F0D08" w:rsidRPr="004D4EDD">
        <w:t xml:space="preserve">bbreviations: </w:t>
      </w:r>
      <w:r w:rsidR="00D57CA8" w:rsidRPr="004D4EDD">
        <w:t>5-ASA = 5-</w:t>
      </w:r>
      <w:r w:rsidR="00427A76" w:rsidRPr="004D4EDD">
        <w:t>aminosalicylate</w:t>
      </w:r>
      <w:r w:rsidR="00D57CA8" w:rsidRPr="004D4EDD">
        <w:t xml:space="preserve">; 6-MP = 6-mercaptopurine; AZA = azathioprine; eCRF = electronic case report form; MMX = </w:t>
      </w:r>
      <w:r w:rsidR="004F0D08" w:rsidRPr="004D4EDD">
        <w:t>multi-matrix</w:t>
      </w:r>
      <w:r w:rsidR="00D57CA8" w:rsidRPr="004D4EDD">
        <w:t>; MTX = methotrexate; TNF = tumour necrosis factor.</w:t>
      </w:r>
    </w:p>
    <w:p w14:paraId="4B7CE3C3" w14:textId="4219ECB5" w:rsidR="001551AA" w:rsidRPr="004D4EDD" w:rsidRDefault="00D57CA8" w:rsidP="00703839">
      <w:pPr>
        <w:pStyle w:val="TableDescription"/>
      </w:pPr>
      <w:r w:rsidRPr="004D4EDD">
        <w:t>a Maintenance was also stratified by clinical remission status at Week 10 (yes, no).</w:t>
      </w:r>
    </w:p>
    <w:p w14:paraId="31906F59" w14:textId="1B22E97D" w:rsidR="001551AA" w:rsidRPr="004D4EDD" w:rsidRDefault="001551AA" w:rsidP="001551AA">
      <w:r w:rsidRPr="004D4EDD">
        <w:t>Of the recently registered biological and targeted immunotherapies for ulcerative colitis only ustekinumab</w:t>
      </w:r>
      <w:r w:rsidR="00884201" w:rsidRPr="004D4EDD">
        <w:t>;</w:t>
      </w:r>
      <w:r w:rsidR="00897A09" w:rsidRPr="004D4EDD">
        <w:rPr>
          <w:vertAlign w:val="superscript"/>
        </w:rPr>
        <w:fldChar w:fldCharType="begin"/>
      </w:r>
      <w:r w:rsidR="00897A09" w:rsidRPr="004D4EDD">
        <w:rPr>
          <w:vertAlign w:val="superscript"/>
        </w:rPr>
        <w:instrText xml:space="preserve"> NOTEREF _Ref113484063 \h </w:instrText>
      </w:r>
      <w:r w:rsidR="004D4EDD">
        <w:rPr>
          <w:vertAlign w:val="superscript"/>
        </w:rPr>
        <w:instrText xml:space="preserve"> \* MERGEFORMAT </w:instrText>
      </w:r>
      <w:r w:rsidR="00897A09" w:rsidRPr="004D4EDD">
        <w:rPr>
          <w:vertAlign w:val="superscript"/>
        </w:rPr>
      </w:r>
      <w:r w:rsidR="00897A09" w:rsidRPr="004D4EDD">
        <w:rPr>
          <w:vertAlign w:val="superscript"/>
        </w:rPr>
        <w:fldChar w:fldCharType="separate"/>
      </w:r>
      <w:r w:rsidR="004D4EDD">
        <w:rPr>
          <w:vertAlign w:val="superscript"/>
        </w:rPr>
        <w:t>7</w:t>
      </w:r>
      <w:r w:rsidR="00897A09" w:rsidRPr="004D4EDD">
        <w:rPr>
          <w:vertAlign w:val="superscript"/>
        </w:rPr>
        <w:fldChar w:fldCharType="end"/>
      </w:r>
      <w:r w:rsidRPr="004D4EDD">
        <w:t xml:space="preserve"> has been approved in Australia without population restriction. However, the study information in the </w:t>
      </w:r>
      <w:proofErr w:type="spellStart"/>
      <w:r w:rsidRPr="004D4EDD">
        <w:t>ustekinumab</w:t>
      </w:r>
      <w:proofErr w:type="spellEnd"/>
      <w:r w:rsidRPr="004D4EDD">
        <w:t xml:space="preserve"> PI states that failure of conventional therapy or at least one biological therapy was required:</w:t>
      </w:r>
    </w:p>
    <w:p w14:paraId="0D0C6D98" w14:textId="2E50253B" w:rsidR="001551AA" w:rsidRPr="004D4EDD" w:rsidRDefault="001551AA" w:rsidP="001551AA">
      <w:pPr>
        <w:ind w:left="720"/>
      </w:pPr>
      <w:r w:rsidRPr="004D4EDD">
        <w:t xml:space="preserve">Concomitant use of oral corticosteroids, immunomodulators, and </w:t>
      </w:r>
      <w:proofErr w:type="spellStart"/>
      <w:r w:rsidRPr="004D4EDD">
        <w:t>aminosalicylates</w:t>
      </w:r>
      <w:proofErr w:type="spellEnd"/>
      <w:r w:rsidRPr="004D4EDD">
        <w:t xml:space="preserve"> were permitted and 90% of patients continued to receive at least one of these medications. Enrolled patients had to have failed conventional therapy (corticosteroids or immunomodulators) or at least one biologic (a TNFα antagonist and/or vedolizumab). 49% of patients had failed conventional therapy, but not a biologic (of which 94% where biological</w:t>
      </w:r>
      <w:r w:rsidR="0006054F" w:rsidRPr="004D4EDD">
        <w:t xml:space="preserve"> </w:t>
      </w:r>
      <w:r w:rsidRPr="004D4EDD">
        <w:t xml:space="preserve">naïve). 51% of patients had failed or were intolerant to a biologic. Approximately 50% of the patients had failed at least </w:t>
      </w:r>
      <w:r w:rsidR="00DC0E31" w:rsidRPr="004D4EDD">
        <w:t>one</w:t>
      </w:r>
      <w:r w:rsidRPr="004D4EDD">
        <w:t xml:space="preserve"> prior anti-TNFα therapy (of which 48% were primary non-responders) and 17% had failed at least </w:t>
      </w:r>
      <w:r w:rsidR="00DC0E31" w:rsidRPr="004D4EDD">
        <w:t>one</w:t>
      </w:r>
      <w:r w:rsidRPr="004D4EDD">
        <w:t xml:space="preserve"> anti-TNFα therapy and vedolizumab.</w:t>
      </w:r>
    </w:p>
    <w:p w14:paraId="30D525E7" w14:textId="1A45A3A8" w:rsidR="001551AA" w:rsidRPr="004D4EDD" w:rsidRDefault="001551AA" w:rsidP="001551AA">
      <w:r w:rsidRPr="004D4EDD">
        <w:t xml:space="preserve">For the other registered treatments for moderate to severe </w:t>
      </w:r>
      <w:r w:rsidR="00301384" w:rsidRPr="004D4EDD">
        <w:t>ulcerative colitis</w:t>
      </w:r>
      <w:r w:rsidRPr="004D4EDD">
        <w:t xml:space="preserve">, </w:t>
      </w:r>
      <w:proofErr w:type="gramStart"/>
      <w:r w:rsidRPr="004D4EDD">
        <w:t>failure</w:t>
      </w:r>
      <w:proofErr w:type="gramEnd"/>
      <w:r w:rsidRPr="004D4EDD">
        <w:t xml:space="preserve"> or inadequate response to conventional immunomodulators and/or biological immunomodulators were enrolment requirements. While the </w:t>
      </w:r>
      <w:r w:rsidR="00DC0E31" w:rsidRPr="004D4EDD">
        <w:t>Delegate</w:t>
      </w:r>
      <w:r w:rsidRPr="004D4EDD">
        <w:t xml:space="preserve"> acknowledges that failure of conventional and biological immunomodulators was not a requirement of the pivotal and supportive studies, the benefits of ozanimod should nevertheless be weighed against relatively scarce long-term safety data.</w:t>
      </w:r>
    </w:p>
    <w:p w14:paraId="7CF82769" w14:textId="77777777" w:rsidR="0074163C" w:rsidRPr="004D4EDD" w:rsidRDefault="0074163C" w:rsidP="0074163C">
      <w:pPr>
        <w:pStyle w:val="Heading4"/>
      </w:pPr>
      <w:bookmarkStart w:id="65" w:name="_Toc98931933"/>
      <w:r w:rsidRPr="004D4EDD">
        <w:t>Proposed action</w:t>
      </w:r>
      <w:bookmarkEnd w:id="65"/>
    </w:p>
    <w:p w14:paraId="522984AC" w14:textId="735CE1D4" w:rsidR="001551AA" w:rsidRPr="004D4EDD" w:rsidRDefault="001551AA" w:rsidP="001551AA">
      <w:r w:rsidRPr="004D4EDD">
        <w:t xml:space="preserve">Ozanimod is approved by </w:t>
      </w:r>
      <w:r w:rsidR="00F307AD" w:rsidRPr="004D4EDD">
        <w:t>the US Food and Drug Administration (</w:t>
      </w:r>
      <w:r w:rsidRPr="004D4EDD">
        <w:t>FDA</w:t>
      </w:r>
      <w:r w:rsidR="00F307AD" w:rsidRPr="004D4EDD">
        <w:t>)</w:t>
      </w:r>
      <w:r w:rsidRPr="004D4EDD">
        <w:t xml:space="preserve"> for an open indication, but the description of the clinical trials includes </w:t>
      </w:r>
      <w:r w:rsidR="0006054F" w:rsidRPr="004D4EDD">
        <w:t>‘</w:t>
      </w:r>
      <w:r w:rsidRPr="004D4EDD">
        <w:t xml:space="preserve">who had an inadequate response or were intolerant to any of the following: oral </w:t>
      </w:r>
      <w:proofErr w:type="spellStart"/>
      <w:r w:rsidRPr="004D4EDD">
        <w:t>aminosalicylates</w:t>
      </w:r>
      <w:proofErr w:type="spellEnd"/>
      <w:r w:rsidRPr="004D4EDD">
        <w:t>, corticosteroids, immunomodulators (</w:t>
      </w:r>
      <w:r w:rsidR="0006054F" w:rsidRPr="004D4EDD">
        <w:t>for example</w:t>
      </w:r>
      <w:r w:rsidRPr="004D4EDD">
        <w:t>, 6</w:t>
      </w:r>
      <w:r w:rsidR="00DC0E31" w:rsidRPr="004D4EDD">
        <w:noBreakHyphen/>
      </w:r>
      <w:r w:rsidRPr="004D4EDD">
        <w:t>mercaptopurine and azathioprine), or a biologic (</w:t>
      </w:r>
      <w:r w:rsidR="0006054F" w:rsidRPr="004D4EDD">
        <w:t>for example</w:t>
      </w:r>
      <w:r w:rsidRPr="004D4EDD">
        <w:t>, TNF blocker</w:t>
      </w:r>
      <w:r w:rsidR="001368ED" w:rsidRPr="004D4EDD">
        <w:t>s</w:t>
      </w:r>
      <w:r w:rsidRPr="004D4EDD">
        <w:t xml:space="preserve"> and/or vedolizumab).</w:t>
      </w:r>
      <w:r w:rsidR="0006054F" w:rsidRPr="004D4EDD">
        <w:t>’</w:t>
      </w:r>
      <w:r w:rsidRPr="004D4EDD">
        <w:t xml:space="preserve"> This approach aligns with usual FDA </w:t>
      </w:r>
      <w:r w:rsidRPr="004D4EDD">
        <w:lastRenderedPageBreak/>
        <w:t xml:space="preserve">practice. More recently, the EU has also restricted use to patients with moderately to severely active ulcerative colitis who </w:t>
      </w:r>
      <w:r w:rsidR="0006054F" w:rsidRPr="004D4EDD">
        <w:t>‘</w:t>
      </w:r>
      <w:r w:rsidRPr="004D4EDD">
        <w:t>had an inadequate response, lost response, or were intolerant to either conventional therapy or a biologic agent.</w:t>
      </w:r>
      <w:r w:rsidR="0006054F" w:rsidRPr="004D4EDD">
        <w:t>’</w:t>
      </w:r>
    </w:p>
    <w:p w14:paraId="1DD397EC" w14:textId="1F2D4C01" w:rsidR="001551AA" w:rsidRPr="004D4EDD" w:rsidRDefault="001551AA" w:rsidP="001551AA">
      <w:r w:rsidRPr="004D4EDD">
        <w:t xml:space="preserve">The decision regarding the indication for ozanimod in the treatment of </w:t>
      </w:r>
      <w:r w:rsidR="00301384" w:rsidRPr="004D4EDD">
        <w:t>ulcerative colitis</w:t>
      </w:r>
      <w:r w:rsidRPr="004D4EDD">
        <w:t xml:space="preserve"> requires this </w:t>
      </w:r>
      <w:r w:rsidR="00DC0E31" w:rsidRPr="004D4EDD">
        <w:t>Delegate</w:t>
      </w:r>
      <w:r w:rsidRPr="004D4EDD">
        <w:t xml:space="preserve"> to consider the benefits and risks of immunomodulatory agents that have a long history of use, against the benefits and potential risks of a new therapy, with apparent safety benefits in the short term, but relatively less long-term safety data in any population. Therefore, pending advice from the Advisory Committee for Medicines</w:t>
      </w:r>
      <w:r w:rsidR="00DC0E31" w:rsidRPr="004D4EDD">
        <w:t xml:space="preserve"> (ACM)</w:t>
      </w:r>
      <w:r w:rsidRPr="004D4EDD">
        <w:t xml:space="preserve">, </w:t>
      </w:r>
      <w:r w:rsidR="00DC0E31" w:rsidRPr="004D4EDD">
        <w:t xml:space="preserve">the Delegate </w:t>
      </w:r>
      <w:r w:rsidRPr="004D4EDD">
        <w:t>propose</w:t>
      </w:r>
      <w:r w:rsidR="00DC0E31" w:rsidRPr="004D4EDD">
        <w:t>s</w:t>
      </w:r>
      <w:r w:rsidRPr="004D4EDD">
        <w:t xml:space="preserve"> to approve the registration of ozanimod hydrochloride for the following indication, subject to conditions as recommended by the clinical and risk management plan evaluators and agreement on an appropriate PI:</w:t>
      </w:r>
    </w:p>
    <w:p w14:paraId="6AE6AB31" w14:textId="763370DA" w:rsidR="001551AA" w:rsidRPr="004D4EDD" w:rsidRDefault="001551AA" w:rsidP="001551AA">
      <w:pPr>
        <w:ind w:left="720"/>
        <w:rPr>
          <w:i/>
          <w:iCs/>
        </w:rPr>
      </w:pPr>
      <w:r w:rsidRPr="004D4EDD">
        <w:rPr>
          <w:i/>
          <w:iCs/>
        </w:rPr>
        <w:t>For the treatment of adult patients with moderately to severely active ulcerative colitis who have had an inadequate response, lost response, or were intolerant to either conventional therapy or a biological therapy.</w:t>
      </w:r>
    </w:p>
    <w:p w14:paraId="2630A65A" w14:textId="77777777" w:rsidR="0074163C" w:rsidRPr="004D4EDD" w:rsidRDefault="0074163C" w:rsidP="0074163C">
      <w:pPr>
        <w:pStyle w:val="Heading4"/>
      </w:pPr>
      <w:bookmarkStart w:id="66" w:name="_Toc98931934"/>
      <w:r w:rsidRPr="004D4EDD">
        <w:t>Questions for the sponsor</w:t>
      </w:r>
      <w:bookmarkEnd w:id="66"/>
    </w:p>
    <w:p w14:paraId="336A99AC" w14:textId="77777777" w:rsidR="0074163C" w:rsidRPr="004D4EDD" w:rsidRDefault="0074163C" w:rsidP="0074163C">
      <w:r w:rsidRPr="004D4EDD">
        <w:t>The sponsor provided the following response to questions from the Delegate.</w:t>
      </w:r>
    </w:p>
    <w:p w14:paraId="4E25693C" w14:textId="0221D018" w:rsidR="001551AA" w:rsidRPr="004D4EDD" w:rsidRDefault="001551AA" w:rsidP="001551AA">
      <w:pPr>
        <w:pStyle w:val="Numberbullet0"/>
        <w:rPr>
          <w:b/>
          <w:bCs/>
          <w:i/>
          <w:iCs/>
        </w:rPr>
      </w:pPr>
      <w:r w:rsidRPr="004D4EDD">
        <w:rPr>
          <w:b/>
          <w:bCs/>
          <w:i/>
          <w:iCs/>
        </w:rPr>
        <w:t xml:space="preserve">Please indicate what proportion of participants in </w:t>
      </w:r>
      <w:r w:rsidR="00DC0E31" w:rsidRPr="004D4EDD">
        <w:rPr>
          <w:b/>
          <w:bCs/>
          <w:i/>
          <w:iCs/>
        </w:rPr>
        <w:t xml:space="preserve">Study </w:t>
      </w:r>
      <w:r w:rsidRPr="004D4EDD">
        <w:rPr>
          <w:b/>
          <w:bCs/>
          <w:i/>
          <w:iCs/>
        </w:rPr>
        <w:t>RPC01-3101 were naïve to corticosteroids, and anti-</w:t>
      </w:r>
      <w:r w:rsidR="000F3BD0" w:rsidRPr="004D4EDD">
        <w:rPr>
          <w:b/>
          <w:bCs/>
          <w:i/>
          <w:iCs/>
        </w:rPr>
        <w:t xml:space="preserve">tumour necrosis factor </w:t>
      </w:r>
      <w:r w:rsidRPr="004D4EDD">
        <w:rPr>
          <w:b/>
          <w:bCs/>
          <w:i/>
          <w:iCs/>
        </w:rPr>
        <w:t xml:space="preserve">or other biological medicines, and other </w:t>
      </w:r>
      <w:r w:rsidR="0006054F" w:rsidRPr="004D4EDD">
        <w:rPr>
          <w:b/>
          <w:bCs/>
          <w:i/>
          <w:iCs/>
        </w:rPr>
        <w:t>‘</w:t>
      </w:r>
      <w:r w:rsidRPr="004D4EDD">
        <w:rPr>
          <w:b/>
          <w:bCs/>
          <w:i/>
          <w:iCs/>
        </w:rPr>
        <w:t>conventional</w:t>
      </w:r>
      <w:r w:rsidR="0006054F" w:rsidRPr="004D4EDD">
        <w:rPr>
          <w:b/>
          <w:bCs/>
          <w:i/>
          <w:iCs/>
        </w:rPr>
        <w:t>’</w:t>
      </w:r>
      <w:r w:rsidRPr="004D4EDD">
        <w:rPr>
          <w:b/>
          <w:bCs/>
          <w:i/>
          <w:iCs/>
        </w:rPr>
        <w:t xml:space="preserve"> immunomodulators</w:t>
      </w:r>
      <w:r w:rsidR="0006054F" w:rsidRPr="004D4EDD">
        <w:rPr>
          <w:b/>
          <w:bCs/>
          <w:i/>
          <w:iCs/>
        </w:rPr>
        <w:t>,</w:t>
      </w:r>
      <w:r w:rsidRPr="004D4EDD">
        <w:rPr>
          <w:b/>
          <w:bCs/>
          <w:i/>
          <w:iCs/>
        </w:rPr>
        <w:t xml:space="preserve"> </w:t>
      </w:r>
      <w:r w:rsidR="0006054F" w:rsidRPr="004D4EDD">
        <w:rPr>
          <w:b/>
          <w:bCs/>
          <w:i/>
          <w:iCs/>
        </w:rPr>
        <w:t>that is,</w:t>
      </w:r>
      <w:r w:rsidRPr="004D4EDD">
        <w:rPr>
          <w:b/>
          <w:bCs/>
          <w:i/>
          <w:iCs/>
        </w:rPr>
        <w:t xml:space="preserve"> participants who had only experienced systemic treatment with oral </w:t>
      </w:r>
      <w:r w:rsidR="00DC0E31" w:rsidRPr="004D4EDD">
        <w:rPr>
          <w:b/>
          <w:bCs/>
          <w:i/>
          <w:iCs/>
        </w:rPr>
        <w:t>5-</w:t>
      </w:r>
      <w:r w:rsidR="00A65269" w:rsidRPr="004D4EDD">
        <w:rPr>
          <w:b/>
          <w:bCs/>
          <w:i/>
          <w:iCs/>
        </w:rPr>
        <w:t>aminosalicylates</w:t>
      </w:r>
      <w:r w:rsidRPr="004D4EDD">
        <w:rPr>
          <w:b/>
          <w:bCs/>
          <w:i/>
          <w:iCs/>
        </w:rPr>
        <w:t>.</w:t>
      </w:r>
    </w:p>
    <w:p w14:paraId="56E26F85" w14:textId="21F03F3D" w:rsidR="001551AA" w:rsidRPr="004D4EDD" w:rsidRDefault="001551AA" w:rsidP="001551AA">
      <w:r w:rsidRPr="004D4EDD">
        <w:t xml:space="preserve">To address this request, the </w:t>
      </w:r>
      <w:r w:rsidR="00DC0E31" w:rsidRPr="004D4EDD">
        <w:t>sponsor</w:t>
      </w:r>
      <w:r w:rsidRPr="004D4EDD">
        <w:t xml:space="preserve"> assessed the number and proportion of subjects in the </w:t>
      </w:r>
      <w:r w:rsidR="00A20545" w:rsidRPr="004D4EDD">
        <w:t>induction period</w:t>
      </w:r>
      <w:r w:rsidRPr="004D4EDD">
        <w:t xml:space="preserve"> of Study RPC01-3101 who were naïve to corticosteroids, anti-</w:t>
      </w:r>
      <w:proofErr w:type="gramStart"/>
      <w:r w:rsidRPr="004D4EDD">
        <w:t>TNF</w:t>
      </w:r>
      <w:proofErr w:type="gramEnd"/>
      <w:r w:rsidRPr="004D4EDD">
        <w:t xml:space="preserve"> or other biological medicines, and other </w:t>
      </w:r>
      <w:r w:rsidR="0006054F" w:rsidRPr="004D4EDD">
        <w:t>‘</w:t>
      </w:r>
      <w:r w:rsidRPr="004D4EDD">
        <w:t>conventional</w:t>
      </w:r>
      <w:r w:rsidR="0006054F" w:rsidRPr="004D4EDD">
        <w:t>’</w:t>
      </w:r>
      <w:r w:rsidRPr="004D4EDD">
        <w:t xml:space="preserve"> immunomodulators</w:t>
      </w:r>
      <w:r w:rsidR="00DC0E31" w:rsidRPr="004D4EDD">
        <w:t>, that is</w:t>
      </w:r>
      <w:r w:rsidRPr="004D4EDD">
        <w:t xml:space="preserve">, subjects who had only experienced systemic treatment with oral </w:t>
      </w:r>
      <w:r w:rsidR="00DC0E31" w:rsidRPr="004D4EDD">
        <w:t>5</w:t>
      </w:r>
      <w:r w:rsidR="00DC0E31" w:rsidRPr="004D4EDD">
        <w:noBreakHyphen/>
      </w:r>
      <w:r w:rsidR="00A65269" w:rsidRPr="004D4EDD">
        <w:t>aminosalicylates</w:t>
      </w:r>
      <w:r w:rsidR="00080804" w:rsidRPr="004D4EDD">
        <w:t xml:space="preserve"> [based treatment]</w:t>
      </w:r>
      <w:r w:rsidRPr="004D4EDD">
        <w:t>. These subjects did not have any prior treatment with corticosteroids, biologics, or immunomodulators (such as 6</w:t>
      </w:r>
      <w:r w:rsidR="00DC0E31" w:rsidRPr="004D4EDD">
        <w:noBreakHyphen/>
      </w:r>
      <w:r w:rsidRPr="004D4EDD">
        <w:t xml:space="preserve">mercaptopurine, azathioprine, methotrexate) before </w:t>
      </w:r>
      <w:r w:rsidR="00DC0E31" w:rsidRPr="004D4EDD">
        <w:t>enrolment</w:t>
      </w:r>
      <w:r w:rsidRPr="004D4EDD">
        <w:t xml:space="preserve"> in </w:t>
      </w:r>
      <w:r w:rsidR="00DC0E31" w:rsidRPr="004D4EDD">
        <w:t xml:space="preserve">Study </w:t>
      </w:r>
      <w:r w:rsidRPr="004D4EDD">
        <w:t>RPC01-3101 and were not being treated with concomitant corticosteroids at the time of study entry. Within the randomi</w:t>
      </w:r>
      <w:r w:rsidR="00265C8D" w:rsidRPr="004D4EDD">
        <w:t>s</w:t>
      </w:r>
      <w:r w:rsidRPr="004D4EDD">
        <w:t xml:space="preserve">ed Cohort 1 study population, there were 89/429 (20.7%) subjects in the ozanimod 1 mg cohort and 44/216 (20.4%) subjects in the placebo cohort who had experienced only systemic treatment with oral </w:t>
      </w:r>
      <w:r w:rsidR="00DC0E31" w:rsidRPr="004D4EDD">
        <w:t>5</w:t>
      </w:r>
      <w:r w:rsidR="00DC0E31" w:rsidRPr="004D4EDD">
        <w:noBreakHyphen/>
      </w:r>
      <w:r w:rsidR="00A65269" w:rsidRPr="004D4EDD">
        <w:t>aminosalicylates</w:t>
      </w:r>
      <w:r w:rsidRPr="004D4EDD">
        <w:t xml:space="preserve">. To provide additional information regarding this population, the </w:t>
      </w:r>
      <w:r w:rsidR="00DC0E31" w:rsidRPr="004D4EDD">
        <w:t>sponsor</w:t>
      </w:r>
      <w:r w:rsidRPr="004D4EDD">
        <w:t xml:space="preserve"> performed efficacy analyses for the </w:t>
      </w:r>
      <w:r w:rsidR="00A20545" w:rsidRPr="004D4EDD">
        <w:t>induction period</w:t>
      </w:r>
      <w:r w:rsidRPr="004D4EDD">
        <w:t xml:space="preserve"> primary and key secondary endpoints (</w:t>
      </w:r>
      <w:r w:rsidR="00DC0E31" w:rsidRPr="004D4EDD">
        <w:t xml:space="preserve">see </w:t>
      </w:r>
      <w:r w:rsidR="00DC0E31" w:rsidRPr="004D4EDD">
        <w:fldChar w:fldCharType="begin"/>
      </w:r>
      <w:r w:rsidR="00DC0E31" w:rsidRPr="004D4EDD">
        <w:instrText xml:space="preserve"> REF _Ref110111669 \h </w:instrText>
      </w:r>
      <w:r w:rsidR="000F3BD0" w:rsidRPr="004D4EDD">
        <w:instrText xml:space="preserve"> \* MERGEFORMAT </w:instrText>
      </w:r>
      <w:r w:rsidR="00DC0E31" w:rsidRPr="004D4EDD">
        <w:fldChar w:fldCharType="separate"/>
      </w:r>
      <w:r w:rsidR="004D4EDD" w:rsidRPr="004D4EDD">
        <w:t xml:space="preserve">Table </w:t>
      </w:r>
      <w:r w:rsidR="004D4EDD">
        <w:rPr>
          <w:noProof/>
        </w:rPr>
        <w:t>10</w:t>
      </w:r>
      <w:r w:rsidR="00DC0E31" w:rsidRPr="004D4EDD">
        <w:fldChar w:fldCharType="end"/>
      </w:r>
      <w:r w:rsidR="00DC0E31" w:rsidRPr="004D4EDD">
        <w:t xml:space="preserve"> below</w:t>
      </w:r>
      <w:r w:rsidRPr="004D4EDD">
        <w:t xml:space="preserve">). </w:t>
      </w:r>
      <w:proofErr w:type="gramStart"/>
      <w:r w:rsidRPr="004D4EDD">
        <w:t>Similar to</w:t>
      </w:r>
      <w:proofErr w:type="gramEnd"/>
      <w:r w:rsidRPr="004D4EDD">
        <w:t xml:space="preserve"> that observed in the overall population, a consistent treatment effect that </w:t>
      </w:r>
      <w:r w:rsidR="00080804" w:rsidRPr="004D4EDD">
        <w:t>favoured</w:t>
      </w:r>
      <w:r w:rsidRPr="004D4EDD">
        <w:t xml:space="preserve"> ozanimod 1</w:t>
      </w:r>
      <w:r w:rsidR="00DC0E31" w:rsidRPr="004D4EDD">
        <w:t> </w:t>
      </w:r>
      <w:r w:rsidRPr="004D4EDD">
        <w:t xml:space="preserve">mg versus placebo was observed in all pre-specified primary and key secondary endpoints in the </w:t>
      </w:r>
      <w:r w:rsidR="00A20545" w:rsidRPr="004D4EDD">
        <w:t>induction period</w:t>
      </w:r>
      <w:r w:rsidRPr="004D4EDD">
        <w:t xml:space="preserve"> in subjects who had experienced only systemic treatment with oral </w:t>
      </w:r>
      <w:r w:rsidR="00DC0E31" w:rsidRPr="004D4EDD">
        <w:t>5</w:t>
      </w:r>
      <w:r w:rsidR="00DC0E31" w:rsidRPr="004D4EDD">
        <w:noBreakHyphen/>
      </w:r>
      <w:r w:rsidR="00A65269" w:rsidRPr="004D4EDD">
        <w:t>aminosalicylates</w:t>
      </w:r>
      <w:r w:rsidRPr="004D4EDD">
        <w:t>.</w:t>
      </w:r>
    </w:p>
    <w:p w14:paraId="29A54EFB" w14:textId="1900B30E" w:rsidR="001551AA" w:rsidRPr="004D4EDD" w:rsidRDefault="00DC0E31" w:rsidP="00703839">
      <w:pPr>
        <w:pStyle w:val="TableTitle"/>
      </w:pPr>
      <w:bookmarkStart w:id="67" w:name="_Ref110111669"/>
      <w:r w:rsidRPr="004D4EDD">
        <w:lastRenderedPageBreak/>
        <w:t xml:space="preserve">Table </w:t>
      </w:r>
      <w:r w:rsidR="009C0FB4">
        <w:fldChar w:fldCharType="begin"/>
      </w:r>
      <w:r w:rsidR="009C0FB4">
        <w:instrText xml:space="preserve"> SEQ Table \* ARABIC </w:instrText>
      </w:r>
      <w:r w:rsidR="009C0FB4">
        <w:fldChar w:fldCharType="separate"/>
      </w:r>
      <w:r w:rsidR="004D4EDD">
        <w:rPr>
          <w:noProof/>
        </w:rPr>
        <w:t>10</w:t>
      </w:r>
      <w:r w:rsidR="009C0FB4">
        <w:rPr>
          <w:noProof/>
        </w:rPr>
        <w:fldChar w:fldCharType="end"/>
      </w:r>
      <w:bookmarkEnd w:id="67"/>
      <w:r w:rsidR="001551AA" w:rsidRPr="004D4EDD">
        <w:t xml:space="preserve">: </w:t>
      </w:r>
      <w:bookmarkStart w:id="68" w:name="_Hlk110117997"/>
      <w:r w:rsidRPr="004D4EDD">
        <w:t xml:space="preserve">Study RPC01-3101 </w:t>
      </w:r>
      <w:bookmarkEnd w:id="68"/>
      <w:r w:rsidR="001551AA" w:rsidRPr="004D4EDD">
        <w:t xml:space="preserve">Analysis of the </w:t>
      </w:r>
      <w:r w:rsidRPr="004D4EDD">
        <w:t>primary and key secondary endpoints for the induction period Cohort 1 in subjects who had only experienced systemic treatment with o</w:t>
      </w:r>
      <w:r w:rsidR="001551AA" w:rsidRPr="004D4EDD">
        <w:t xml:space="preserve">ral </w:t>
      </w:r>
      <w:r w:rsidRPr="004D4EDD">
        <w:t>5-</w:t>
      </w:r>
      <w:r w:rsidR="00A65269" w:rsidRPr="004D4EDD">
        <w:t>aminosalicylates</w:t>
      </w:r>
    </w:p>
    <w:p w14:paraId="7A266540" w14:textId="3E6C8BA7" w:rsidR="001551AA" w:rsidRPr="004D4EDD" w:rsidRDefault="001551AA" w:rsidP="00703839">
      <w:r w:rsidRPr="004D4EDD">
        <w:rPr>
          <w:noProof/>
          <w:lang w:val="en-GB" w:eastAsia="en-GB"/>
        </w:rPr>
        <w:drawing>
          <wp:inline distT="0" distB="0" distL="0" distR="0" wp14:anchorId="2F52AD9C" wp14:editId="58B2DEF7">
            <wp:extent cx="5400040" cy="2363470"/>
            <wp:effectExtent l="0" t="0" r="0" b="0"/>
            <wp:docPr id="4" name="Picture 4" descr="Table 10: Study RPC01-3101 Analysis of the primary and key secondary endpoints for the induction period Cohort 1 in subjects who had only experienced systemic treatment with oral 5-aminosalicy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 10: Study RPC01-3101 Analysis of the primary and key secondary endpoints for the induction period Cohort 1 in subjects who had only experienced systemic treatment with oral 5-aminosalicylates"/>
                    <pic:cNvPicPr/>
                  </pic:nvPicPr>
                  <pic:blipFill>
                    <a:blip r:embed="rId22"/>
                    <a:stretch>
                      <a:fillRect/>
                    </a:stretch>
                  </pic:blipFill>
                  <pic:spPr>
                    <a:xfrm>
                      <a:off x="0" y="0"/>
                      <a:ext cx="5400040" cy="2363470"/>
                    </a:xfrm>
                    <a:prstGeom prst="rect">
                      <a:avLst/>
                    </a:prstGeom>
                  </pic:spPr>
                </pic:pic>
              </a:graphicData>
            </a:graphic>
          </wp:inline>
        </w:drawing>
      </w:r>
    </w:p>
    <w:p w14:paraId="65364F8C" w14:textId="3C5BDE2E" w:rsidR="00ED4392" w:rsidRPr="004D4EDD" w:rsidRDefault="004F0D08" w:rsidP="00703839">
      <w:pPr>
        <w:pStyle w:val="TableDescription"/>
      </w:pPr>
      <w:r w:rsidRPr="004D4EDD">
        <w:t xml:space="preserve">Abbreviations: </w:t>
      </w:r>
      <w:r w:rsidR="00ED4392" w:rsidRPr="004D4EDD">
        <w:t>5-ASA = 5-</w:t>
      </w:r>
      <w:r w:rsidR="00427A76" w:rsidRPr="004D4EDD">
        <w:t>aminosalicylate</w:t>
      </w:r>
      <w:r w:rsidR="00ED4392" w:rsidRPr="004D4EDD">
        <w:t>; CI = confidence interval; N = number of subjects.</w:t>
      </w:r>
    </w:p>
    <w:p w14:paraId="38DC9093" w14:textId="2B789D02" w:rsidR="001551AA" w:rsidRPr="004D4EDD" w:rsidRDefault="001551AA" w:rsidP="00703839">
      <w:pPr>
        <w:pStyle w:val="TableDescription"/>
      </w:pPr>
      <w:proofErr w:type="spellStart"/>
      <w:proofErr w:type="gramStart"/>
      <w:r w:rsidRPr="004D4EDD">
        <w:t>a</w:t>
      </w:r>
      <w:proofErr w:type="spellEnd"/>
      <w:proofErr w:type="gramEnd"/>
      <w:r w:rsidRPr="004D4EDD">
        <w:t xml:space="preserve"> Odds ratio (active/placebo), treatment difference, 2-sided 95% Wald CI and p-value for comparison between the active and placebo groups are based on the Cochran-Mantel-Haenszel test, stratified by corticosteroid use at Screening and prior anti-</w:t>
      </w:r>
      <w:r w:rsidR="00BE320A" w:rsidRPr="004D4EDD">
        <w:t xml:space="preserve"> tumour necrosis factor</w:t>
      </w:r>
      <w:r w:rsidRPr="004D4EDD">
        <w:t xml:space="preserve"> use (yes or no).</w:t>
      </w:r>
    </w:p>
    <w:p w14:paraId="10EC9A75" w14:textId="029754FD" w:rsidR="001551AA" w:rsidRPr="004D4EDD" w:rsidRDefault="001551AA" w:rsidP="00703839">
      <w:pPr>
        <w:pStyle w:val="TableDescription"/>
      </w:pPr>
      <w:r w:rsidRPr="004D4EDD">
        <w:t xml:space="preserve">b Odds ratio (active/placebo), treatment difference, 2-sided 95% Wald CI and p-value for comparison between the active and placebo groups are based on the </w:t>
      </w:r>
      <w:proofErr w:type="spellStart"/>
      <w:r w:rsidRPr="004D4EDD">
        <w:t>Chisquare</w:t>
      </w:r>
      <w:proofErr w:type="spellEnd"/>
      <w:r w:rsidRPr="004D4EDD">
        <w:t xml:space="preserve"> test.</w:t>
      </w:r>
    </w:p>
    <w:p w14:paraId="5FEE2417" w14:textId="046CAF82" w:rsidR="001551AA" w:rsidRPr="004D4EDD" w:rsidRDefault="001551AA" w:rsidP="00703839">
      <w:pPr>
        <w:pStyle w:val="TableDescription"/>
      </w:pPr>
      <w:r w:rsidRPr="004D4EDD">
        <w:t xml:space="preserve">c Clinical remission is defined as: </w:t>
      </w:r>
      <w:r w:rsidR="001B3509" w:rsidRPr="004D4EDD">
        <w:t>rectal bleeding subscore</w:t>
      </w:r>
      <w:r w:rsidRPr="004D4EDD">
        <w:t xml:space="preserve"> = 0 point and </w:t>
      </w:r>
      <w:r w:rsidR="001B3509" w:rsidRPr="004D4EDD">
        <w:t>stool frequency subscore</w:t>
      </w:r>
      <w:r w:rsidRPr="004D4EDD">
        <w:t xml:space="preserve"> </w:t>
      </w:r>
      <w:r w:rsidR="001B3509" w:rsidRPr="004D4EDD">
        <w:t>≤ </w:t>
      </w:r>
      <w:r w:rsidRPr="004D4EDD">
        <w:t>1</w:t>
      </w:r>
      <w:r w:rsidR="001B3509" w:rsidRPr="004D4EDD">
        <w:t> </w:t>
      </w:r>
      <w:r w:rsidRPr="004D4EDD">
        <w:t xml:space="preserve">point (and a decrease of </w:t>
      </w:r>
      <w:r w:rsidR="001B3509" w:rsidRPr="004D4EDD">
        <w:t>≥</w:t>
      </w:r>
      <w:r w:rsidRPr="004D4EDD">
        <w:t xml:space="preserve"> 1 point from the Baseline </w:t>
      </w:r>
      <w:r w:rsidR="001B3509" w:rsidRPr="004D4EDD">
        <w:t>stool frequency subscore</w:t>
      </w:r>
      <w:r w:rsidRPr="004D4EDD">
        <w:t xml:space="preserve">) and </w:t>
      </w:r>
      <w:r w:rsidR="001B3509" w:rsidRPr="004D4EDD">
        <w:t>e</w:t>
      </w:r>
      <w:r w:rsidRPr="004D4EDD">
        <w:t xml:space="preserve">ndoscopy subscore </w:t>
      </w:r>
      <w:r w:rsidR="001B3509" w:rsidRPr="004D4EDD">
        <w:t>≤</w:t>
      </w:r>
      <w:r w:rsidRPr="004D4EDD">
        <w:t xml:space="preserve"> 1 point.</w:t>
      </w:r>
    </w:p>
    <w:p w14:paraId="4DEB646D" w14:textId="7497ED37" w:rsidR="001551AA" w:rsidRPr="004D4EDD" w:rsidRDefault="001551AA" w:rsidP="00703839">
      <w:pPr>
        <w:pStyle w:val="TableDescription"/>
      </w:pPr>
      <w:r w:rsidRPr="004D4EDD">
        <w:t xml:space="preserve">Subjects with any of </w:t>
      </w:r>
      <w:r w:rsidR="001B3509" w:rsidRPr="004D4EDD">
        <w:t>rectal bleeding subscore</w:t>
      </w:r>
      <w:r w:rsidRPr="004D4EDD">
        <w:t xml:space="preserve">, </w:t>
      </w:r>
      <w:r w:rsidR="001B3509" w:rsidRPr="004D4EDD">
        <w:t xml:space="preserve">stool frequency </w:t>
      </w:r>
      <w:proofErr w:type="spellStart"/>
      <w:r w:rsidR="001B3509" w:rsidRPr="004D4EDD">
        <w:t>subscore</w:t>
      </w:r>
      <w:proofErr w:type="spellEnd"/>
      <w:r w:rsidRPr="004D4EDD">
        <w:t xml:space="preserve">, and endoscopy </w:t>
      </w:r>
      <w:proofErr w:type="spellStart"/>
      <w:r w:rsidRPr="004D4EDD">
        <w:t>subscores</w:t>
      </w:r>
      <w:proofErr w:type="spellEnd"/>
      <w:r w:rsidRPr="004D4EDD">
        <w:t xml:space="preserve"> missing at Week 10 are classified as non-remitters.</w:t>
      </w:r>
    </w:p>
    <w:p w14:paraId="5F7EED04" w14:textId="026BDCA1" w:rsidR="001551AA" w:rsidRPr="004D4EDD" w:rsidRDefault="001551AA" w:rsidP="00703839">
      <w:pPr>
        <w:pStyle w:val="TableDescription"/>
      </w:pPr>
      <w:r w:rsidRPr="004D4EDD">
        <w:t xml:space="preserve">d Clinical response is defined as: A reduction from Baseline in the 9-point Mayo score of </w:t>
      </w:r>
      <w:r w:rsidR="001B3509" w:rsidRPr="004D4EDD">
        <w:t>≥</w:t>
      </w:r>
      <w:r w:rsidRPr="004D4EDD">
        <w:t xml:space="preserve"> 2 points and </w:t>
      </w:r>
      <w:r w:rsidR="001B3509" w:rsidRPr="004D4EDD">
        <w:t>≥ </w:t>
      </w:r>
      <w:r w:rsidRPr="004D4EDD">
        <w:t xml:space="preserve">35%, and a reduction from Baseline in the </w:t>
      </w:r>
      <w:r w:rsidR="001B3509" w:rsidRPr="004D4EDD">
        <w:t>rectal bleeding subscore</w:t>
      </w:r>
      <w:r w:rsidRPr="004D4EDD">
        <w:t xml:space="preserve"> of </w:t>
      </w:r>
      <w:r w:rsidR="001B3509" w:rsidRPr="004D4EDD">
        <w:t>≥</w:t>
      </w:r>
      <w:r w:rsidRPr="004D4EDD">
        <w:t xml:space="preserve"> 1 point or an absolute </w:t>
      </w:r>
      <w:r w:rsidR="001B3509" w:rsidRPr="004D4EDD">
        <w:t>rectal bleeding subscore</w:t>
      </w:r>
      <w:r w:rsidRPr="004D4EDD">
        <w:t xml:space="preserve"> of </w:t>
      </w:r>
      <w:r w:rsidR="001B3509" w:rsidRPr="004D4EDD">
        <w:t>≤</w:t>
      </w:r>
      <w:r w:rsidRPr="004D4EDD">
        <w:t xml:space="preserve"> 1 point. Subjects with any of </w:t>
      </w:r>
      <w:r w:rsidR="001B3509" w:rsidRPr="004D4EDD">
        <w:t>rectal bleeding subscore</w:t>
      </w:r>
      <w:r w:rsidRPr="004D4EDD">
        <w:t xml:space="preserve">, </w:t>
      </w:r>
      <w:r w:rsidR="001B3509" w:rsidRPr="004D4EDD">
        <w:t xml:space="preserve">stool frequency </w:t>
      </w:r>
      <w:proofErr w:type="spellStart"/>
      <w:r w:rsidR="001B3509" w:rsidRPr="004D4EDD">
        <w:t>subscore</w:t>
      </w:r>
      <w:proofErr w:type="spellEnd"/>
      <w:r w:rsidRPr="004D4EDD">
        <w:t xml:space="preserve">, and endoscopy </w:t>
      </w:r>
      <w:proofErr w:type="spellStart"/>
      <w:r w:rsidRPr="004D4EDD">
        <w:t>subscores</w:t>
      </w:r>
      <w:proofErr w:type="spellEnd"/>
      <w:r w:rsidRPr="004D4EDD">
        <w:t xml:space="preserve"> missing at Week 10 are classified as non-responders.</w:t>
      </w:r>
    </w:p>
    <w:p w14:paraId="378B6499" w14:textId="7EFBC295" w:rsidR="001551AA" w:rsidRPr="004D4EDD" w:rsidRDefault="001551AA" w:rsidP="00703839">
      <w:pPr>
        <w:pStyle w:val="TableDescription"/>
      </w:pPr>
      <w:r w:rsidRPr="004D4EDD">
        <w:t xml:space="preserve">e Endoscopic improvement is defined as: Endoscopy subscore of </w:t>
      </w:r>
      <w:r w:rsidR="001B3509" w:rsidRPr="004D4EDD">
        <w:t>≤</w:t>
      </w:r>
      <w:r w:rsidRPr="004D4EDD">
        <w:t xml:space="preserve"> 1 point. Subjects with missing endoscopy subscore at Week 10 are classified as non</w:t>
      </w:r>
      <w:r w:rsidR="001B3509" w:rsidRPr="004D4EDD">
        <w:t>-</w:t>
      </w:r>
      <w:r w:rsidRPr="004D4EDD">
        <w:t>responders.</w:t>
      </w:r>
    </w:p>
    <w:p w14:paraId="2D826B1A" w14:textId="062131FD" w:rsidR="001551AA" w:rsidRPr="004D4EDD" w:rsidRDefault="001551AA" w:rsidP="00703839">
      <w:pPr>
        <w:pStyle w:val="TableDescription"/>
      </w:pPr>
      <w:r w:rsidRPr="004D4EDD">
        <w:t xml:space="preserve">f Mucosal healing is defined as: </w:t>
      </w:r>
      <w:r w:rsidR="001B3509" w:rsidRPr="004D4EDD">
        <w:t>e</w:t>
      </w:r>
      <w:r w:rsidRPr="004D4EDD">
        <w:t xml:space="preserve">ndoscopy subscore of </w:t>
      </w:r>
      <w:r w:rsidR="001B3509" w:rsidRPr="004D4EDD">
        <w:t>≤</w:t>
      </w:r>
      <w:r w:rsidRPr="004D4EDD">
        <w:t xml:space="preserve"> 1 point and </w:t>
      </w:r>
      <w:proofErr w:type="spellStart"/>
      <w:r w:rsidRPr="004D4EDD">
        <w:t>Geboes</w:t>
      </w:r>
      <w:proofErr w:type="spellEnd"/>
      <w:r w:rsidRPr="004D4EDD">
        <w:t xml:space="preserve"> index score &lt; 2.0. Subjects with missing endoscopy </w:t>
      </w:r>
      <w:proofErr w:type="spellStart"/>
      <w:r w:rsidRPr="004D4EDD">
        <w:t>subscore</w:t>
      </w:r>
      <w:proofErr w:type="spellEnd"/>
      <w:r w:rsidRPr="004D4EDD">
        <w:t xml:space="preserve"> or </w:t>
      </w:r>
      <w:proofErr w:type="spellStart"/>
      <w:r w:rsidRPr="004D4EDD">
        <w:t>Geboes</w:t>
      </w:r>
      <w:proofErr w:type="spellEnd"/>
      <w:r w:rsidRPr="004D4EDD">
        <w:t xml:space="preserve"> index score at Week 10 are classified as non-responders.</w:t>
      </w:r>
    </w:p>
    <w:p w14:paraId="72F6EF0E" w14:textId="37A33020" w:rsidR="001551AA" w:rsidRPr="004D4EDD" w:rsidRDefault="001551AA" w:rsidP="00703839">
      <w:pPr>
        <w:pStyle w:val="TableDescription"/>
      </w:pPr>
      <w:r w:rsidRPr="004D4EDD">
        <w:t>Three</w:t>
      </w:r>
      <w:r w:rsidR="001B3509" w:rsidRPr="004D4EDD">
        <w:t>-c</w:t>
      </w:r>
      <w:r w:rsidRPr="004D4EDD">
        <w:t xml:space="preserve">omponent Mayo (range of </w:t>
      </w:r>
      <w:r w:rsidR="001B3509" w:rsidRPr="004D4EDD">
        <w:t xml:space="preserve">zero to </w:t>
      </w:r>
      <w:r w:rsidRPr="004D4EDD">
        <w:t xml:space="preserve">9 points): Sum of the </w:t>
      </w:r>
      <w:r w:rsidR="001B3509" w:rsidRPr="004D4EDD">
        <w:t>rectal bleeding subscore, stool frequency subscore, and the endoscopy subscore.</w:t>
      </w:r>
    </w:p>
    <w:p w14:paraId="4758934E" w14:textId="77777777" w:rsidR="0074163C" w:rsidRPr="004D4EDD" w:rsidRDefault="0074163C" w:rsidP="0074163C">
      <w:pPr>
        <w:pStyle w:val="Heading4"/>
      </w:pPr>
      <w:bookmarkStart w:id="69" w:name="_Toc98931936"/>
      <w:bookmarkStart w:id="70" w:name="_Toc247691532"/>
      <w:bookmarkStart w:id="71" w:name="_Toc314842516"/>
      <w:bookmarkEnd w:id="32"/>
      <w:bookmarkEnd w:id="57"/>
      <w:bookmarkEnd w:id="58"/>
      <w:r w:rsidRPr="004D4EDD">
        <w:t>Advisory Committee considerations</w:t>
      </w:r>
      <w:bookmarkEnd w:id="69"/>
    </w:p>
    <w:p w14:paraId="2C17E1AB" w14:textId="18B6D5EA" w:rsidR="0074163C" w:rsidRPr="004D4EDD" w:rsidRDefault="0074163C" w:rsidP="0074163C">
      <w:pPr>
        <w:rPr>
          <w:bCs/>
        </w:rPr>
      </w:pPr>
      <w:r w:rsidRPr="004D4EDD">
        <w:rPr>
          <w:bCs/>
        </w:rPr>
        <w:t xml:space="preserve">The </w:t>
      </w:r>
      <w:hyperlink r:id="rId23" w:history="1">
        <w:r w:rsidRPr="004D4EDD">
          <w:rPr>
            <w:rStyle w:val="Hyperlink"/>
            <w:szCs w:val="21"/>
          </w:rPr>
          <w:t>Advisory Committee on Medicines (ACM)</w:t>
        </w:r>
      </w:hyperlink>
      <w:r w:rsidRPr="004D4EDD">
        <w:rPr>
          <w:szCs w:val="21"/>
        </w:rPr>
        <w:t>,</w:t>
      </w:r>
      <w:r w:rsidRPr="004D4EDD">
        <w:rPr>
          <w:bCs/>
        </w:rPr>
        <w:t xml:space="preserve"> having considered the evaluations and the Delegate’s overview, as well as the sponsor’s response to these documents, advised the following.</w:t>
      </w:r>
    </w:p>
    <w:p w14:paraId="2B3917CB" w14:textId="77777777" w:rsidR="0074163C" w:rsidRPr="004D4EDD" w:rsidRDefault="0074163C" w:rsidP="0074163C">
      <w:pPr>
        <w:pStyle w:val="Heading5"/>
      </w:pPr>
      <w:r w:rsidRPr="004D4EDD">
        <w:t>Specific advice to the Delegate</w:t>
      </w:r>
    </w:p>
    <w:p w14:paraId="5680385E" w14:textId="2D004EE6" w:rsidR="000E44DE" w:rsidRPr="004D4EDD" w:rsidRDefault="00706FD7" w:rsidP="00706FD7">
      <w:pPr>
        <w:pStyle w:val="Numberbullet0"/>
        <w:numPr>
          <w:ilvl w:val="0"/>
          <w:numId w:val="41"/>
        </w:numPr>
        <w:rPr>
          <w:b/>
          <w:bCs/>
          <w:i/>
          <w:iCs/>
        </w:rPr>
      </w:pPr>
      <w:r w:rsidRPr="004D4EDD">
        <w:rPr>
          <w:b/>
          <w:bCs/>
          <w:i/>
          <w:iCs/>
        </w:rPr>
        <w:t xml:space="preserve">a. </w:t>
      </w:r>
      <w:r w:rsidR="000E44DE" w:rsidRPr="004D4EDD">
        <w:rPr>
          <w:b/>
          <w:bCs/>
          <w:i/>
          <w:iCs/>
        </w:rPr>
        <w:t xml:space="preserve">What is the understanding of the Committee regarding the role of conventional immunomodulators (not including </w:t>
      </w:r>
      <w:r w:rsidR="00DC0E31" w:rsidRPr="004D4EDD">
        <w:rPr>
          <w:b/>
          <w:bCs/>
          <w:i/>
          <w:iCs/>
        </w:rPr>
        <w:t>5-</w:t>
      </w:r>
      <w:r w:rsidR="00A65269" w:rsidRPr="004D4EDD">
        <w:rPr>
          <w:b/>
          <w:bCs/>
          <w:i/>
          <w:iCs/>
        </w:rPr>
        <w:t>aminosalicylates</w:t>
      </w:r>
      <w:r w:rsidR="000E44DE" w:rsidRPr="004D4EDD">
        <w:rPr>
          <w:b/>
          <w:bCs/>
          <w:i/>
          <w:iCs/>
        </w:rPr>
        <w:t xml:space="preserve"> and corticosteroids) in the treatment of ulcerative colitis in Australia?</w:t>
      </w:r>
    </w:p>
    <w:p w14:paraId="0FFF606B" w14:textId="22E3A39A" w:rsidR="000E44DE" w:rsidRPr="004D4EDD" w:rsidRDefault="000E44DE" w:rsidP="000E44DE">
      <w:r w:rsidRPr="004D4EDD">
        <w:t xml:space="preserve">The ACM advised that the current treatment algorithm is to start with </w:t>
      </w:r>
      <w:bookmarkStart w:id="72" w:name="_Hlk110111850"/>
      <w:r w:rsidRPr="004D4EDD">
        <w:t>5-</w:t>
      </w:r>
      <w:bookmarkEnd w:id="72"/>
      <w:r w:rsidR="00A65269" w:rsidRPr="004D4EDD">
        <w:t>aminosalicylates</w:t>
      </w:r>
      <w:r w:rsidRPr="004D4EDD">
        <w:t xml:space="preserve">, then move to immunomodulators azathioprine/mercaptopurine if the patient has an inadequate response to </w:t>
      </w:r>
      <w:r w:rsidR="00DC0E31" w:rsidRPr="004D4EDD">
        <w:t>5</w:t>
      </w:r>
      <w:r w:rsidR="00DC0E31" w:rsidRPr="004D4EDD">
        <w:noBreakHyphen/>
      </w:r>
      <w:r w:rsidR="00A65269" w:rsidRPr="004D4EDD">
        <w:t>aminosalicylates</w:t>
      </w:r>
      <w:r w:rsidRPr="004D4EDD">
        <w:t>.</w:t>
      </w:r>
    </w:p>
    <w:p w14:paraId="53229C6C" w14:textId="518987F3" w:rsidR="000E44DE" w:rsidRPr="004D4EDD" w:rsidRDefault="000E44DE" w:rsidP="000E44DE">
      <w:r w:rsidRPr="004D4EDD">
        <w:lastRenderedPageBreak/>
        <w:t xml:space="preserve">The ACM commented that </w:t>
      </w:r>
      <w:r w:rsidR="00DC0E31" w:rsidRPr="004D4EDD">
        <w:t>immunomodulators azathioprine</w:t>
      </w:r>
      <w:r w:rsidRPr="004D4EDD">
        <w:t>/</w:t>
      </w:r>
      <w:r w:rsidR="00DC0E31" w:rsidRPr="004D4EDD">
        <w:t>mercaptopurine</w:t>
      </w:r>
      <w:r w:rsidRPr="004D4EDD">
        <w:t xml:space="preserve"> is effective in maintaining moderate </w:t>
      </w:r>
      <w:r w:rsidR="00301384" w:rsidRPr="004D4EDD">
        <w:t>ulcerative colitis</w:t>
      </w:r>
      <w:r w:rsidRPr="004D4EDD">
        <w:t>. The ACM noted a metanalysis of randomised</w:t>
      </w:r>
      <w:r w:rsidR="001368ED" w:rsidRPr="004D4EDD">
        <w:t xml:space="preserve"> </w:t>
      </w:r>
      <w:r w:rsidRPr="004D4EDD">
        <w:t>control</w:t>
      </w:r>
      <w:r w:rsidR="001368ED" w:rsidRPr="004D4EDD">
        <w:t xml:space="preserve"> </w:t>
      </w:r>
      <w:r w:rsidRPr="004D4EDD">
        <w:t xml:space="preserve">trials comparing </w:t>
      </w:r>
      <w:r w:rsidR="00DC0E31" w:rsidRPr="004D4EDD">
        <w:t>immunomodulators azathioprine</w:t>
      </w:r>
      <w:r w:rsidRPr="004D4EDD">
        <w:t>/</w:t>
      </w:r>
      <w:r w:rsidR="00DC0E31" w:rsidRPr="004D4EDD">
        <w:t>mercaptopurine</w:t>
      </w:r>
      <w:r w:rsidRPr="004D4EDD">
        <w:t xml:space="preserve"> with placebo⁄</w:t>
      </w:r>
      <w:r w:rsidR="00DC0E31" w:rsidRPr="004D4EDD">
        <w:t>5</w:t>
      </w:r>
      <w:r w:rsidR="00DC0E31" w:rsidRPr="004D4EDD">
        <w:noBreakHyphen/>
      </w:r>
      <w:r w:rsidR="00A65269" w:rsidRPr="004D4EDD">
        <w:t>aminosalicylates</w:t>
      </w:r>
      <w:r w:rsidRPr="004D4EDD">
        <w:t>.</w:t>
      </w:r>
      <w:r w:rsidRPr="004D4EDD">
        <w:rPr>
          <w:vertAlign w:val="superscript"/>
        </w:rPr>
        <w:footnoteReference w:id="25"/>
      </w:r>
      <w:r w:rsidRPr="004D4EDD">
        <w:t xml:space="preserve"> From the thirty non</w:t>
      </w:r>
      <w:r w:rsidR="00B841A8" w:rsidRPr="004D4EDD">
        <w:t>-</w:t>
      </w:r>
      <w:r w:rsidRPr="004D4EDD">
        <w:t xml:space="preserve">controlled studies, the mean efficacy of </w:t>
      </w:r>
      <w:r w:rsidR="00DC0E31" w:rsidRPr="004D4EDD">
        <w:t xml:space="preserve">immunomodulators </w:t>
      </w:r>
      <w:proofErr w:type="spellStart"/>
      <w:r w:rsidR="00DC0E31" w:rsidRPr="004D4EDD">
        <w:t>azathioprine</w:t>
      </w:r>
      <w:r w:rsidRPr="004D4EDD">
        <w:t>⁄</w:t>
      </w:r>
      <w:r w:rsidR="00DC0E31" w:rsidRPr="004D4EDD">
        <w:t>mercaptopurine</w:t>
      </w:r>
      <w:proofErr w:type="spellEnd"/>
      <w:r w:rsidRPr="004D4EDD">
        <w:t xml:space="preserve"> was 65% for induction and 76% for maintenance of the remission. From the seven controlled studies, mean efficacy for induction of remission was 73% </w:t>
      </w:r>
      <w:r w:rsidR="00FB0FA8" w:rsidRPr="004D4EDD">
        <w:t>versus</w:t>
      </w:r>
      <w:r w:rsidRPr="004D4EDD">
        <w:t xml:space="preserve"> 64% in controls (odds ratio (OR) = 1.59; 95% </w:t>
      </w:r>
      <w:r w:rsidR="000F3BD0" w:rsidRPr="004D4EDD">
        <w:t>confidence interval (</w:t>
      </w:r>
      <w:r w:rsidRPr="004D4EDD">
        <w:t>CI</w:t>
      </w:r>
      <w:r w:rsidR="000F3BD0" w:rsidRPr="004D4EDD">
        <w:t>)</w:t>
      </w:r>
      <w:r w:rsidR="00B841A8" w:rsidRPr="004D4EDD">
        <w:t xml:space="preserve">: </w:t>
      </w:r>
      <w:r w:rsidRPr="004D4EDD">
        <w:t>0.59</w:t>
      </w:r>
      <w:r w:rsidR="00B841A8" w:rsidRPr="004D4EDD">
        <w:t xml:space="preserve">, </w:t>
      </w:r>
      <w:r w:rsidRPr="004D4EDD">
        <w:t xml:space="preserve">4.29) and for maintenance of remission it was 60% </w:t>
      </w:r>
      <w:r w:rsidR="00FB0FA8" w:rsidRPr="004D4EDD">
        <w:t>versus</w:t>
      </w:r>
      <w:r w:rsidRPr="004D4EDD">
        <w:t xml:space="preserve"> 37% in controls (OR = 2.56; 95% CI</w:t>
      </w:r>
      <w:r w:rsidR="00B841A8" w:rsidRPr="004D4EDD">
        <w:t xml:space="preserve">: </w:t>
      </w:r>
      <w:r w:rsidRPr="004D4EDD">
        <w:t>1.51</w:t>
      </w:r>
      <w:r w:rsidR="00B841A8" w:rsidRPr="004D4EDD">
        <w:t xml:space="preserve">, </w:t>
      </w:r>
      <w:r w:rsidRPr="004D4EDD">
        <w:t>4.34).</w:t>
      </w:r>
    </w:p>
    <w:p w14:paraId="71D7B3DF" w14:textId="3CC9D028" w:rsidR="000E44DE" w:rsidRPr="004D4EDD" w:rsidRDefault="00706FD7" w:rsidP="00706FD7">
      <w:pPr>
        <w:pStyle w:val="Numberbullet0"/>
        <w:numPr>
          <w:ilvl w:val="0"/>
          <w:numId w:val="0"/>
        </w:numPr>
        <w:ind w:left="425"/>
        <w:rPr>
          <w:b/>
          <w:bCs/>
          <w:i/>
          <w:iCs/>
        </w:rPr>
      </w:pPr>
      <w:r w:rsidRPr="004D4EDD">
        <w:rPr>
          <w:b/>
          <w:bCs/>
          <w:i/>
          <w:iCs/>
        </w:rPr>
        <w:t xml:space="preserve">b. </w:t>
      </w:r>
      <w:r w:rsidR="000E44DE" w:rsidRPr="004D4EDD">
        <w:rPr>
          <w:b/>
          <w:bCs/>
          <w:i/>
          <w:iCs/>
        </w:rPr>
        <w:t>What is the understanding of the Committee regarding the role of biological medicines (monoclonal antibodies, fusion proteins) and targeted immunomodulators (for example</w:t>
      </w:r>
      <w:r w:rsidR="00B841A8" w:rsidRPr="004D4EDD">
        <w:rPr>
          <w:b/>
          <w:bCs/>
          <w:i/>
          <w:iCs/>
        </w:rPr>
        <w:t xml:space="preserve">, Janus kinase </w:t>
      </w:r>
      <w:r w:rsidR="000E44DE" w:rsidRPr="004D4EDD">
        <w:rPr>
          <w:b/>
          <w:bCs/>
          <w:i/>
          <w:iCs/>
        </w:rPr>
        <w:t>inhibitors), compared to conventional immunomodulators in the treatment of ulcerative colitis in Australia?</w:t>
      </w:r>
    </w:p>
    <w:p w14:paraId="7B1C6DA4" w14:textId="1195DF7F" w:rsidR="000E44DE" w:rsidRPr="004D4EDD" w:rsidRDefault="000E44DE" w:rsidP="000E44DE">
      <w:r w:rsidRPr="004D4EDD">
        <w:t xml:space="preserve">The ACM commented that in clinical practice if patients do not have a response or are intolerant to </w:t>
      </w:r>
      <w:r w:rsidR="00DC0E31" w:rsidRPr="004D4EDD">
        <w:t>immunomodulators azathioprine</w:t>
      </w:r>
      <w:r w:rsidRPr="004D4EDD">
        <w:t>/</w:t>
      </w:r>
      <w:r w:rsidR="00DC0E31" w:rsidRPr="004D4EDD">
        <w:t>mercaptopurine</w:t>
      </w:r>
      <w:r w:rsidRPr="004D4EDD">
        <w:t xml:space="preserve"> then they would be eligible for a biological therapy or a targeted immunomodulator.</w:t>
      </w:r>
    </w:p>
    <w:p w14:paraId="0CA721B2" w14:textId="2CA21D97" w:rsidR="000E44DE" w:rsidRPr="004D4EDD" w:rsidRDefault="000E44DE" w:rsidP="000E44DE">
      <w:r w:rsidRPr="004D4EDD">
        <w:t xml:space="preserve">Currently available therapies for moderate to severe </w:t>
      </w:r>
      <w:r w:rsidR="00301384" w:rsidRPr="004D4EDD">
        <w:t>ulcerative colitis</w:t>
      </w:r>
      <w:r w:rsidRPr="004D4EDD">
        <w:t xml:space="preserve"> include TNF</w:t>
      </w:r>
      <w:r w:rsidR="001368ED" w:rsidRPr="004D4EDD">
        <w:t xml:space="preserve"> inhibitor</w:t>
      </w:r>
      <w:r w:rsidRPr="004D4EDD">
        <w:t>s (infusion/injections), integrin inhibitors (infusion), interleukin</w:t>
      </w:r>
      <w:r w:rsidR="001368ED" w:rsidRPr="004D4EDD">
        <w:t xml:space="preserve"> (IL)</w:t>
      </w:r>
      <w:r w:rsidRPr="004D4EDD">
        <w:t>-12 and 23 inhibitors (infusion/injection), and Janus kinase inhibitors (oral). These therapies have variable remission rates of 15% to 60%. In addition, 23% to 46% of patients who achieve remission with TNF</w:t>
      </w:r>
      <w:r w:rsidR="001368ED" w:rsidRPr="004D4EDD">
        <w:t xml:space="preserve"> inhibitor</w:t>
      </w:r>
      <w:r w:rsidRPr="004D4EDD">
        <w:t>s will lose response over time, possibly because of the development of antibodies.</w:t>
      </w:r>
    </w:p>
    <w:p w14:paraId="02C4598C" w14:textId="1F4DD79C" w:rsidR="000E44DE" w:rsidRPr="004D4EDD" w:rsidRDefault="000E44DE" w:rsidP="000E44DE">
      <w:pPr>
        <w:pStyle w:val="Numberbullet0"/>
        <w:rPr>
          <w:b/>
          <w:bCs/>
          <w:i/>
          <w:iCs/>
        </w:rPr>
      </w:pPr>
      <w:r w:rsidRPr="004D4EDD">
        <w:rPr>
          <w:b/>
          <w:bCs/>
          <w:i/>
          <w:iCs/>
        </w:rPr>
        <w:t xml:space="preserve">What is the opinion of the Committee regarding the risk-benefit profile of ozanimod in patients with </w:t>
      </w:r>
      <w:r w:rsidR="00301384" w:rsidRPr="004D4EDD">
        <w:rPr>
          <w:b/>
          <w:bCs/>
          <w:i/>
          <w:iCs/>
        </w:rPr>
        <w:t>ulcerative colitis</w:t>
      </w:r>
      <w:r w:rsidRPr="004D4EDD">
        <w:rPr>
          <w:b/>
          <w:bCs/>
          <w:i/>
          <w:iCs/>
        </w:rPr>
        <w:t xml:space="preserve"> who are naïve to alternative immunomodulators compared to those who have not responded to, lost response to, or been intolerant to alternative immunomodulators?</w:t>
      </w:r>
    </w:p>
    <w:p w14:paraId="41AC05F5" w14:textId="4785B066" w:rsidR="000E44DE" w:rsidRPr="004D4EDD" w:rsidRDefault="000E44DE" w:rsidP="000E44DE">
      <w:r w:rsidRPr="004D4EDD">
        <w:t xml:space="preserve">For </w:t>
      </w:r>
      <w:r w:rsidR="00301384" w:rsidRPr="004D4EDD">
        <w:t>ulcerative colitis</w:t>
      </w:r>
      <w:r w:rsidRPr="004D4EDD">
        <w:t xml:space="preserve"> patients that have not responded to, lost response to, or been intolerant to either conventional therapy or a biological therapy, the ACM was of the view that Zeposia provides a useful oral treatment option with a novel mechanism of action, rapid absorption, and a good bioavailability.</w:t>
      </w:r>
    </w:p>
    <w:p w14:paraId="7F6D6763" w14:textId="4C0190DF" w:rsidR="000E44DE" w:rsidRPr="004D4EDD" w:rsidRDefault="000E44DE" w:rsidP="000E44DE">
      <w:r w:rsidRPr="004D4EDD">
        <w:t xml:space="preserve">The ACM advised that while Zeposia is reasonably efficacious it does not resolve the need for </w:t>
      </w:r>
      <w:r w:rsidR="00301384" w:rsidRPr="004D4EDD">
        <w:t>ulcerative colitis</w:t>
      </w:r>
      <w:r w:rsidRPr="004D4EDD">
        <w:t xml:space="preserve"> treatment options with higher efficacy rates, which should be used first in the treatment algorithm.</w:t>
      </w:r>
    </w:p>
    <w:p w14:paraId="23243A93" w14:textId="4C38AA1D" w:rsidR="000E44DE" w:rsidRPr="004D4EDD" w:rsidRDefault="000E44DE" w:rsidP="000E44DE">
      <w:r w:rsidRPr="004D4EDD">
        <w:t xml:space="preserve">The ACM noted the sponsor’s pre-ACM analyses of 20% of the study population who had received only </w:t>
      </w:r>
      <w:r w:rsidR="00DC0E31" w:rsidRPr="004D4EDD">
        <w:t>5</w:t>
      </w:r>
      <w:r w:rsidR="00DC0E31" w:rsidRPr="004D4EDD">
        <w:noBreakHyphen/>
      </w:r>
      <w:r w:rsidR="00A65269" w:rsidRPr="004D4EDD">
        <w:t>aminosalicylates</w:t>
      </w:r>
      <w:r w:rsidRPr="004D4EDD">
        <w:t xml:space="preserve"> prior to commencing the induction study, as well as the sponsor’s rationale for a broader indication. The ACM commented that this was a post hoc analysis that was underpowered with small numbers and was not a predefined subset for the study. The ACM was strongly in favour of the narrow</w:t>
      </w:r>
      <w:r w:rsidR="00B841A8" w:rsidRPr="004D4EDD">
        <w:t>er</w:t>
      </w:r>
      <w:r w:rsidRPr="004D4EDD">
        <w:t xml:space="preserve"> indication at this time and advised that further studies would be required to determine if this novel agent is appropriate following </w:t>
      </w:r>
      <w:r w:rsidR="00DC0E31" w:rsidRPr="004D4EDD">
        <w:t>5</w:t>
      </w:r>
      <w:r w:rsidR="00DC0E31" w:rsidRPr="004D4EDD">
        <w:noBreakHyphen/>
      </w:r>
      <w:r w:rsidR="00A65269" w:rsidRPr="004D4EDD">
        <w:t>aminosalicylates</w:t>
      </w:r>
      <w:r w:rsidRPr="004D4EDD">
        <w:t xml:space="preserve"> only.</w:t>
      </w:r>
    </w:p>
    <w:p w14:paraId="3FE7EBC0" w14:textId="700A2626" w:rsidR="000E44DE" w:rsidRPr="004D4EDD" w:rsidRDefault="000E44DE" w:rsidP="000E44DE">
      <w:r w:rsidRPr="004D4EDD">
        <w:t xml:space="preserve">The ACM noted a recent indirect analysis comparing the efficacy and safety of ozanimod versus adalimumab and vedolizumab in </w:t>
      </w:r>
      <w:r w:rsidR="00301384" w:rsidRPr="004D4EDD">
        <w:t>ulcerative colitis</w:t>
      </w:r>
      <w:r w:rsidRPr="004D4EDD">
        <w:t xml:space="preserve"> patients where subjects treated with ozanimod achieved significantly higher rates of clinical response (OR: 1.53, </w:t>
      </w:r>
      <w:r w:rsidRPr="004D4EDD">
        <w:lastRenderedPageBreak/>
        <w:t>p</w:t>
      </w:r>
      <w:r w:rsidR="00B841A8" w:rsidRPr="004D4EDD">
        <w:t> </w:t>
      </w:r>
      <w:r w:rsidRPr="004D4EDD">
        <w:t>&lt;</w:t>
      </w:r>
      <w:r w:rsidR="00B841A8" w:rsidRPr="004D4EDD">
        <w:t> </w:t>
      </w:r>
      <w:r w:rsidRPr="004D4EDD">
        <w:t>0.01).</w:t>
      </w:r>
      <w:r w:rsidRPr="004D4EDD">
        <w:rPr>
          <w:vertAlign w:val="superscript"/>
        </w:rPr>
        <w:footnoteReference w:id="26"/>
      </w:r>
      <w:r w:rsidRPr="004D4EDD">
        <w:t xml:space="preserve"> The ACM advised that head-to-head studies with existing treatment options would assist in the development of treatment algorithms.</w:t>
      </w:r>
    </w:p>
    <w:p w14:paraId="3F4BF021" w14:textId="11306647" w:rsidR="000E44DE" w:rsidRPr="004D4EDD" w:rsidRDefault="000E44DE" w:rsidP="000E44DE">
      <w:r w:rsidRPr="004D4EDD">
        <w:t xml:space="preserve">The ACM was of the view that the safety profile of Zeposia may narrow its utility across the </w:t>
      </w:r>
      <w:r w:rsidR="00301384" w:rsidRPr="004D4EDD">
        <w:t>ulcerative colitis</w:t>
      </w:r>
      <w:r w:rsidRPr="004D4EDD">
        <w:t xml:space="preserve"> population and highlighted the importance of doing a thorough baseline assessment before prescribing, particularly in the older age group. The ACM commented that long term data on safety for this therapy is important. The ACM noted that Zeposia has been approved in Australia for use in multiple sclerosis since 2020. The ACM was of the view that it was not ideal to extrapolate the post market experience of Zeposia in multiple sclerosis to </w:t>
      </w:r>
      <w:r w:rsidR="00301384" w:rsidRPr="004D4EDD">
        <w:t>ulcerative colitis</w:t>
      </w:r>
      <w:r w:rsidRPr="004D4EDD">
        <w:t xml:space="preserve"> and that the post market experience with Zeposia is relatively new.</w:t>
      </w:r>
    </w:p>
    <w:p w14:paraId="5F47F17C" w14:textId="77777777" w:rsidR="000E44DE" w:rsidRPr="004D4EDD" w:rsidRDefault="000E44DE" w:rsidP="000E44DE">
      <w:pPr>
        <w:pStyle w:val="Numberbullet0"/>
        <w:rPr>
          <w:b/>
          <w:bCs/>
          <w:i/>
          <w:iCs/>
        </w:rPr>
      </w:pPr>
      <w:r w:rsidRPr="004D4EDD">
        <w:rPr>
          <w:b/>
          <w:bCs/>
          <w:i/>
          <w:iCs/>
        </w:rPr>
        <w:t>Other Advice.</w:t>
      </w:r>
    </w:p>
    <w:p w14:paraId="431501B5" w14:textId="553654B4" w:rsidR="000E44DE" w:rsidRPr="004D4EDD" w:rsidRDefault="000E44DE" w:rsidP="000E44DE">
      <w:r w:rsidRPr="004D4EDD">
        <w:t xml:space="preserve">The ACM discussed concurrent use of </w:t>
      </w:r>
      <w:r w:rsidR="00DC0E31" w:rsidRPr="004D4EDD">
        <w:t>5</w:t>
      </w:r>
      <w:r w:rsidR="00DC0E31" w:rsidRPr="004D4EDD">
        <w:noBreakHyphen/>
      </w:r>
      <w:r w:rsidR="00A65269" w:rsidRPr="004D4EDD">
        <w:t>aminosalicylates</w:t>
      </w:r>
      <w:r w:rsidRPr="004D4EDD">
        <w:t xml:space="preserve"> with Zeposia, noting that </w:t>
      </w:r>
      <w:proofErr w:type="gramStart"/>
      <w:r w:rsidRPr="004D4EDD">
        <w:t>the majority of</w:t>
      </w:r>
      <w:proofErr w:type="gramEnd"/>
      <w:r w:rsidRPr="004D4EDD">
        <w:t xml:space="preserve"> the trial participants were receiving concurrent </w:t>
      </w:r>
      <w:r w:rsidR="00DC0E31" w:rsidRPr="004D4EDD">
        <w:t>5</w:t>
      </w:r>
      <w:r w:rsidR="00DC0E31" w:rsidRPr="004D4EDD">
        <w:noBreakHyphen/>
      </w:r>
      <w:r w:rsidR="00A65269" w:rsidRPr="004D4EDD">
        <w:t>aminosalicylates</w:t>
      </w:r>
      <w:r w:rsidRPr="004D4EDD">
        <w:t xml:space="preserve"> and that in clinical practice all patients are started on </w:t>
      </w:r>
      <w:r w:rsidR="00DC0E31" w:rsidRPr="004D4EDD">
        <w:t>5</w:t>
      </w:r>
      <w:r w:rsidR="00DC0E31" w:rsidRPr="004D4EDD">
        <w:noBreakHyphen/>
      </w:r>
      <w:r w:rsidR="00A65269" w:rsidRPr="004D4EDD">
        <w:t>aminosalicylates</w:t>
      </w:r>
      <w:r w:rsidRPr="004D4EDD">
        <w:t>.</w:t>
      </w:r>
    </w:p>
    <w:p w14:paraId="20723F82" w14:textId="77777777" w:rsidR="0074163C" w:rsidRPr="004D4EDD" w:rsidRDefault="0074163C" w:rsidP="0074163C">
      <w:pPr>
        <w:pStyle w:val="Heading5"/>
      </w:pPr>
      <w:r w:rsidRPr="004D4EDD">
        <w:t>Conclusion</w:t>
      </w:r>
    </w:p>
    <w:p w14:paraId="6EC3699A" w14:textId="77777777" w:rsidR="000E44DE" w:rsidRPr="004D4EDD" w:rsidRDefault="000E44DE" w:rsidP="000E44DE">
      <w:r w:rsidRPr="004D4EDD">
        <w:t>The ACM considered this product to have an overall positive benefit-risk profile for the indication:</w:t>
      </w:r>
    </w:p>
    <w:p w14:paraId="275A095B" w14:textId="48B3B63D" w:rsidR="000E44DE" w:rsidRPr="004D4EDD" w:rsidRDefault="000E44DE" w:rsidP="000E44DE">
      <w:pPr>
        <w:ind w:left="720"/>
        <w:rPr>
          <w:i/>
          <w:iCs/>
        </w:rPr>
      </w:pPr>
      <w:r w:rsidRPr="004D4EDD">
        <w:rPr>
          <w:i/>
          <w:iCs/>
        </w:rPr>
        <w:t>Zeposia is indicated for the treatment of adult patients with moderately to severely active ulcerative colitis who have had an inadequate response, lost response, or were intolerant to either conventional therapy or a biological therapy.</w:t>
      </w:r>
    </w:p>
    <w:p w14:paraId="75270603" w14:textId="77777777" w:rsidR="008E7846" w:rsidRPr="004D4EDD" w:rsidRDefault="008E7846" w:rsidP="00D212F3">
      <w:pPr>
        <w:pStyle w:val="Heading2"/>
      </w:pPr>
      <w:bookmarkStart w:id="73" w:name="_Toc113536198"/>
      <w:r w:rsidRPr="004D4EDD">
        <w:t>Outcome</w:t>
      </w:r>
      <w:bookmarkEnd w:id="70"/>
      <w:bookmarkEnd w:id="71"/>
      <w:bookmarkEnd w:id="73"/>
    </w:p>
    <w:p w14:paraId="751E9992" w14:textId="61C25E1D" w:rsidR="0074163C" w:rsidRPr="004D4EDD" w:rsidRDefault="0074163C" w:rsidP="0074163C">
      <w:bookmarkStart w:id="74" w:name="_Toc247691533"/>
      <w:bookmarkStart w:id="75" w:name="_Toc314842517"/>
      <w:r w:rsidRPr="004D4EDD">
        <w:t xml:space="preserve">Based on a review of quality, </w:t>
      </w:r>
      <w:r w:rsidR="00CC5044" w:rsidRPr="004D4EDD">
        <w:t>safety,</w:t>
      </w:r>
      <w:r w:rsidRPr="004D4EDD">
        <w:t xml:space="preserve"> and efficacy, the TGA approved the registration of </w:t>
      </w:r>
      <w:r w:rsidR="00B02F83" w:rsidRPr="004D4EDD">
        <w:t xml:space="preserve">Zeposia </w:t>
      </w:r>
      <w:r w:rsidRPr="004D4EDD">
        <w:t>(</w:t>
      </w:r>
      <w:r w:rsidR="00B02F83" w:rsidRPr="004D4EDD">
        <w:t>ozanimod</w:t>
      </w:r>
      <w:r w:rsidRPr="004D4EDD">
        <w:t xml:space="preserve">) </w:t>
      </w:r>
      <w:r w:rsidR="000E44DE" w:rsidRPr="004D4EDD">
        <w:t>230 µg and 460 µg capsule (</w:t>
      </w:r>
      <w:r w:rsidR="00301384" w:rsidRPr="004D4EDD">
        <w:t>composite pack</w:t>
      </w:r>
      <w:r w:rsidR="000E44DE" w:rsidRPr="004D4EDD">
        <w:t>), 920 µg capsule (blister pack)</w:t>
      </w:r>
      <w:r w:rsidRPr="004D4EDD">
        <w:t>, for the following extension of indications:</w:t>
      </w:r>
    </w:p>
    <w:p w14:paraId="1204B1FC" w14:textId="61BF616C" w:rsidR="005F15EE" w:rsidRPr="004D4EDD" w:rsidRDefault="005F15EE" w:rsidP="005F15EE">
      <w:pPr>
        <w:ind w:left="720"/>
        <w:rPr>
          <w:b/>
          <w:bCs/>
          <w:i/>
          <w:iCs/>
        </w:rPr>
      </w:pPr>
      <w:r w:rsidRPr="004D4EDD">
        <w:rPr>
          <w:b/>
          <w:bCs/>
          <w:i/>
          <w:iCs/>
        </w:rPr>
        <w:t xml:space="preserve">Ulcerative </w:t>
      </w:r>
      <w:r w:rsidR="00301384" w:rsidRPr="004D4EDD">
        <w:rPr>
          <w:b/>
          <w:bCs/>
          <w:i/>
          <w:iCs/>
        </w:rPr>
        <w:t>c</w:t>
      </w:r>
      <w:r w:rsidRPr="004D4EDD">
        <w:rPr>
          <w:b/>
          <w:bCs/>
          <w:i/>
          <w:iCs/>
        </w:rPr>
        <w:t>olitis</w:t>
      </w:r>
    </w:p>
    <w:p w14:paraId="31F6793D" w14:textId="3B67BC2F" w:rsidR="0074163C" w:rsidRPr="004D4EDD" w:rsidRDefault="000E44DE" w:rsidP="005F15EE">
      <w:pPr>
        <w:ind w:left="720"/>
        <w:rPr>
          <w:i/>
          <w:iCs/>
        </w:rPr>
      </w:pPr>
      <w:r w:rsidRPr="004D4EDD">
        <w:rPr>
          <w:i/>
          <w:iCs/>
        </w:rPr>
        <w:t xml:space="preserve">Zeposia </w:t>
      </w:r>
      <w:r w:rsidR="005F15EE" w:rsidRPr="004D4EDD">
        <w:rPr>
          <w:i/>
          <w:iCs/>
        </w:rPr>
        <w:t>is indicated for the treatment of adult patients with moderately to severely active ulcerative colitis who have had an inadequate response, lost response, or were intolerant to either conventional therapy or a biological therapy.</w:t>
      </w:r>
    </w:p>
    <w:p w14:paraId="2BAAECD0" w14:textId="2E0955D7" w:rsidR="0074163C" w:rsidRPr="004D4EDD" w:rsidRDefault="0074163C" w:rsidP="0074163C">
      <w:r w:rsidRPr="004D4EDD">
        <w:t xml:space="preserve">As such, the full indications </w:t>
      </w:r>
      <w:proofErr w:type="gramStart"/>
      <w:r w:rsidRPr="004D4EDD">
        <w:t>at this time</w:t>
      </w:r>
      <w:proofErr w:type="gramEnd"/>
      <w:r w:rsidRPr="004D4EDD">
        <w:t xml:space="preserve"> were:</w:t>
      </w:r>
    </w:p>
    <w:p w14:paraId="1E2B2B19" w14:textId="4B3BBFD5" w:rsidR="005F15EE" w:rsidRPr="004D4EDD" w:rsidRDefault="005F15EE" w:rsidP="005F15EE">
      <w:pPr>
        <w:ind w:left="720"/>
        <w:rPr>
          <w:b/>
          <w:bCs/>
          <w:i/>
          <w:iCs/>
        </w:rPr>
      </w:pPr>
      <w:r w:rsidRPr="004D4EDD">
        <w:rPr>
          <w:b/>
          <w:bCs/>
          <w:i/>
          <w:iCs/>
        </w:rPr>
        <w:t xml:space="preserve">Multiple </w:t>
      </w:r>
      <w:r w:rsidR="00301384" w:rsidRPr="004D4EDD">
        <w:rPr>
          <w:b/>
          <w:bCs/>
          <w:i/>
          <w:iCs/>
        </w:rPr>
        <w:t>sclerosis</w:t>
      </w:r>
    </w:p>
    <w:p w14:paraId="7921269C" w14:textId="31632E22" w:rsidR="005F15EE" w:rsidRPr="004D4EDD" w:rsidRDefault="000E44DE" w:rsidP="005F15EE">
      <w:pPr>
        <w:ind w:left="720"/>
        <w:rPr>
          <w:i/>
          <w:iCs/>
        </w:rPr>
      </w:pPr>
      <w:r w:rsidRPr="004D4EDD">
        <w:rPr>
          <w:i/>
          <w:iCs/>
        </w:rPr>
        <w:t xml:space="preserve">Zeposia </w:t>
      </w:r>
      <w:r w:rsidR="005F15EE" w:rsidRPr="004D4EDD">
        <w:rPr>
          <w:i/>
          <w:iCs/>
        </w:rPr>
        <w:t>is indicated for the treatment of adult patients with relapsing forms of multiple sclerosis.</w:t>
      </w:r>
    </w:p>
    <w:p w14:paraId="07D32849" w14:textId="50B624AB" w:rsidR="005F15EE" w:rsidRPr="004D4EDD" w:rsidRDefault="005F15EE" w:rsidP="005F15EE">
      <w:pPr>
        <w:ind w:left="720"/>
        <w:rPr>
          <w:b/>
          <w:bCs/>
          <w:i/>
          <w:iCs/>
        </w:rPr>
      </w:pPr>
      <w:r w:rsidRPr="004D4EDD">
        <w:rPr>
          <w:b/>
          <w:bCs/>
          <w:i/>
          <w:iCs/>
        </w:rPr>
        <w:t xml:space="preserve">Ulcerative </w:t>
      </w:r>
      <w:r w:rsidR="00301384" w:rsidRPr="004D4EDD">
        <w:rPr>
          <w:b/>
          <w:bCs/>
          <w:i/>
          <w:iCs/>
        </w:rPr>
        <w:t>colitis</w:t>
      </w:r>
    </w:p>
    <w:p w14:paraId="372EEC47" w14:textId="39BCA711" w:rsidR="005F15EE" w:rsidRPr="004D4EDD" w:rsidRDefault="000E44DE" w:rsidP="005F15EE">
      <w:pPr>
        <w:ind w:left="720"/>
        <w:rPr>
          <w:i/>
          <w:iCs/>
        </w:rPr>
      </w:pPr>
      <w:r w:rsidRPr="004D4EDD">
        <w:rPr>
          <w:i/>
          <w:iCs/>
        </w:rPr>
        <w:t xml:space="preserve">Zeposia </w:t>
      </w:r>
      <w:r w:rsidR="005F15EE" w:rsidRPr="004D4EDD">
        <w:rPr>
          <w:i/>
          <w:iCs/>
        </w:rPr>
        <w:t>is indicated for the treatment of adult patients with moderately to severely active ulcerative colitis who have had an inadequate response, lost response, or were intolerant to either conventional therapy or a biological therapy.</w:t>
      </w:r>
    </w:p>
    <w:p w14:paraId="26D13D63" w14:textId="77777777" w:rsidR="00D23139" w:rsidRPr="004D4EDD" w:rsidRDefault="00D23139" w:rsidP="00D212F3">
      <w:pPr>
        <w:pStyle w:val="Heading3"/>
      </w:pPr>
      <w:bookmarkStart w:id="76" w:name="_Toc113536199"/>
      <w:r w:rsidRPr="004D4EDD">
        <w:t>Specific conditions of registration applying to these goods</w:t>
      </w:r>
      <w:bookmarkEnd w:id="76"/>
    </w:p>
    <w:p w14:paraId="050C6AE8" w14:textId="0B277280" w:rsidR="000E44DE" w:rsidRPr="004D4EDD" w:rsidRDefault="000E44DE" w:rsidP="000E44DE">
      <w:pPr>
        <w:pStyle w:val="ListBullet"/>
      </w:pPr>
      <w:r w:rsidRPr="004D4EDD">
        <w:t xml:space="preserve">Zeposia (ozanimod) is to be included in the Black Triangle Scheme. The PI and </w:t>
      </w:r>
      <w:r w:rsidR="000F3BD0" w:rsidRPr="004D4EDD">
        <w:t>Consumer Medicines Information (</w:t>
      </w:r>
      <w:r w:rsidRPr="004D4EDD">
        <w:t>CMI</w:t>
      </w:r>
      <w:r w:rsidR="000F3BD0" w:rsidRPr="004D4EDD">
        <w:t>)</w:t>
      </w:r>
      <w:r w:rsidRPr="004D4EDD">
        <w:t xml:space="preserve"> for Zeposia must include the black triangle </w:t>
      </w:r>
      <w:r w:rsidRPr="004D4EDD">
        <w:lastRenderedPageBreak/>
        <w:t>symbol and mandatory accompanying text for five years, which starts from the date the new indication is registered.</w:t>
      </w:r>
    </w:p>
    <w:p w14:paraId="486DF7E2" w14:textId="509F5F69" w:rsidR="000E44DE" w:rsidRPr="004D4EDD" w:rsidRDefault="000E44DE" w:rsidP="000E44DE">
      <w:pPr>
        <w:pStyle w:val="ListBullet"/>
      </w:pPr>
      <w:r w:rsidRPr="004D4EDD">
        <w:t>The Zeposia EU-</w:t>
      </w:r>
      <w:r w:rsidR="00B841A8" w:rsidRPr="004D4EDD">
        <w:t xml:space="preserve">risk management plan </w:t>
      </w:r>
      <w:r w:rsidRPr="004D4EDD">
        <w:t xml:space="preserve">(RMP) (version 1.1, dated 3 November 2020, data lock point 31 March 2020), with Australian </w:t>
      </w:r>
      <w:r w:rsidR="00B841A8" w:rsidRPr="004D4EDD">
        <w:t xml:space="preserve">specific annex </w:t>
      </w:r>
      <w:r w:rsidRPr="004D4EDD">
        <w:t>(version 3.0, dated 5</w:t>
      </w:r>
      <w:r w:rsidR="00B841A8" w:rsidRPr="004D4EDD">
        <w:t> </w:t>
      </w:r>
      <w:r w:rsidRPr="004D4EDD">
        <w:t xml:space="preserve">February 2021), included with </w:t>
      </w:r>
      <w:r w:rsidR="00B841A8" w:rsidRPr="004D4EDD">
        <w:t xml:space="preserve">Submission </w:t>
      </w:r>
      <w:r w:rsidRPr="004D4EDD">
        <w:t>PM-2021-00444-1-1, and any subsequent revisions, as agreed with the TGA will be implemented in Australia.</w:t>
      </w:r>
    </w:p>
    <w:p w14:paraId="088BB481" w14:textId="3DCB7C62" w:rsidR="000E44DE" w:rsidRPr="004D4EDD" w:rsidRDefault="000E44DE" w:rsidP="000E44DE">
      <w:pPr>
        <w:pStyle w:val="ListBullet"/>
        <w:numPr>
          <w:ilvl w:val="0"/>
          <w:numId w:val="0"/>
        </w:numPr>
        <w:ind w:left="360"/>
      </w:pPr>
      <w:r w:rsidRPr="004D4EDD">
        <w:t>An obligatory component of risk management plans is routine pharmacovigilance. Routine pharmacovigilance includes the submission of periodic safety update reports (PSURs).</w:t>
      </w:r>
    </w:p>
    <w:p w14:paraId="54623792" w14:textId="22D46A6C" w:rsidR="000E44DE" w:rsidRPr="004D4EDD" w:rsidRDefault="000E44DE" w:rsidP="000E44DE">
      <w:pPr>
        <w:pStyle w:val="ListBullet"/>
        <w:numPr>
          <w:ilvl w:val="0"/>
          <w:numId w:val="0"/>
        </w:numPr>
        <w:ind w:left="360"/>
      </w:pPr>
      <w:r w:rsidRPr="004D4EDD">
        <w:t xml:space="preserve">Reports are to be provided in line with the current published list of EU reference dates and frequency of submission of PSURs until the period covered by such reports is not less than three years from the date of </w:t>
      </w:r>
      <w:r w:rsidR="00B841A8" w:rsidRPr="004D4EDD">
        <w:t>the</w:t>
      </w:r>
      <w:r w:rsidRPr="004D4EDD">
        <w:t xml:space="preserve"> approval letter.</w:t>
      </w:r>
    </w:p>
    <w:p w14:paraId="5CFCB1B7" w14:textId="03D5F6C5" w:rsidR="000E44DE" w:rsidRPr="004D4EDD" w:rsidRDefault="000E44DE" w:rsidP="000E44DE">
      <w:pPr>
        <w:pStyle w:val="ListBullet"/>
        <w:numPr>
          <w:ilvl w:val="0"/>
          <w:numId w:val="0"/>
        </w:numPr>
        <w:ind w:left="360"/>
      </w:pPr>
      <w:r w:rsidRPr="004D4EDD">
        <w:t xml:space="preserve">The reports are to at least meet the requirements for PSURs as described in the European Medicines Agency’s Guideline on </w:t>
      </w:r>
      <w:r w:rsidR="00B841A8" w:rsidRPr="004D4EDD">
        <w:t xml:space="preserve">Good Pharmacovigilance Practices </w:t>
      </w:r>
      <w:r w:rsidRPr="004D4EDD">
        <w:t>(GVP) Module VII-periodic safety update report (Rev 1), Part VII.B Structures and processes. Note that submission of a PSUR does not constitute an application to vary the registration.</w:t>
      </w:r>
    </w:p>
    <w:p w14:paraId="2824FC24" w14:textId="77777777" w:rsidR="008E7846" w:rsidRPr="004D4EDD" w:rsidRDefault="00A80B5B" w:rsidP="00D23139">
      <w:pPr>
        <w:pStyle w:val="Heading2"/>
      </w:pPr>
      <w:bookmarkStart w:id="77" w:name="_Toc113536200"/>
      <w:r w:rsidRPr="004D4EDD">
        <w:t xml:space="preserve">Attachment 1. </w:t>
      </w:r>
      <w:r w:rsidR="008E7846" w:rsidRPr="004D4EDD">
        <w:t xml:space="preserve">Product </w:t>
      </w:r>
      <w:r w:rsidR="00AA0ED0" w:rsidRPr="004D4EDD">
        <w:t>I</w:t>
      </w:r>
      <w:r w:rsidR="008E7846" w:rsidRPr="004D4EDD">
        <w:t>nformation</w:t>
      </w:r>
      <w:bookmarkEnd w:id="74"/>
      <w:bookmarkEnd w:id="75"/>
      <w:bookmarkEnd w:id="77"/>
    </w:p>
    <w:p w14:paraId="2DE9C73F" w14:textId="3F71AEA5" w:rsidR="00523A21" w:rsidRPr="004D4EDD" w:rsidRDefault="006136D7" w:rsidP="00C80137">
      <w:r w:rsidRPr="004D4EDD">
        <w:t xml:space="preserve">The PI for </w:t>
      </w:r>
      <w:r w:rsidR="00B02F83" w:rsidRPr="004D4EDD">
        <w:t xml:space="preserve">Zeposia </w:t>
      </w:r>
      <w:r w:rsidRPr="004D4EDD">
        <w:t>approved with the submission which is described in this AusPAR is at Attachment 1.</w:t>
      </w:r>
      <w:r w:rsidR="00CC5044" w:rsidRPr="004D4EDD">
        <w:t xml:space="preserve"> </w:t>
      </w:r>
      <w:r w:rsidR="0074163C" w:rsidRPr="004D4EDD">
        <w:t xml:space="preserve">For the most recent PI, please refer to the TGA </w:t>
      </w:r>
      <w:hyperlink r:id="rId24" w:history="1">
        <w:r w:rsidR="0074163C" w:rsidRPr="004D4EDD">
          <w:rPr>
            <w:rStyle w:val="Hyperlink"/>
          </w:rPr>
          <w:t>PI/CM</w:t>
        </w:r>
        <w:r w:rsidR="0074163C" w:rsidRPr="004D4EDD">
          <w:rPr>
            <w:rStyle w:val="Hyperlink"/>
          </w:rPr>
          <w:t>I</w:t>
        </w:r>
        <w:r w:rsidR="0074163C" w:rsidRPr="004D4EDD">
          <w:rPr>
            <w:rStyle w:val="Hyperlink"/>
          </w:rPr>
          <w:t xml:space="preserve"> search facility</w:t>
        </w:r>
        <w:r w:rsidR="0074163C" w:rsidRPr="004D4EDD">
          <w:rPr>
            <w:rStyle w:val="Hyperlink"/>
            <w:color w:val="auto"/>
            <w:u w:val="none"/>
          </w:rPr>
          <w:t>.</w:t>
        </w:r>
      </w:hyperlink>
    </w:p>
    <w:p w14:paraId="2A4A35D9" w14:textId="11EFB568" w:rsidR="00744121" w:rsidRPr="004D4EDD" w:rsidRDefault="00744121" w:rsidP="00744121"/>
    <w:p w14:paraId="7C00921B" w14:textId="77777777" w:rsidR="00C80137" w:rsidRPr="004D4EDD" w:rsidRDefault="00C80137" w:rsidP="003A7F6C">
      <w:pPr>
        <w:pStyle w:val="TableTitle"/>
        <w:sectPr w:rsidR="00C80137" w:rsidRPr="004D4EDD" w:rsidSect="00B452CE">
          <w:headerReference w:type="even" r:id="rId25"/>
          <w:headerReference w:type="default" r:id="rId26"/>
          <w:headerReference w:type="first" r:id="rId27"/>
          <w:footerReference w:type="first" r:id="rId28"/>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D4EDD" w14:paraId="2DBF08C9" w14:textId="77777777" w:rsidTr="00A05FA4">
        <w:trPr>
          <w:trHeight w:hRule="exact" w:val="704"/>
        </w:trPr>
        <w:tc>
          <w:tcPr>
            <w:tcW w:w="9175" w:type="dxa"/>
          </w:tcPr>
          <w:p w14:paraId="3CF21291" w14:textId="77777777" w:rsidR="001C32CD" w:rsidRPr="004D4EDD" w:rsidRDefault="001C32CD" w:rsidP="00A05FA4">
            <w:pPr>
              <w:pStyle w:val="TGASignoff"/>
            </w:pPr>
            <w:r w:rsidRPr="004D4EDD">
              <w:lastRenderedPageBreak/>
              <w:t>Therapeutic Goods Administration</w:t>
            </w:r>
          </w:p>
        </w:tc>
      </w:tr>
      <w:tr w:rsidR="001C32CD" w:rsidRPr="004C239D" w14:paraId="4EEF5B74" w14:textId="77777777" w:rsidTr="00A05FA4">
        <w:trPr>
          <w:trHeight w:val="1221"/>
        </w:trPr>
        <w:tc>
          <w:tcPr>
            <w:tcW w:w="9175" w:type="dxa"/>
            <w:tcMar>
              <w:top w:w="28" w:type="dxa"/>
            </w:tcMar>
          </w:tcPr>
          <w:p w14:paraId="14C0E522" w14:textId="77777777" w:rsidR="001C32CD" w:rsidRPr="004D4EDD" w:rsidRDefault="001C32CD" w:rsidP="00A05FA4">
            <w:pPr>
              <w:pStyle w:val="Address"/>
            </w:pPr>
            <w:r w:rsidRPr="004D4EDD">
              <w:t>PO Box 100 Woden ACT 2606 Australia</w:t>
            </w:r>
          </w:p>
          <w:p w14:paraId="47230239" w14:textId="2D3B1734" w:rsidR="001C32CD" w:rsidRPr="004D4EDD" w:rsidRDefault="001C32CD" w:rsidP="00A05FA4">
            <w:pPr>
              <w:pStyle w:val="Address"/>
            </w:pPr>
            <w:r w:rsidRPr="004D4EDD">
              <w:t xml:space="preserve">Email: </w:t>
            </w:r>
            <w:hyperlink r:id="rId29" w:history="1">
              <w:r w:rsidRPr="004D4EDD">
                <w:rPr>
                  <w:rStyle w:val="Hyperlink"/>
                </w:rPr>
                <w:t>info@tga.gov.au</w:t>
              </w:r>
            </w:hyperlink>
            <w:r w:rsidRPr="004D4EDD">
              <w:t xml:space="preserve">  Phone: 1800 020 </w:t>
            </w:r>
            <w:proofErr w:type="gramStart"/>
            <w:r w:rsidRPr="004D4EDD">
              <w:t>653  Fax</w:t>
            </w:r>
            <w:proofErr w:type="gramEnd"/>
            <w:r w:rsidRPr="004D4EDD">
              <w:t>: 02 6232 8605</w:t>
            </w:r>
          </w:p>
          <w:p w14:paraId="25191961" w14:textId="4EF5F7F0" w:rsidR="001C32CD" w:rsidRPr="004C239D" w:rsidRDefault="009C0FB4" w:rsidP="00A05FA4">
            <w:pPr>
              <w:pStyle w:val="Address"/>
              <w:spacing w:line="260" w:lineRule="atLeast"/>
              <w:rPr>
                <w:b/>
                <w:color w:val="0000FF"/>
                <w:u w:val="single"/>
              </w:rPr>
            </w:pPr>
            <w:hyperlink r:id="rId30" w:history="1">
              <w:r w:rsidR="007C6B9B" w:rsidRPr="004D4EDD">
                <w:rPr>
                  <w:rStyle w:val="Hyperlink"/>
                  <w:b/>
                </w:rPr>
                <w:t>https://www.tga.gov.au</w:t>
              </w:r>
            </w:hyperlink>
          </w:p>
        </w:tc>
      </w:tr>
    </w:tbl>
    <w:p w14:paraId="4F945A57" w14:textId="77777777" w:rsidR="00774E1D" w:rsidRPr="008A5E0B" w:rsidRDefault="00774E1D" w:rsidP="004C239D"/>
    <w:sectPr w:rsidR="00774E1D" w:rsidRPr="008A5E0B" w:rsidSect="001C32CD">
      <w:headerReference w:type="even" r:id="rId31"/>
      <w:headerReference w:type="default" r:id="rId32"/>
      <w:footerReference w:type="default" r:id="rId33"/>
      <w:headerReference w:type="first" r:id="rId34"/>
      <w:footerReference w:type="first" r:id="rId35"/>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E0C33" w14:textId="77777777" w:rsidR="000A6A58" w:rsidRDefault="000A6A58" w:rsidP="00C40A36">
      <w:pPr>
        <w:spacing w:after="0"/>
      </w:pPr>
      <w:r>
        <w:separator/>
      </w:r>
    </w:p>
  </w:endnote>
  <w:endnote w:type="continuationSeparator" w:id="0">
    <w:p w14:paraId="3E9CBF95" w14:textId="77777777" w:rsidR="000A6A58" w:rsidRDefault="000A6A58"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TimesNewRoman">
    <w:altName w:val="Yu Gothic UI"/>
    <w:panose1 w:val="00000000000000000000"/>
    <w:charset w:val="00"/>
    <w:family w:val="roman"/>
    <w:notTrueType/>
    <w:pitch w:val="default"/>
    <w:sig w:usb0="00000003" w:usb1="08070000" w:usb2="00000010" w:usb3="00000000" w:csb0="0002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0A6A58" w:rsidRPr="00487162" w14:paraId="75A74987" w14:textId="77777777" w:rsidTr="00DB750B">
      <w:trPr>
        <w:trHeight w:val="269"/>
      </w:trPr>
      <w:tc>
        <w:tcPr>
          <w:tcW w:w="7371" w:type="dxa"/>
          <w:tcMar>
            <w:top w:w="142" w:type="dxa"/>
            <w:bottom w:w="0" w:type="dxa"/>
          </w:tcMar>
        </w:tcPr>
        <w:p w14:paraId="6F168544" w14:textId="67FE6742" w:rsidR="000A6A58" w:rsidRPr="00487162" w:rsidRDefault="000A6A58" w:rsidP="00460036">
          <w:pPr>
            <w:pStyle w:val="Footer"/>
          </w:pPr>
          <w:r w:rsidRPr="00487162">
            <w:t>AusPA</w:t>
          </w:r>
          <w:r>
            <w:t xml:space="preserve">R - </w:t>
          </w:r>
          <w:r w:rsidRPr="00B02F83">
            <w:t xml:space="preserve">Zeposia </w:t>
          </w:r>
          <w:r>
            <w:t>-</w:t>
          </w:r>
          <w:r w:rsidRPr="00460036">
            <w:t xml:space="preserve"> </w:t>
          </w:r>
          <w:r w:rsidRPr="00B02F83">
            <w:t>ozanimod</w:t>
          </w:r>
          <w:r w:rsidRPr="00460036">
            <w:t xml:space="preserve"> </w:t>
          </w:r>
          <w:r>
            <w:t xml:space="preserve">- </w:t>
          </w:r>
          <w:r w:rsidRPr="00B02F83">
            <w:t>Celgene Pty Limited</w:t>
          </w:r>
          <w:r>
            <w:t xml:space="preserve"> - </w:t>
          </w:r>
          <w:r w:rsidRPr="00B02F83">
            <w:t>PM-2021-00444-1-1</w:t>
          </w:r>
          <w:r>
            <w:br/>
          </w:r>
          <w:r w:rsidR="00481FD2">
            <w:t xml:space="preserve">Final </w:t>
          </w:r>
          <w:r w:rsidR="00703839">
            <w:t>8</w:t>
          </w:r>
          <w:r w:rsidR="00481FD2">
            <w:t xml:space="preserve"> September</w:t>
          </w:r>
          <w:r>
            <w:t xml:space="preserve"> 2022</w:t>
          </w:r>
        </w:p>
      </w:tc>
      <w:tc>
        <w:tcPr>
          <w:tcW w:w="1490" w:type="dxa"/>
          <w:tcMar>
            <w:top w:w="142" w:type="dxa"/>
            <w:bottom w:w="0" w:type="dxa"/>
          </w:tcMar>
        </w:tcPr>
        <w:p w14:paraId="4E0374DE" w14:textId="20CD0CBE" w:rsidR="000A6A58" w:rsidRPr="00487162" w:rsidRDefault="000A6A58" w:rsidP="00DB750B">
          <w:pPr>
            <w:pStyle w:val="Footer"/>
            <w:jc w:val="right"/>
          </w:pPr>
          <w:r w:rsidRPr="00487162">
            <w:t xml:space="preserve">Page </w:t>
          </w:r>
          <w:r>
            <w:fldChar w:fldCharType="begin"/>
          </w:r>
          <w:r>
            <w:instrText xml:space="preserve"> PAGE  \* Arabic </w:instrText>
          </w:r>
          <w:r>
            <w:fldChar w:fldCharType="separate"/>
          </w:r>
          <w:r w:rsidR="00562AAA">
            <w:rPr>
              <w:noProof/>
            </w:rPr>
            <w:t>9</w:t>
          </w:r>
          <w:r>
            <w:fldChar w:fldCharType="end"/>
          </w:r>
          <w:r w:rsidRPr="00487162">
            <w:t xml:space="preserve"> of </w:t>
          </w:r>
          <w:r w:rsidR="009C0FB4">
            <w:fldChar w:fldCharType="begin"/>
          </w:r>
          <w:r w:rsidR="009C0FB4">
            <w:instrText xml:space="preserve"> NUMPAGES  \* Arabic </w:instrText>
          </w:r>
          <w:r w:rsidR="009C0FB4">
            <w:fldChar w:fldCharType="separate"/>
          </w:r>
          <w:r w:rsidR="00562AAA">
            <w:rPr>
              <w:noProof/>
            </w:rPr>
            <w:t>32</w:t>
          </w:r>
          <w:r w:rsidR="009C0FB4">
            <w:rPr>
              <w:noProof/>
            </w:rPr>
            <w:fldChar w:fldCharType="end"/>
          </w:r>
        </w:p>
      </w:tc>
    </w:tr>
  </w:tbl>
  <w:p w14:paraId="2DBCBAED" w14:textId="77777777" w:rsidR="000A6A58" w:rsidRDefault="000A6A58"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0A6A58" w:rsidRPr="00487162" w14:paraId="20033BDA" w14:textId="77777777" w:rsidTr="00E45619">
      <w:trPr>
        <w:trHeight w:val="269"/>
      </w:trPr>
      <w:tc>
        <w:tcPr>
          <w:tcW w:w="4519" w:type="dxa"/>
          <w:tcBorders>
            <w:top w:val="single" w:sz="4" w:space="0" w:color="auto"/>
          </w:tcBorders>
          <w:tcMar>
            <w:top w:w="142" w:type="dxa"/>
            <w:bottom w:w="0" w:type="dxa"/>
          </w:tcMar>
        </w:tcPr>
        <w:p w14:paraId="779D5EA3" w14:textId="77777777" w:rsidR="000A6A58" w:rsidRPr="00487162" w:rsidRDefault="000A6A58" w:rsidP="00FE1DEE">
          <w:pPr>
            <w:pStyle w:val="Footer"/>
          </w:pPr>
          <w:r w:rsidRPr="00487162">
            <w:t>Document title, Part #, Section # - Section title</w:t>
          </w:r>
        </w:p>
        <w:p w14:paraId="6B448EB2" w14:textId="77777777" w:rsidR="000A6A58" w:rsidRPr="00487162" w:rsidRDefault="000A6A58" w:rsidP="00FE1DEE">
          <w:pPr>
            <w:pStyle w:val="Footer"/>
          </w:pPr>
          <w:r w:rsidRPr="00487162">
            <w:t>V1.0 October 2010</w:t>
          </w:r>
        </w:p>
      </w:tc>
      <w:tc>
        <w:tcPr>
          <w:tcW w:w="4342" w:type="dxa"/>
          <w:tcBorders>
            <w:top w:val="single" w:sz="4" w:space="0" w:color="auto"/>
          </w:tcBorders>
          <w:tcMar>
            <w:top w:w="142" w:type="dxa"/>
            <w:bottom w:w="0" w:type="dxa"/>
          </w:tcMar>
        </w:tcPr>
        <w:p w14:paraId="402329B1" w14:textId="77777777" w:rsidR="000A6A58" w:rsidRPr="00487162" w:rsidRDefault="000A6A58"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9C0FB4">
            <w:fldChar w:fldCharType="begin"/>
          </w:r>
          <w:r w:rsidR="009C0FB4">
            <w:instrText xml:space="preserve"> NUMPAGES  </w:instrText>
          </w:r>
          <w:r w:rsidR="009C0FB4">
            <w:fldChar w:fldCharType="separate"/>
          </w:r>
          <w:r>
            <w:rPr>
              <w:noProof/>
            </w:rPr>
            <w:t>21</w:t>
          </w:r>
          <w:r w:rsidR="009C0FB4">
            <w:rPr>
              <w:noProof/>
            </w:rPr>
            <w:fldChar w:fldCharType="end"/>
          </w:r>
        </w:p>
      </w:tc>
    </w:tr>
  </w:tbl>
  <w:p w14:paraId="371BD7CA" w14:textId="77777777" w:rsidR="000A6A58" w:rsidRDefault="000A6A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8F2B5" w14:textId="77777777" w:rsidR="000A6A58" w:rsidRPr="001C32CD" w:rsidRDefault="000A6A58"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0A6A58" w14:paraId="2477FF91" w14:textId="77777777" w:rsidTr="0010601F">
      <w:trPr>
        <w:trHeight w:val="108"/>
      </w:trPr>
      <w:tc>
        <w:tcPr>
          <w:tcW w:w="8875" w:type="dxa"/>
          <w:gridSpan w:val="2"/>
          <w:tcBorders>
            <w:bottom w:val="single" w:sz="4" w:space="0" w:color="auto"/>
          </w:tcBorders>
          <w:tcMar>
            <w:right w:w="284" w:type="dxa"/>
          </w:tcMar>
        </w:tcPr>
        <w:p w14:paraId="14D51DD5" w14:textId="77777777" w:rsidR="000A6A58" w:rsidRDefault="000A6A58" w:rsidP="006E08B3">
          <w:pPr>
            <w:pStyle w:val="Heading3"/>
          </w:pPr>
          <w:r>
            <w:t>Copyright</w:t>
          </w:r>
        </w:p>
        <w:p w14:paraId="4EE62A8D" w14:textId="77777777" w:rsidR="000A6A58" w:rsidRDefault="000A6A58" w:rsidP="006E08B3">
          <w:r>
            <w:rPr>
              <w:rFonts w:cs="Arial"/>
            </w:rPr>
            <w:t>©</w:t>
          </w:r>
          <w:r>
            <w:t xml:space="preserve"> Commonwealth of Australia [add year]</w:t>
          </w:r>
        </w:p>
        <w:p w14:paraId="6EFB4992" w14:textId="77777777" w:rsidR="000A6A58" w:rsidRDefault="000A6A58" w:rsidP="006E08B3"/>
        <w:p w14:paraId="39426AE3" w14:textId="77777777" w:rsidR="000A6A58" w:rsidRDefault="000A6A58"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w:t>
          </w:r>
          <w:proofErr w:type="gramStart"/>
          <w:r>
            <w:t xml:space="preserve">at  </w:t>
          </w:r>
          <w:r w:rsidRPr="006E08B3">
            <w:t>http://www.ag.gov.au/cca</w:t>
          </w:r>
          <w:proofErr w:type="gramEnd"/>
        </w:p>
        <w:p w14:paraId="440B6241" w14:textId="77777777" w:rsidR="000A6A58" w:rsidRDefault="000A6A58" w:rsidP="006E08B3"/>
        <w:p w14:paraId="03C51EA6" w14:textId="77777777" w:rsidR="000A6A58" w:rsidRDefault="000A6A58" w:rsidP="006E08B3">
          <w:pPr>
            <w:pStyle w:val="Heading3"/>
          </w:pPr>
          <w:r>
            <w:t>Confidentiality</w:t>
          </w:r>
        </w:p>
        <w:p w14:paraId="3C358146" w14:textId="77777777" w:rsidR="000A6A58" w:rsidRDefault="000A6A58"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6BAD3265" w14:textId="77777777" w:rsidR="000A6A58" w:rsidRDefault="000A6A58" w:rsidP="006E08B3"/>
        <w:p w14:paraId="6E732FF8" w14:textId="77777777" w:rsidR="000A6A58" w:rsidRDefault="000A6A58" w:rsidP="006E08B3">
          <w:r>
            <w:t>For submission made by individuals, all personal details, other than your name, will be removed from your submission before it is published on the TGA’s Internet site.</w:t>
          </w:r>
        </w:p>
        <w:p w14:paraId="540430DB" w14:textId="77777777" w:rsidR="000A6A58" w:rsidRDefault="000A6A58" w:rsidP="006E08B3"/>
        <w:p w14:paraId="3FD333D3" w14:textId="77777777" w:rsidR="000A6A58" w:rsidRDefault="000A6A58" w:rsidP="006E08B3">
          <w:r>
            <w:t>In addition, a list of parties making submissions will be published. If you do not wish to be identified with your submission you must specifically request this in the space provided in the submission coversheet.</w:t>
          </w:r>
        </w:p>
      </w:tc>
    </w:tr>
    <w:tr w:rsidR="000A6A58" w14:paraId="33786DEF" w14:textId="77777777" w:rsidTr="0010601F">
      <w:trPr>
        <w:trHeight w:val="417"/>
      </w:trPr>
      <w:tc>
        <w:tcPr>
          <w:tcW w:w="4519" w:type="dxa"/>
          <w:tcBorders>
            <w:top w:val="single" w:sz="4" w:space="0" w:color="auto"/>
          </w:tcBorders>
          <w:tcMar>
            <w:top w:w="142" w:type="dxa"/>
            <w:bottom w:w="0" w:type="dxa"/>
          </w:tcMar>
        </w:tcPr>
        <w:p w14:paraId="2A943651" w14:textId="77777777" w:rsidR="000A6A58" w:rsidRDefault="000A6A58" w:rsidP="006E08B3">
          <w:r>
            <w:t>Document title, Part #, Section # - Section title</w:t>
          </w:r>
        </w:p>
        <w:p w14:paraId="12F496B2" w14:textId="77777777" w:rsidR="000A6A58" w:rsidRDefault="000A6A58" w:rsidP="006E08B3">
          <w:r>
            <w:t>V1.0 October 2010</w:t>
          </w:r>
        </w:p>
      </w:tc>
      <w:tc>
        <w:tcPr>
          <w:tcW w:w="4356" w:type="dxa"/>
          <w:tcBorders>
            <w:top w:val="single" w:sz="4" w:space="0" w:color="auto"/>
          </w:tcBorders>
          <w:tcMar>
            <w:top w:w="142" w:type="dxa"/>
            <w:bottom w:w="0" w:type="dxa"/>
          </w:tcMar>
        </w:tcPr>
        <w:p w14:paraId="4C45F943" w14:textId="77777777" w:rsidR="000A6A58" w:rsidRDefault="000A6A58"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9C0FB4">
            <w:fldChar w:fldCharType="begin"/>
          </w:r>
          <w:r w:rsidR="009C0FB4">
            <w:instrText xml:space="preserve"> NUMPAGES  \* Arabic </w:instrText>
          </w:r>
          <w:r w:rsidR="009C0FB4">
            <w:fldChar w:fldCharType="separate"/>
          </w:r>
          <w:r>
            <w:rPr>
              <w:noProof/>
            </w:rPr>
            <w:t>21</w:t>
          </w:r>
          <w:r w:rsidR="009C0FB4">
            <w:rPr>
              <w:noProof/>
            </w:rPr>
            <w:fldChar w:fldCharType="end"/>
          </w:r>
          <w:r>
            <w:t xml:space="preserve">  </w:t>
          </w:r>
        </w:p>
      </w:tc>
    </w:tr>
  </w:tbl>
  <w:p w14:paraId="2E1E4790" w14:textId="77777777" w:rsidR="000A6A58" w:rsidRDefault="000A6A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B90B7" w14:textId="77777777" w:rsidR="000A6A58" w:rsidRDefault="000A6A58" w:rsidP="00C40A36">
      <w:pPr>
        <w:spacing w:after="0"/>
      </w:pPr>
      <w:r>
        <w:separator/>
      </w:r>
    </w:p>
  </w:footnote>
  <w:footnote w:type="continuationSeparator" w:id="0">
    <w:p w14:paraId="47ADE308" w14:textId="77777777" w:rsidR="000A6A58" w:rsidRDefault="000A6A58" w:rsidP="00C40A36">
      <w:pPr>
        <w:spacing w:after="0"/>
      </w:pPr>
      <w:r>
        <w:continuationSeparator/>
      </w:r>
    </w:p>
  </w:footnote>
  <w:footnote w:id="1">
    <w:p w14:paraId="5BCE4804" w14:textId="756FCD13" w:rsidR="000A6A58" w:rsidRPr="005941B9" w:rsidRDefault="000A6A58">
      <w:pPr>
        <w:pStyle w:val="FootnoteText"/>
        <w:rPr>
          <w:lang w:val="en-GB"/>
        </w:rPr>
      </w:pPr>
      <w:r>
        <w:rPr>
          <w:rStyle w:val="FootnoteReference"/>
        </w:rPr>
        <w:footnoteRef/>
      </w:r>
      <w:r>
        <w:t xml:space="preserve"> </w:t>
      </w:r>
      <w:r w:rsidRPr="00E63557">
        <w:t>G</w:t>
      </w:r>
      <w:r>
        <w:t>ESA</w:t>
      </w:r>
      <w:r w:rsidRPr="00E63557">
        <w:t xml:space="preserve"> Australian Guidelines for General Practitioners and Physicians: Inflammatory Bowel Disease 4th Edition (updated 2018)</w:t>
      </w:r>
      <w:r>
        <w:t xml:space="preserve">. </w:t>
      </w:r>
      <w:r w:rsidRPr="005941B9">
        <w:rPr>
          <w:i/>
        </w:rPr>
        <w:t>Gastroenterological Society of Australia</w:t>
      </w:r>
      <w:r>
        <w:rPr>
          <w:i/>
        </w:rPr>
        <w:t xml:space="preserve"> </w:t>
      </w:r>
      <w:r w:rsidRPr="005941B9">
        <w:t>(2018).</w:t>
      </w:r>
    </w:p>
  </w:footnote>
  <w:footnote w:id="2">
    <w:p w14:paraId="222D8D76" w14:textId="2B480DB7" w:rsidR="000A6A58" w:rsidRPr="005941B9" w:rsidRDefault="000A6A58">
      <w:pPr>
        <w:pStyle w:val="FootnoteText"/>
        <w:rPr>
          <w:lang w:val="en-GB"/>
        </w:rPr>
      </w:pPr>
      <w:r>
        <w:rPr>
          <w:rStyle w:val="FootnoteReference"/>
        </w:rPr>
        <w:footnoteRef/>
      </w:r>
      <w:r>
        <w:t xml:space="preserve"> van der Woude CJ, Ardizzone S, Bengtson MB, et al. The Second European Evidenced-Based Consensus on Reproduction and Pregnancy in Inflammatory Bowel Disease. Journal of Crohn's and Colitis 2015;9(2):107–24.</w:t>
      </w:r>
    </w:p>
  </w:footnote>
  <w:footnote w:id="3">
    <w:p w14:paraId="5DD074BD" w14:textId="2E271737" w:rsidR="000A6A58" w:rsidRDefault="000A6A58">
      <w:pPr>
        <w:pStyle w:val="FootnoteText"/>
      </w:pPr>
      <w:r>
        <w:rPr>
          <w:rStyle w:val="FootnoteReference"/>
        </w:rPr>
        <w:footnoteRef/>
      </w:r>
      <w:r>
        <w:t xml:space="preserve"> </w:t>
      </w:r>
      <w:r w:rsidRPr="000A2255">
        <w:t>Remicade was first registered on the ARTG on 2</w:t>
      </w:r>
      <w:r>
        <w:t xml:space="preserve"> August </w:t>
      </w:r>
      <w:r w:rsidRPr="000A2255">
        <w:t>2000 (ARTG number: 73827).</w:t>
      </w:r>
    </w:p>
  </w:footnote>
  <w:footnote w:id="4">
    <w:p w14:paraId="7835D823" w14:textId="35B27AF4" w:rsidR="000A6A58" w:rsidRDefault="000A6A58">
      <w:pPr>
        <w:pStyle w:val="FootnoteText"/>
      </w:pPr>
      <w:r>
        <w:rPr>
          <w:rStyle w:val="FootnoteReference"/>
        </w:rPr>
        <w:footnoteRef/>
      </w:r>
      <w:r>
        <w:t xml:space="preserve"> </w:t>
      </w:r>
      <w:r w:rsidRPr="00826D13">
        <w:t>Humira</w:t>
      </w:r>
      <w:r w:rsidRPr="000A2255">
        <w:t xml:space="preserve"> was first registered on the ARTG on </w:t>
      </w:r>
      <w:r w:rsidRPr="00826D13">
        <w:t>28</w:t>
      </w:r>
      <w:r>
        <w:t xml:space="preserve"> August </w:t>
      </w:r>
      <w:r w:rsidRPr="00826D13">
        <w:t>2012</w:t>
      </w:r>
      <w:r>
        <w:t xml:space="preserve"> (</w:t>
      </w:r>
      <w:r w:rsidRPr="000A2255">
        <w:t>ARTG number</w:t>
      </w:r>
      <w:r>
        <w:t>s</w:t>
      </w:r>
      <w:r w:rsidRPr="000A2255">
        <w:t xml:space="preserve">: </w:t>
      </w:r>
      <w:r w:rsidRPr="00826D13">
        <w:t>199410</w:t>
      </w:r>
      <w:r>
        <w:t xml:space="preserve">, </w:t>
      </w:r>
      <w:r w:rsidRPr="00826D13">
        <w:t>199411</w:t>
      </w:r>
      <w:r>
        <w:t xml:space="preserve"> and </w:t>
      </w:r>
      <w:r w:rsidRPr="00826D13">
        <w:t>199412</w:t>
      </w:r>
      <w:r w:rsidRPr="000A2255">
        <w:t>).</w:t>
      </w:r>
    </w:p>
  </w:footnote>
  <w:footnote w:id="5">
    <w:p w14:paraId="4FFCAD8D" w14:textId="77777777" w:rsidR="000A6A58" w:rsidRDefault="000A6A58" w:rsidP="009627AB">
      <w:pPr>
        <w:pStyle w:val="FootnoteText"/>
      </w:pPr>
      <w:r>
        <w:rPr>
          <w:rStyle w:val="FootnoteReference"/>
        </w:rPr>
        <w:footnoteRef/>
      </w:r>
      <w:r>
        <w:t xml:space="preserve"> </w:t>
      </w:r>
      <w:r w:rsidRPr="00826D13">
        <w:t>Simponi</w:t>
      </w:r>
      <w:r w:rsidRPr="000A2255">
        <w:t xml:space="preserve"> was first registered on the ARTG on </w:t>
      </w:r>
      <w:r w:rsidRPr="00826D13">
        <w:t>13</w:t>
      </w:r>
      <w:r>
        <w:t xml:space="preserve"> November </w:t>
      </w:r>
      <w:r w:rsidRPr="00826D13">
        <w:t xml:space="preserve">2009 </w:t>
      </w:r>
      <w:r w:rsidRPr="000A2255">
        <w:t>(ARTG number</w:t>
      </w:r>
      <w:r>
        <w:t>s</w:t>
      </w:r>
      <w:r w:rsidRPr="000A2255">
        <w:t xml:space="preserve">: </w:t>
      </w:r>
      <w:r w:rsidRPr="00826D13">
        <w:t xml:space="preserve">153181 </w:t>
      </w:r>
      <w:r>
        <w:t xml:space="preserve">and </w:t>
      </w:r>
      <w:r w:rsidRPr="00826D13">
        <w:t>153767</w:t>
      </w:r>
      <w:r w:rsidRPr="000A2255">
        <w:t>).</w:t>
      </w:r>
    </w:p>
  </w:footnote>
  <w:footnote w:id="6">
    <w:p w14:paraId="6100E4E6" w14:textId="77777777" w:rsidR="000A6A58" w:rsidRDefault="000A6A58" w:rsidP="004C3B3C">
      <w:pPr>
        <w:pStyle w:val="FootnoteText"/>
      </w:pPr>
      <w:r>
        <w:rPr>
          <w:rStyle w:val="FootnoteReference"/>
        </w:rPr>
        <w:footnoteRef/>
      </w:r>
      <w:r>
        <w:t xml:space="preserve"> </w:t>
      </w:r>
      <w:r w:rsidRPr="00826D13">
        <w:t>Entyvio</w:t>
      </w:r>
      <w:r w:rsidRPr="000A2255">
        <w:t xml:space="preserve"> was first registered on the ARTG on </w:t>
      </w:r>
      <w:r w:rsidRPr="00826D13">
        <w:t>27</w:t>
      </w:r>
      <w:r>
        <w:t xml:space="preserve"> June </w:t>
      </w:r>
      <w:r w:rsidRPr="00826D13">
        <w:t xml:space="preserve">2014 </w:t>
      </w:r>
      <w:r w:rsidRPr="000A2255">
        <w:t xml:space="preserve">(ARTG number: </w:t>
      </w:r>
      <w:r w:rsidRPr="00826D13">
        <w:t>210048</w:t>
      </w:r>
      <w:r w:rsidRPr="000A2255">
        <w:t>).</w:t>
      </w:r>
    </w:p>
  </w:footnote>
  <w:footnote w:id="7">
    <w:p w14:paraId="0C801F88" w14:textId="77777777" w:rsidR="00323255" w:rsidRDefault="00323255" w:rsidP="00323255">
      <w:pPr>
        <w:pStyle w:val="FootnoteText"/>
      </w:pPr>
      <w:r>
        <w:rPr>
          <w:rStyle w:val="FootnoteReference"/>
        </w:rPr>
        <w:footnoteRef/>
      </w:r>
      <w:r>
        <w:t xml:space="preserve"> </w:t>
      </w:r>
      <w:r w:rsidRPr="00884201">
        <w:t>Stelara</w:t>
      </w:r>
      <w:r>
        <w:t xml:space="preserve"> </w:t>
      </w:r>
      <w:r w:rsidRPr="00884201">
        <w:t xml:space="preserve">was first registered on the ARTG on </w:t>
      </w:r>
      <w:r w:rsidRPr="00B653F5">
        <w:t>28</w:t>
      </w:r>
      <w:r>
        <w:t xml:space="preserve"> July </w:t>
      </w:r>
      <w:r w:rsidRPr="00B653F5">
        <w:t xml:space="preserve">2009 </w:t>
      </w:r>
      <w:r w:rsidRPr="00884201">
        <w:t xml:space="preserve">(ARTG number: </w:t>
      </w:r>
      <w:r w:rsidRPr="00B653F5">
        <w:t>149549</w:t>
      </w:r>
      <w:r w:rsidRPr="00884201">
        <w:t>).</w:t>
      </w:r>
    </w:p>
  </w:footnote>
  <w:footnote w:id="8">
    <w:p w14:paraId="7A93722E" w14:textId="6D8C8A15" w:rsidR="000A6A58" w:rsidRDefault="000A6A58">
      <w:pPr>
        <w:pStyle w:val="FootnoteText"/>
      </w:pPr>
      <w:r>
        <w:rPr>
          <w:rStyle w:val="FootnoteReference"/>
        </w:rPr>
        <w:footnoteRef/>
      </w:r>
      <w:r>
        <w:t xml:space="preserve"> </w:t>
      </w:r>
      <w:r w:rsidRPr="00826D13">
        <w:t>Xeljanz</w:t>
      </w:r>
      <w:r w:rsidRPr="000A2255">
        <w:t xml:space="preserve"> was first registered on the ARTG on </w:t>
      </w:r>
      <w:r w:rsidRPr="00826D13">
        <w:t>5</w:t>
      </w:r>
      <w:r>
        <w:t xml:space="preserve"> February </w:t>
      </w:r>
      <w:r w:rsidRPr="00826D13">
        <w:t>2015</w:t>
      </w:r>
      <w:r>
        <w:t xml:space="preserve"> </w:t>
      </w:r>
      <w:r w:rsidRPr="000A2255">
        <w:t>(ARTG number</w:t>
      </w:r>
      <w:r>
        <w:t>s</w:t>
      </w:r>
      <w:r w:rsidRPr="000A2255">
        <w:t xml:space="preserve">: </w:t>
      </w:r>
      <w:r w:rsidRPr="00826D13">
        <w:t>196987</w:t>
      </w:r>
      <w:r>
        <w:t xml:space="preserve"> and </w:t>
      </w:r>
      <w:r w:rsidRPr="00826D13">
        <w:t>233439</w:t>
      </w:r>
      <w:r w:rsidRPr="000A2255">
        <w:t>).</w:t>
      </w:r>
    </w:p>
  </w:footnote>
  <w:footnote w:id="9">
    <w:p w14:paraId="0160DAF1" w14:textId="02951FF7" w:rsidR="000A6A58" w:rsidRPr="00333269" w:rsidRDefault="000A6A58">
      <w:pPr>
        <w:pStyle w:val="FootnoteText"/>
      </w:pPr>
      <w:r>
        <w:rPr>
          <w:rStyle w:val="FootnoteReference"/>
        </w:rPr>
        <w:footnoteRef/>
      </w:r>
      <w:r>
        <w:t xml:space="preserve"> Further information on the initial approval/registration of this medicine is available via the following: AusPAR for </w:t>
      </w:r>
      <w:r w:rsidRPr="00826D13">
        <w:t>Zeposia</w:t>
      </w:r>
      <w:r>
        <w:t xml:space="preserve"> (</w:t>
      </w:r>
      <w:r w:rsidRPr="00826D13">
        <w:t>ozanimod</w:t>
      </w:r>
      <w:r>
        <w:t>), n</w:t>
      </w:r>
      <w:r w:rsidRPr="00826D13">
        <w:t>ew chemical entity</w:t>
      </w:r>
      <w:r>
        <w:t xml:space="preserve">, published on </w:t>
      </w:r>
      <w:r w:rsidRPr="00884201">
        <w:t>2 December 2020</w:t>
      </w:r>
      <w:r>
        <w:t>. Available at:</w:t>
      </w:r>
      <w:r w:rsidR="008E6DD6">
        <w:t xml:space="preserve"> </w:t>
      </w:r>
      <w:hyperlink r:id="rId1" w:history="1">
        <w:r w:rsidR="008E6DD6" w:rsidRPr="00677E97">
          <w:rPr>
            <w:rStyle w:val="Hyperlink"/>
          </w:rPr>
          <w:t>https://www.tga.gov.au/resources/auspar/auspar-ozanimod-hydrochloride</w:t>
        </w:r>
      </w:hyperlink>
      <w:r>
        <w:t>.</w:t>
      </w:r>
    </w:p>
  </w:footnote>
  <w:footnote w:id="10">
    <w:p w14:paraId="5587F3D9" w14:textId="77777777" w:rsidR="000A6A58" w:rsidRPr="00D07242" w:rsidRDefault="000A6A58" w:rsidP="004824D4">
      <w:pPr>
        <w:pStyle w:val="FootnoteText"/>
        <w:rPr>
          <w:sz w:val="16"/>
          <w:szCs w:val="16"/>
        </w:rPr>
      </w:pPr>
      <w:r w:rsidRPr="00D07242">
        <w:rPr>
          <w:rStyle w:val="FootnoteReference"/>
          <w:sz w:val="16"/>
          <w:szCs w:val="16"/>
        </w:rPr>
        <w:footnoteRef/>
      </w:r>
      <w:r w:rsidRPr="00D07242">
        <w:rPr>
          <w:sz w:val="16"/>
          <w:szCs w:val="16"/>
        </w:rPr>
        <w:t xml:space="preserve"> RPC1063 is ozanimod HCl (0.92 mg ozanimod = 1 mg ozanimod HCl).</w:t>
      </w:r>
    </w:p>
  </w:footnote>
  <w:footnote w:id="11">
    <w:p w14:paraId="18A6D454" w14:textId="30E50E4A" w:rsidR="000A6A58" w:rsidRDefault="000A6A58" w:rsidP="00916435">
      <w:pPr>
        <w:pStyle w:val="FootnoteText"/>
      </w:pPr>
      <w:r>
        <w:rPr>
          <w:rStyle w:val="FootnoteReference"/>
        </w:rPr>
        <w:footnoteRef/>
      </w:r>
      <w:r>
        <w:t xml:space="preserve"> </w:t>
      </w:r>
      <w:r w:rsidRPr="00916435">
        <w:t>Tiper</w:t>
      </w:r>
      <w:r>
        <w:t>,</w:t>
      </w:r>
      <w:r w:rsidRPr="00916435">
        <w:t xml:space="preserve"> I</w:t>
      </w:r>
      <w:r>
        <w:t>. et al.</w:t>
      </w:r>
      <w:r w:rsidRPr="00916435">
        <w:t xml:space="preserve"> Sphingosine 1-Phosphate Signaling Impacts Lymphocyte Migration, Inflammation </w:t>
      </w:r>
      <w:r>
        <w:t>a</w:t>
      </w:r>
      <w:r w:rsidRPr="00916435">
        <w:t>nd Infection</w:t>
      </w:r>
      <w:r>
        <w:t xml:space="preserve">, </w:t>
      </w:r>
      <w:r w:rsidRPr="00916435">
        <w:rPr>
          <w:i/>
          <w:iCs/>
        </w:rPr>
        <w:t>Pathog Dis</w:t>
      </w:r>
      <w:r>
        <w:t>, 2016; 74(6): ftw063.</w:t>
      </w:r>
    </w:p>
  </w:footnote>
  <w:footnote w:id="12">
    <w:p w14:paraId="3B9C5463" w14:textId="0037BA83" w:rsidR="000A6A58" w:rsidRDefault="000A6A58">
      <w:pPr>
        <w:pStyle w:val="FootnoteText"/>
      </w:pPr>
      <w:r>
        <w:rPr>
          <w:rStyle w:val="FootnoteReference"/>
        </w:rPr>
        <w:footnoteRef/>
      </w:r>
      <w:r>
        <w:t xml:space="preserve"> </w:t>
      </w:r>
      <w:r w:rsidRPr="00916435">
        <w:t>Izzo</w:t>
      </w:r>
      <w:r>
        <w:t xml:space="preserve">, R. et al. </w:t>
      </w:r>
      <w:r w:rsidRPr="00916435">
        <w:t>Sphingosine-1-Phosphate Receptor: a Novel Therapeutic Target in Ulcerative Colitis</w:t>
      </w:r>
      <w:r>
        <w:t xml:space="preserve">, </w:t>
      </w:r>
      <w:r w:rsidRPr="004826B1">
        <w:rPr>
          <w:i/>
          <w:iCs/>
        </w:rPr>
        <w:t>Expert Rev</w:t>
      </w:r>
      <w:r>
        <w:t xml:space="preserve"> </w:t>
      </w:r>
      <w:r w:rsidRPr="00916435">
        <w:rPr>
          <w:i/>
          <w:iCs/>
        </w:rPr>
        <w:t>Clin Immunol</w:t>
      </w:r>
      <w:r>
        <w:t>, 2016; 12(11): 1137-1139.</w:t>
      </w:r>
    </w:p>
  </w:footnote>
  <w:footnote w:id="13">
    <w:p w14:paraId="57281F95" w14:textId="1AABFD92" w:rsidR="000A6A58" w:rsidRDefault="000A6A58">
      <w:pPr>
        <w:pStyle w:val="FootnoteText"/>
      </w:pPr>
      <w:r>
        <w:rPr>
          <w:rStyle w:val="FootnoteReference"/>
        </w:rPr>
        <w:footnoteRef/>
      </w:r>
      <w:r>
        <w:t xml:space="preserve"> </w:t>
      </w:r>
      <w:r w:rsidRPr="00916435">
        <w:t>Debien</w:t>
      </w:r>
      <w:r>
        <w:t xml:space="preserve">, E. et al. </w:t>
      </w:r>
      <w:r w:rsidRPr="00916435">
        <w:t>S1PR5 is Pivotal for the Homeostasis of Patrolling Monocytes</w:t>
      </w:r>
      <w:r>
        <w:t xml:space="preserve">, </w:t>
      </w:r>
      <w:r w:rsidRPr="00916435">
        <w:rPr>
          <w:i/>
          <w:iCs/>
        </w:rPr>
        <w:t>Eur J Immunol</w:t>
      </w:r>
      <w:r>
        <w:t>, 2013; 43(6): 1667-1675.</w:t>
      </w:r>
    </w:p>
  </w:footnote>
  <w:footnote w:id="14">
    <w:p w14:paraId="0AC692AD" w14:textId="4F59E59D" w:rsidR="000A6A58" w:rsidRDefault="000A6A58">
      <w:pPr>
        <w:pStyle w:val="FootnoteText"/>
      </w:pPr>
      <w:r>
        <w:rPr>
          <w:rStyle w:val="FootnoteReference"/>
        </w:rPr>
        <w:footnoteRef/>
      </w:r>
      <w:r>
        <w:t xml:space="preserve"> </w:t>
      </w:r>
      <w:r w:rsidRPr="00916435">
        <w:t>Drouillard</w:t>
      </w:r>
      <w:r>
        <w:t>,</w:t>
      </w:r>
      <w:r w:rsidRPr="00916435">
        <w:t xml:space="preserve"> A</w:t>
      </w:r>
      <w:r>
        <w:t>. et al.</w:t>
      </w:r>
      <w:r w:rsidRPr="00916435">
        <w:t xml:space="preserve"> S1PR5 is </w:t>
      </w:r>
      <w:r>
        <w:t>E</w:t>
      </w:r>
      <w:r w:rsidRPr="00916435">
        <w:t>ssential for Human Natural Killer Cell Migration Toward Sphingosine 1 Phosphate</w:t>
      </w:r>
      <w:r>
        <w:t>,</w:t>
      </w:r>
      <w:r w:rsidRPr="00916435">
        <w:t xml:space="preserve"> </w:t>
      </w:r>
      <w:r w:rsidRPr="00916435">
        <w:rPr>
          <w:i/>
          <w:iCs/>
        </w:rPr>
        <w:t>J. Allergy Clin. Immunol</w:t>
      </w:r>
      <w:r>
        <w:t>, 2018;</w:t>
      </w:r>
      <w:r w:rsidRPr="00916435">
        <w:t xml:space="preserve"> 141: 2265</w:t>
      </w:r>
      <w:r>
        <w:t>-</w:t>
      </w:r>
      <w:r w:rsidRPr="00916435">
        <w:t>2268</w:t>
      </w:r>
      <w:r>
        <w:t>.</w:t>
      </w:r>
    </w:p>
  </w:footnote>
  <w:footnote w:id="15">
    <w:p w14:paraId="272785FB" w14:textId="46E9C1E7" w:rsidR="000A6A58" w:rsidRDefault="000A6A58">
      <w:pPr>
        <w:pStyle w:val="FootnoteText"/>
      </w:pPr>
      <w:r>
        <w:rPr>
          <w:rStyle w:val="FootnoteReference"/>
        </w:rPr>
        <w:footnoteRef/>
      </w:r>
      <w:r>
        <w:t xml:space="preserve"> </w:t>
      </w:r>
      <w:r w:rsidRPr="00916435">
        <w:t>van Doorn</w:t>
      </w:r>
      <w:r>
        <w:t>,</w:t>
      </w:r>
      <w:r w:rsidRPr="00916435">
        <w:t xml:space="preserve"> R</w:t>
      </w:r>
      <w:r>
        <w:t>. et al.</w:t>
      </w:r>
      <w:r w:rsidRPr="00916435">
        <w:t xml:space="preserve"> Sphingosine 1-Phosphate Receptor 5 Mediates the Immune Quiescence of the Human Brain Endothelial Barrier</w:t>
      </w:r>
      <w:r>
        <w:t>,</w:t>
      </w:r>
      <w:r w:rsidRPr="00916435">
        <w:t xml:space="preserve"> </w:t>
      </w:r>
      <w:r w:rsidRPr="00916435">
        <w:rPr>
          <w:i/>
          <w:iCs/>
        </w:rPr>
        <w:t>J. Neuroinflammation</w:t>
      </w:r>
      <w:r>
        <w:t>,</w:t>
      </w:r>
      <w:r w:rsidRPr="00916435">
        <w:t xml:space="preserve"> </w:t>
      </w:r>
      <w:r>
        <w:t xml:space="preserve">2012; </w:t>
      </w:r>
      <w:r w:rsidRPr="00916435">
        <w:t>9: 133.</w:t>
      </w:r>
    </w:p>
  </w:footnote>
  <w:footnote w:id="16">
    <w:p w14:paraId="15245EE7" w14:textId="58323577" w:rsidR="000A6A58" w:rsidRDefault="000A6A58" w:rsidP="00916435">
      <w:pPr>
        <w:pStyle w:val="FootnoteText"/>
      </w:pPr>
      <w:r>
        <w:rPr>
          <w:rStyle w:val="FootnoteReference"/>
        </w:rPr>
        <w:footnoteRef/>
      </w:r>
      <w:r>
        <w:t xml:space="preserve"> </w:t>
      </w:r>
      <w:r w:rsidRPr="00916435">
        <w:t>Walzer</w:t>
      </w:r>
      <w:r>
        <w:t xml:space="preserve">, T. et al. </w:t>
      </w:r>
      <w:r w:rsidRPr="00916435">
        <w:t xml:space="preserve">Natural Killer Cell Trafficking </w:t>
      </w:r>
      <w:r w:rsidRPr="00916435">
        <w:rPr>
          <w:i/>
          <w:iCs/>
        </w:rPr>
        <w:t>in vivo</w:t>
      </w:r>
      <w:r w:rsidRPr="00916435">
        <w:t xml:space="preserve"> requires a Dedicated Sphingosine 1-Phosphate Receptor</w:t>
      </w:r>
      <w:r>
        <w:t xml:space="preserve">, </w:t>
      </w:r>
      <w:r w:rsidRPr="00916435">
        <w:rPr>
          <w:i/>
          <w:iCs/>
        </w:rPr>
        <w:t>Nat Immunol</w:t>
      </w:r>
      <w:r>
        <w:t>, 2007; 8(12): 1337-1344.</w:t>
      </w:r>
    </w:p>
  </w:footnote>
  <w:footnote w:id="17">
    <w:p w14:paraId="628A1DEF" w14:textId="1F177CC9" w:rsidR="000A6A58" w:rsidRDefault="000A6A58">
      <w:pPr>
        <w:pStyle w:val="FootnoteText"/>
      </w:pPr>
      <w:r>
        <w:rPr>
          <w:rStyle w:val="FootnoteReference"/>
        </w:rPr>
        <w:footnoteRef/>
      </w:r>
      <w:r>
        <w:t xml:space="preserve"> </w:t>
      </w:r>
      <w:r w:rsidRPr="00916435">
        <w:t>Groves</w:t>
      </w:r>
      <w:r>
        <w:t>,</w:t>
      </w:r>
      <w:r w:rsidRPr="00916435">
        <w:t xml:space="preserve"> A</w:t>
      </w:r>
      <w:r>
        <w:t xml:space="preserve">. et al. </w:t>
      </w:r>
      <w:r w:rsidRPr="00916435">
        <w:t>Fingolimod: Direct CNS Effects of Sphingosine 1-Phosphate (S1P) Receptor Modulation and Implications in Multiple Sclerosis Therapy</w:t>
      </w:r>
      <w:r>
        <w:t>,</w:t>
      </w:r>
      <w:r w:rsidRPr="00916435">
        <w:t xml:space="preserve"> </w:t>
      </w:r>
      <w:r w:rsidRPr="000A2255">
        <w:rPr>
          <w:i/>
          <w:iCs/>
        </w:rPr>
        <w:t>J Neurol Sci</w:t>
      </w:r>
      <w:r>
        <w:t xml:space="preserve">, 2013; </w:t>
      </w:r>
      <w:r w:rsidRPr="00916435">
        <w:t>328: 9</w:t>
      </w:r>
      <w:r>
        <w:t>-</w:t>
      </w:r>
      <w:r w:rsidRPr="00916435">
        <w:t>18.</w:t>
      </w:r>
    </w:p>
  </w:footnote>
  <w:footnote w:id="18">
    <w:p w14:paraId="76067987" w14:textId="783BA085" w:rsidR="000A6A58" w:rsidRDefault="000A6A58">
      <w:pPr>
        <w:pStyle w:val="FootnoteText"/>
      </w:pPr>
      <w:r>
        <w:rPr>
          <w:rStyle w:val="FootnoteReference"/>
        </w:rPr>
        <w:footnoteRef/>
      </w:r>
      <w:r>
        <w:t xml:space="preserve"> </w:t>
      </w:r>
      <w:r w:rsidRPr="000A2255">
        <w:t>Ostanin</w:t>
      </w:r>
      <w:r>
        <w:t>,</w:t>
      </w:r>
      <w:r w:rsidRPr="000A2255">
        <w:t xml:space="preserve"> D</w:t>
      </w:r>
      <w:r>
        <w:t>. et al.</w:t>
      </w:r>
      <w:r w:rsidRPr="000A2255">
        <w:t xml:space="preserve"> T Cell Transfer Model </w:t>
      </w:r>
      <w:r>
        <w:t>o</w:t>
      </w:r>
      <w:r w:rsidRPr="000A2255">
        <w:t xml:space="preserve">f Chronic Colitis: Concepts, Considerations, </w:t>
      </w:r>
      <w:r>
        <w:t>a</w:t>
      </w:r>
      <w:r w:rsidRPr="000A2255">
        <w:t xml:space="preserve">nd Tricks </w:t>
      </w:r>
      <w:r>
        <w:t>o</w:t>
      </w:r>
      <w:r w:rsidRPr="000A2255">
        <w:t xml:space="preserve">f </w:t>
      </w:r>
      <w:r>
        <w:t>t</w:t>
      </w:r>
      <w:r w:rsidRPr="000A2255">
        <w:t xml:space="preserve">he Trade. </w:t>
      </w:r>
      <w:r w:rsidRPr="000A2255">
        <w:rPr>
          <w:i/>
          <w:iCs/>
        </w:rPr>
        <w:t>Am J Physiol Gastrointest</w:t>
      </w:r>
      <w:r>
        <w:t>,</w:t>
      </w:r>
      <w:r w:rsidRPr="000A2255">
        <w:t xml:space="preserve"> </w:t>
      </w:r>
      <w:r w:rsidRPr="000A2255">
        <w:rPr>
          <w:i/>
          <w:iCs/>
        </w:rPr>
        <w:t>Liver Physiol</w:t>
      </w:r>
      <w:r>
        <w:t>,</w:t>
      </w:r>
      <w:r w:rsidRPr="000A2255">
        <w:t xml:space="preserve"> </w:t>
      </w:r>
      <w:r>
        <w:t xml:space="preserve">2008; </w:t>
      </w:r>
      <w:r w:rsidRPr="000A2255">
        <w:t>296: G135</w:t>
      </w:r>
      <w:r>
        <w:t>-</w:t>
      </w:r>
      <w:r w:rsidRPr="000A2255">
        <w:t>G146.</w:t>
      </w:r>
    </w:p>
  </w:footnote>
  <w:footnote w:id="19">
    <w:p w14:paraId="7E026F82" w14:textId="2D58A481" w:rsidR="000A6A58" w:rsidRDefault="000A6A58" w:rsidP="004775E5">
      <w:pPr>
        <w:pStyle w:val="FootnoteText"/>
      </w:pPr>
      <w:r>
        <w:rPr>
          <w:rStyle w:val="FootnoteReference"/>
        </w:rPr>
        <w:footnoteRef/>
      </w:r>
      <w:r>
        <w:t xml:space="preserve"> The Mayo Score for Ulcerative Colitis was developed at the Mayo Clinic in 1987 to standardise the severity of a patient's ulcerative colitis, useful in research and clinically to assess response to treatment over time. In clinical trials, ‘response to therapy’ and ‘remission’ may be defined differently in each trial.</w:t>
      </w:r>
    </w:p>
    <w:p w14:paraId="3E7CC0A4" w14:textId="77777777" w:rsidR="000A6A58" w:rsidRDefault="000A6A58" w:rsidP="004775E5">
      <w:pPr>
        <w:pStyle w:val="FootnoteText"/>
      </w:pPr>
      <w:r>
        <w:t>The Mayo Score is comprised of four components: assessment of rectal bleeding; assessment of stool frequency; endoscopic mucosal assessment; and the physician’s global assessment (a measure of the physican’s assessment of disease severity including abdominal pain, extra-abdominal signs/symptoms and the patient’s overall well-being).</w:t>
      </w:r>
    </w:p>
    <w:p w14:paraId="52F73B81" w14:textId="77777777" w:rsidR="000A6A58" w:rsidRDefault="000A6A58" w:rsidP="004775E5">
      <w:pPr>
        <w:pStyle w:val="FootnoteText"/>
      </w:pPr>
      <w:r>
        <w:t>Each component is given a subscore from between 0 and 3 points, with 0 indicative of no signs/symptoms or normal function, and 3 indicative of the most severe disease.</w:t>
      </w:r>
    </w:p>
    <w:p w14:paraId="71B29B3A" w14:textId="77777777" w:rsidR="000A6A58" w:rsidRDefault="000A6A58" w:rsidP="004775E5">
      <w:pPr>
        <w:pStyle w:val="FootnoteText"/>
      </w:pPr>
      <w:r>
        <w:t>A ‘Total’ (4-component) Mayo score is composite of the subscores of all four components, and may score a minimum of 0 (no signs/symptoms), and a maximum (most severe) of 12 points.</w:t>
      </w:r>
    </w:p>
    <w:p w14:paraId="6BF9F854" w14:textId="77777777" w:rsidR="000A6A58" w:rsidRDefault="000A6A58" w:rsidP="004775E5">
      <w:pPr>
        <w:pStyle w:val="FootnoteText"/>
      </w:pPr>
      <w:r>
        <w:t>A ‘3-component’ Mayo score is a composite of 3 component subscores (the rectal bleeding, stool frequency, and endoscopic assessment subscores), and without a physicians global assessment subscore.</w:t>
      </w:r>
    </w:p>
    <w:p w14:paraId="6FB89CE2" w14:textId="77777777" w:rsidR="000A6A58" w:rsidRDefault="000A6A58" w:rsidP="004775E5">
      <w:pPr>
        <w:pStyle w:val="FootnoteText"/>
      </w:pPr>
      <w:r>
        <w:t>higher overall composite scores are indicative of increased disease severity.</w:t>
      </w:r>
    </w:p>
    <w:p w14:paraId="1867795F" w14:textId="660C920C" w:rsidR="000A6A58" w:rsidRDefault="000A6A58" w:rsidP="004775E5">
      <w:pPr>
        <w:pStyle w:val="FootnoteText"/>
      </w:pPr>
      <w:r>
        <w:t>A ‘Partial’ Mayo score is an alternate composite of 3 component subscores (the rectal bleeding, stool frequency, and the physician’s global assessment subscores) and without an endoscopic assessment subscore.</w:t>
      </w:r>
    </w:p>
    <w:p w14:paraId="0B4BBB71" w14:textId="554D1223" w:rsidR="000A6A58" w:rsidRPr="003F6857" w:rsidRDefault="000A6A58" w:rsidP="004775E5">
      <w:pPr>
        <w:pStyle w:val="FootnoteText"/>
      </w:pPr>
      <w:r>
        <w:t xml:space="preserve">Original publication: </w:t>
      </w:r>
      <w:r w:rsidRPr="004775E5">
        <w:t xml:space="preserve">Schroeder KW, Tremaine WJ, Ilstrup DM. Coated oral 5-aminosalicylic acid therapy for mildly to moderately active ulcerative colitis. A randomized study. </w:t>
      </w:r>
      <w:r w:rsidRPr="00B326AA">
        <w:rPr>
          <w:i/>
        </w:rPr>
        <w:t>N Engl J Med.</w:t>
      </w:r>
      <w:r w:rsidRPr="004775E5">
        <w:t xml:space="preserve"> 1987 Dec 24;317(26):1625-9. </w:t>
      </w:r>
    </w:p>
  </w:footnote>
  <w:footnote w:id="20">
    <w:p w14:paraId="6E6D8D12" w14:textId="61C1F9DB" w:rsidR="000A6A58" w:rsidRDefault="000A6A58">
      <w:pPr>
        <w:pStyle w:val="FootnoteText"/>
      </w:pPr>
      <w:r>
        <w:rPr>
          <w:rStyle w:val="FootnoteReference"/>
        </w:rPr>
        <w:footnoteRef/>
      </w:r>
      <w:r>
        <w:t xml:space="preserve"> </w:t>
      </w:r>
      <w:r w:rsidRPr="00884201">
        <w:t xml:space="preserve">The </w:t>
      </w:r>
      <w:r w:rsidRPr="00884201">
        <w:rPr>
          <w:b/>
          <w:bCs/>
        </w:rPr>
        <w:t>SF-36</w:t>
      </w:r>
      <w:r w:rsidRPr="00884201">
        <w:t xml:space="preserve"> is a multi-purpose, short-form health survey with only 36 questions. It yields an 8-scale profile of functional health and well-being scores as well as psychometrically-based physical and mental health summary measures and a preference-based health utility index. It measures eight domains of health: physical functioning, role limitations due to physical health, bodily pain, general health perceptions, vitality, social functioning, role limitations due to emotional problems, and mental health. It yields scale scores for each of these eight health domains, and two summary measures of physical and mental health. It is a generic measure, as opposed to one that targets a specific age, disease, or treatment group. The SF-36 is available for two recall periods: standard (4-week recall) and acute (1-week recall).</w:t>
      </w:r>
    </w:p>
  </w:footnote>
  <w:footnote w:id="21">
    <w:p w14:paraId="03F3C428" w14:textId="547156FB" w:rsidR="000A6A58" w:rsidRDefault="000A6A58">
      <w:pPr>
        <w:pStyle w:val="FootnoteText"/>
      </w:pPr>
      <w:r>
        <w:rPr>
          <w:rStyle w:val="FootnoteReference"/>
        </w:rPr>
        <w:footnoteRef/>
      </w:r>
      <w:r>
        <w:t xml:space="preserve"> </w:t>
      </w:r>
      <w:r w:rsidRPr="00884201">
        <w:t xml:space="preserve">Developed by EuroQol, </w:t>
      </w:r>
      <w:r w:rsidRPr="00884201">
        <w:rPr>
          <w:b/>
          <w:bCs/>
        </w:rPr>
        <w:t>EQ-5D</w:t>
      </w:r>
      <w:r w:rsidRPr="00884201">
        <w:t xml:space="preserve"> is a standardised instrument for use as a measure of health outcome. Applicable to a wide range of health conditions and treatments, it provides a simple descriptive profile and a single index value for health status.</w:t>
      </w:r>
    </w:p>
  </w:footnote>
  <w:footnote w:id="22">
    <w:p w14:paraId="07576D3C" w14:textId="7554E6FF" w:rsidR="000A6A58" w:rsidRDefault="000A6A58">
      <w:pPr>
        <w:pStyle w:val="FootnoteText"/>
      </w:pPr>
      <w:r>
        <w:rPr>
          <w:rStyle w:val="FootnoteReference"/>
        </w:rPr>
        <w:footnoteRef/>
      </w:r>
      <w:r>
        <w:t xml:space="preserve"> </w:t>
      </w:r>
      <w:r w:rsidRPr="00884201">
        <w:t xml:space="preserve">Randomised clinical trials analysed by the </w:t>
      </w:r>
      <w:r w:rsidRPr="00884201">
        <w:rPr>
          <w:b/>
          <w:bCs/>
        </w:rPr>
        <w:t>intent-to-treat (ITT)</w:t>
      </w:r>
      <w:r w:rsidRPr="00884201">
        <w:t xml:space="preserve"> approach provide the unbiased comparisons among the treatment groups. In the ITT population, none of the patients are excluded and the patients are analysed according to the randomisation scheme.</w:t>
      </w:r>
    </w:p>
  </w:footnote>
  <w:footnote w:id="23">
    <w:p w14:paraId="73B5A209" w14:textId="2CBF9E4D" w:rsidR="000A6A58" w:rsidRDefault="000A6A58" w:rsidP="004824D4">
      <w:pPr>
        <w:pStyle w:val="FootnoteText"/>
      </w:pPr>
      <w:r>
        <w:rPr>
          <w:rStyle w:val="FootnoteReference"/>
        </w:rPr>
        <w:footnoteRef/>
      </w:r>
      <w:r>
        <w:t xml:space="preserve"> Defined as had received prior anti-t</w:t>
      </w:r>
      <w:r w:rsidRPr="000A2255">
        <w:t>umour necrosis factor</w:t>
      </w:r>
      <w:r>
        <w:t xml:space="preserve"> therapy and had primary non-response (persistently active disease despite an adequate trial of induction therapy), secondary non-response (recurrence of symptoms during maintenance dosing following prior clinical benefit) or developed intolerance (inability to achieve doses, dose levels or treatment durations because of treatment related side effects).</w:t>
      </w:r>
    </w:p>
  </w:footnote>
  <w:footnote w:id="24">
    <w:p w14:paraId="7C1BE5E8" w14:textId="38C3B434" w:rsidR="000A6A58" w:rsidRDefault="000A6A58" w:rsidP="001551AA">
      <w:pPr>
        <w:pStyle w:val="FootnoteText"/>
      </w:pPr>
      <w:r>
        <w:rPr>
          <w:rStyle w:val="FootnoteReference"/>
        </w:rPr>
        <w:footnoteRef/>
      </w:r>
      <w:r>
        <w:t xml:space="preserve"> A</w:t>
      </w:r>
      <w:r w:rsidRPr="007201CE">
        <w:t>s defined by Mayo scores at commencement of treatment</w:t>
      </w:r>
      <w:r>
        <w:t>.</w:t>
      </w:r>
    </w:p>
  </w:footnote>
  <w:footnote w:id="25">
    <w:p w14:paraId="5F7BB56A" w14:textId="7BA0D02B" w:rsidR="000A6A58" w:rsidRDefault="000A6A58" w:rsidP="000E44DE">
      <w:pPr>
        <w:pStyle w:val="FootnoteText"/>
      </w:pPr>
      <w:r>
        <w:rPr>
          <w:rStyle w:val="FootnoteReference"/>
        </w:rPr>
        <w:footnoteRef/>
      </w:r>
      <w:r>
        <w:t xml:space="preserve"> Gisbert, J.P. et al. </w:t>
      </w:r>
      <w:r w:rsidRPr="00EF7F86">
        <w:t xml:space="preserve">Meta-Analysis: the Efficacy </w:t>
      </w:r>
      <w:r>
        <w:t>o</w:t>
      </w:r>
      <w:r w:rsidRPr="00EF7F86">
        <w:t xml:space="preserve">f Azathioprine </w:t>
      </w:r>
      <w:r>
        <w:t>a</w:t>
      </w:r>
      <w:r w:rsidRPr="00EF7F86">
        <w:t xml:space="preserve">nd Mercaptopurine </w:t>
      </w:r>
      <w:r>
        <w:t>i</w:t>
      </w:r>
      <w:r w:rsidRPr="00EF7F86">
        <w:t>n Ulcerative Colitis</w:t>
      </w:r>
      <w:r>
        <w:t xml:space="preserve">, </w:t>
      </w:r>
      <w:r w:rsidRPr="00EF7F86">
        <w:rPr>
          <w:i/>
          <w:iCs/>
        </w:rPr>
        <w:t>AP&amp;T</w:t>
      </w:r>
      <w:r>
        <w:t xml:space="preserve">, </w:t>
      </w:r>
      <w:r w:rsidRPr="00EF7F86">
        <w:t>2009; 30, 126</w:t>
      </w:r>
      <w:r>
        <w:t>-</w:t>
      </w:r>
      <w:r w:rsidRPr="00EF7F86">
        <w:t>137</w:t>
      </w:r>
      <w:r>
        <w:t>.</w:t>
      </w:r>
    </w:p>
  </w:footnote>
  <w:footnote w:id="26">
    <w:p w14:paraId="27EB8AC3" w14:textId="7E029244" w:rsidR="000A6A58" w:rsidRDefault="000A6A58" w:rsidP="000E44DE">
      <w:pPr>
        <w:pStyle w:val="FootnoteText"/>
      </w:pPr>
      <w:r>
        <w:rPr>
          <w:rStyle w:val="FootnoteReference"/>
        </w:rPr>
        <w:footnoteRef/>
      </w:r>
      <w:r>
        <w:t xml:space="preserve"> </w:t>
      </w:r>
      <w:r w:rsidRPr="00CD71BA">
        <w:t>Dubinsky,</w:t>
      </w:r>
      <w:r>
        <w:t xml:space="preserve"> M. et al. </w:t>
      </w:r>
      <w:r w:rsidRPr="00CD71BA">
        <w:t>S694</w:t>
      </w:r>
      <w:r>
        <w:t xml:space="preserve"> </w:t>
      </w:r>
      <w:r w:rsidRPr="00CD71BA">
        <w:t xml:space="preserve">Comparative Efficacy and Safety of Ozanimod vs Adalimumab and Vedolizumab in Patients with Moderately to Severely Active Ulcerative Colitis, </w:t>
      </w:r>
      <w:r w:rsidRPr="000A2255">
        <w:rPr>
          <w:i/>
          <w:iCs/>
        </w:rPr>
        <w:t>Am J Gastroenterol</w:t>
      </w:r>
      <w:r>
        <w:rPr>
          <w:i/>
          <w:iCs/>
        </w:rPr>
        <w:t>,</w:t>
      </w:r>
      <w:r w:rsidRPr="00CD71BA">
        <w:t xml:space="preserve"> 2021</w:t>
      </w:r>
      <w:r>
        <w:t>; 1</w:t>
      </w:r>
      <w:r w:rsidRPr="00CD71BA">
        <w:t>16</w:t>
      </w:r>
      <w:r>
        <w:t xml:space="preserve">: </w:t>
      </w:r>
      <w:r w:rsidRPr="00CD71BA">
        <w:t>S314</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8A8BA" w14:textId="77777777" w:rsidR="000A6A58" w:rsidRDefault="000A6A58"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A31A" w14:textId="77777777" w:rsidR="000A6A58" w:rsidRDefault="000A6A58">
    <w:pPr>
      <w:rPr>
        <w:noProof/>
        <w:lang w:eastAsia="en-AU"/>
      </w:rPr>
    </w:pPr>
    <w:r w:rsidRPr="00347824">
      <w:rPr>
        <w:noProof/>
        <w:lang w:val="en-GB" w:eastAsia="en-GB"/>
      </w:rPr>
      <w:drawing>
        <wp:anchor distT="0" distB="0" distL="114300" distR="114300" simplePos="0" relativeHeight="251659264" behindDoc="1" locked="0" layoutInCell="1" allowOverlap="1" wp14:anchorId="4A3FA877" wp14:editId="072EB1AE">
          <wp:simplePos x="0" y="0"/>
          <wp:positionH relativeFrom="column">
            <wp:posOffset>-1089660</wp:posOffset>
          </wp:positionH>
          <wp:positionV relativeFrom="paragraph">
            <wp:posOffset>-585470</wp:posOffset>
          </wp:positionV>
          <wp:extent cx="7572375" cy="10706100"/>
          <wp:effectExtent l="19050" t="0" r="0" b="0"/>
          <wp:wrapNone/>
          <wp:docPr id="2"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B36E" w14:textId="77777777" w:rsidR="000A6A58" w:rsidRDefault="000A6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8187A" w14:textId="77777777" w:rsidR="000A6A58" w:rsidRDefault="000A6A58">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AAC23" w14:textId="77777777" w:rsidR="000A6A58" w:rsidRDefault="000A6A58">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6DC2A" w14:textId="77777777" w:rsidR="000A6A58" w:rsidRDefault="000A6A5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FEEE" w14:textId="77777777" w:rsidR="000A6A58" w:rsidRDefault="000A6A58"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B568C" w14:textId="77777777" w:rsidR="000A6A58" w:rsidRDefault="000A6A58" w:rsidP="006E08B3">
    <w:r>
      <w:t>Therapeutic Goods Administration</w:t>
    </w:r>
  </w:p>
  <w:p w14:paraId="63F3FE8A" w14:textId="77777777" w:rsidR="000A6A58" w:rsidRDefault="000A6A58" w:rsidP="006D03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73EA4EB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19980CA0"/>
    <w:multiLevelType w:val="hybridMultilevel"/>
    <w:tmpl w:val="F5C87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5E0004"/>
    <w:multiLevelType w:val="hybridMultilevel"/>
    <w:tmpl w:val="B1BC14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C02909"/>
    <w:multiLevelType w:val="hybridMultilevel"/>
    <w:tmpl w:val="3D241300"/>
    <w:lvl w:ilvl="0" w:tplc="3B76980A">
      <w:start w:val="1"/>
      <w:numFmt w:val="bullet"/>
      <w:pStyle w:val="Bullet2"/>
      <w:lvlText w:val="-"/>
      <w:lvlJc w:val="left"/>
      <w:pPr>
        <w:tabs>
          <w:tab w:val="num" w:pos="567"/>
        </w:tabs>
        <w:ind w:left="567" w:hanging="283"/>
      </w:pPr>
      <w:rPr>
        <w:rFonts w:ascii="Arial" w:hAnsi="Arial"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47F2E18"/>
    <w:multiLevelType w:val="multilevel"/>
    <w:tmpl w:val="2EC2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624B1A"/>
    <w:multiLevelType w:val="hybridMultilevel"/>
    <w:tmpl w:val="879A99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8"/>
  </w:num>
  <w:num w:numId="4">
    <w:abstractNumId w:val="8"/>
  </w:num>
  <w:num w:numId="5">
    <w:abstractNumId w:val="0"/>
  </w:num>
  <w:num w:numId="6">
    <w:abstractNumId w:val="8"/>
  </w:num>
  <w:num w:numId="7">
    <w:abstractNumId w:val="8"/>
  </w:num>
  <w:num w:numId="8">
    <w:abstractNumId w:val="6"/>
  </w:num>
  <w:num w:numId="9">
    <w:abstractNumId w:val="6"/>
  </w:num>
  <w:num w:numId="10">
    <w:abstractNumId w:val="6"/>
  </w:num>
  <w:num w:numId="11">
    <w:abstractNumId w:val="6"/>
  </w:num>
  <w:num w:numId="12">
    <w:abstractNumId w:val="3"/>
    <w:lvlOverride w:ilvl="0">
      <w:lvl w:ilvl="0">
        <w:numFmt w:val="bullet"/>
        <w:lvlText w:val="•"/>
        <w:legacy w:legacy="1" w:legacySpace="0" w:legacyIndent="0"/>
        <w:lvlJc w:val="left"/>
        <w:rPr>
          <w:rFonts w:ascii="Helv" w:hAnsi="Helv" w:hint="default"/>
        </w:rPr>
      </w:lvl>
    </w:lvlOverride>
  </w:num>
  <w:num w:numId="13">
    <w:abstractNumId w:val="8"/>
  </w:num>
  <w:num w:numId="14">
    <w:abstractNumId w:val="8"/>
  </w:num>
  <w:num w:numId="15">
    <w:abstractNumId w:val="8"/>
  </w:num>
  <w:num w:numId="16">
    <w:abstractNumId w:val="6"/>
  </w:num>
  <w:num w:numId="17">
    <w:abstractNumId w:val="6"/>
  </w:num>
  <w:num w:numId="18">
    <w:abstractNumId w:val="6"/>
  </w:num>
  <w:num w:numId="19">
    <w:abstractNumId w:val="8"/>
  </w:num>
  <w:num w:numId="20">
    <w:abstractNumId w:val="8"/>
  </w:num>
  <w:num w:numId="21">
    <w:abstractNumId w:val="8"/>
  </w:num>
  <w:num w:numId="22">
    <w:abstractNumId w:val="6"/>
  </w:num>
  <w:num w:numId="23">
    <w:abstractNumId w:val="6"/>
  </w:num>
  <w:num w:numId="24">
    <w:abstractNumId w:val="6"/>
  </w:num>
  <w:num w:numId="25">
    <w:abstractNumId w:val="6"/>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6"/>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3"/>
  </w:num>
  <w:num w:numId="28">
    <w:abstractNumId w:val="17"/>
  </w:num>
  <w:num w:numId="29">
    <w:abstractNumId w:val="7"/>
  </w:num>
  <w:num w:numId="30">
    <w:abstractNumId w:val="11"/>
  </w:num>
  <w:num w:numId="31">
    <w:abstractNumId w:val="4"/>
  </w:num>
  <w:num w:numId="32">
    <w:abstractNumId w:val="14"/>
  </w:num>
  <w:num w:numId="33">
    <w:abstractNumId w:val="15"/>
  </w:num>
  <w:num w:numId="34">
    <w:abstractNumId w:val="12"/>
  </w:num>
  <w:num w:numId="35">
    <w:abstractNumId w:val="16"/>
  </w:num>
  <w:num w:numId="36">
    <w:abstractNumId w:val="9"/>
  </w:num>
  <w:num w:numId="37">
    <w:abstractNumId w:val="10"/>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F83"/>
    <w:rsid w:val="00002031"/>
    <w:rsid w:val="00004734"/>
    <w:rsid w:val="00006B22"/>
    <w:rsid w:val="00006FAB"/>
    <w:rsid w:val="0001276A"/>
    <w:rsid w:val="000128C7"/>
    <w:rsid w:val="000246AE"/>
    <w:rsid w:val="00025C67"/>
    <w:rsid w:val="00044772"/>
    <w:rsid w:val="0004541C"/>
    <w:rsid w:val="0005559E"/>
    <w:rsid w:val="000604D6"/>
    <w:rsid w:val="0006054F"/>
    <w:rsid w:val="000734D8"/>
    <w:rsid w:val="00077775"/>
    <w:rsid w:val="00080804"/>
    <w:rsid w:val="00090471"/>
    <w:rsid w:val="00096AA7"/>
    <w:rsid w:val="000A2255"/>
    <w:rsid w:val="000A3AED"/>
    <w:rsid w:val="000A6A58"/>
    <w:rsid w:val="000B0843"/>
    <w:rsid w:val="000B3532"/>
    <w:rsid w:val="000B3A75"/>
    <w:rsid w:val="000C00C2"/>
    <w:rsid w:val="000C690F"/>
    <w:rsid w:val="000D1295"/>
    <w:rsid w:val="000D2965"/>
    <w:rsid w:val="000D391B"/>
    <w:rsid w:val="000D3D6D"/>
    <w:rsid w:val="000D4FC7"/>
    <w:rsid w:val="000E44DE"/>
    <w:rsid w:val="000E6196"/>
    <w:rsid w:val="000F3BD0"/>
    <w:rsid w:val="000F4869"/>
    <w:rsid w:val="000F5B42"/>
    <w:rsid w:val="000F6E6F"/>
    <w:rsid w:val="0010601F"/>
    <w:rsid w:val="0010788A"/>
    <w:rsid w:val="00107A31"/>
    <w:rsid w:val="00110EA5"/>
    <w:rsid w:val="00112F56"/>
    <w:rsid w:val="00117C1F"/>
    <w:rsid w:val="00122C2E"/>
    <w:rsid w:val="00124ACD"/>
    <w:rsid w:val="00125318"/>
    <w:rsid w:val="001305A2"/>
    <w:rsid w:val="00133238"/>
    <w:rsid w:val="00133A1B"/>
    <w:rsid w:val="001368ED"/>
    <w:rsid w:val="0014197B"/>
    <w:rsid w:val="001447CD"/>
    <w:rsid w:val="001516B1"/>
    <w:rsid w:val="00154EBB"/>
    <w:rsid w:val="001551AA"/>
    <w:rsid w:val="00155493"/>
    <w:rsid w:val="00156316"/>
    <w:rsid w:val="00161181"/>
    <w:rsid w:val="00161D56"/>
    <w:rsid w:val="00162D14"/>
    <w:rsid w:val="00163780"/>
    <w:rsid w:val="00165389"/>
    <w:rsid w:val="0017693F"/>
    <w:rsid w:val="0018110E"/>
    <w:rsid w:val="00181684"/>
    <w:rsid w:val="001843C6"/>
    <w:rsid w:val="001850E0"/>
    <w:rsid w:val="00185407"/>
    <w:rsid w:val="001A03AF"/>
    <w:rsid w:val="001A2158"/>
    <w:rsid w:val="001A525F"/>
    <w:rsid w:val="001A5A00"/>
    <w:rsid w:val="001A66B8"/>
    <w:rsid w:val="001B09F9"/>
    <w:rsid w:val="001B1DA4"/>
    <w:rsid w:val="001B3509"/>
    <w:rsid w:val="001B5C90"/>
    <w:rsid w:val="001B6448"/>
    <w:rsid w:val="001C32CD"/>
    <w:rsid w:val="001D2984"/>
    <w:rsid w:val="001E07CF"/>
    <w:rsid w:val="001E359E"/>
    <w:rsid w:val="001E59F1"/>
    <w:rsid w:val="001F2CEE"/>
    <w:rsid w:val="001F49EB"/>
    <w:rsid w:val="001F6CBA"/>
    <w:rsid w:val="00201D4E"/>
    <w:rsid w:val="002076C9"/>
    <w:rsid w:val="00220B8A"/>
    <w:rsid w:val="002257F3"/>
    <w:rsid w:val="002314EA"/>
    <w:rsid w:val="00233456"/>
    <w:rsid w:val="002339A5"/>
    <w:rsid w:val="00234443"/>
    <w:rsid w:val="00250271"/>
    <w:rsid w:val="00250F35"/>
    <w:rsid w:val="00257848"/>
    <w:rsid w:val="002578E8"/>
    <w:rsid w:val="00265C8D"/>
    <w:rsid w:val="0027084A"/>
    <w:rsid w:val="00271E85"/>
    <w:rsid w:val="00280265"/>
    <w:rsid w:val="00283225"/>
    <w:rsid w:val="00286434"/>
    <w:rsid w:val="00286C59"/>
    <w:rsid w:val="002877DF"/>
    <w:rsid w:val="00291957"/>
    <w:rsid w:val="002942D1"/>
    <w:rsid w:val="0029501A"/>
    <w:rsid w:val="002A3721"/>
    <w:rsid w:val="002B1638"/>
    <w:rsid w:val="002B3624"/>
    <w:rsid w:val="002D0952"/>
    <w:rsid w:val="002D4AC1"/>
    <w:rsid w:val="002E40B3"/>
    <w:rsid w:val="002E4C9A"/>
    <w:rsid w:val="002F11F8"/>
    <w:rsid w:val="002F3F56"/>
    <w:rsid w:val="002F44B5"/>
    <w:rsid w:val="002F5122"/>
    <w:rsid w:val="002F7DA0"/>
    <w:rsid w:val="00301384"/>
    <w:rsid w:val="0030630C"/>
    <w:rsid w:val="00311AC0"/>
    <w:rsid w:val="00313F58"/>
    <w:rsid w:val="003176FC"/>
    <w:rsid w:val="00323255"/>
    <w:rsid w:val="00324E45"/>
    <w:rsid w:val="0032583B"/>
    <w:rsid w:val="00327883"/>
    <w:rsid w:val="00332715"/>
    <w:rsid w:val="00333269"/>
    <w:rsid w:val="00335504"/>
    <w:rsid w:val="00340C18"/>
    <w:rsid w:val="003442FD"/>
    <w:rsid w:val="003463C2"/>
    <w:rsid w:val="00347824"/>
    <w:rsid w:val="00350567"/>
    <w:rsid w:val="003521E8"/>
    <w:rsid w:val="00370CE3"/>
    <w:rsid w:val="003728F3"/>
    <w:rsid w:val="003735BC"/>
    <w:rsid w:val="0037496E"/>
    <w:rsid w:val="003827FC"/>
    <w:rsid w:val="00383221"/>
    <w:rsid w:val="00386150"/>
    <w:rsid w:val="003867FF"/>
    <w:rsid w:val="003874CE"/>
    <w:rsid w:val="00390900"/>
    <w:rsid w:val="003A34A4"/>
    <w:rsid w:val="003A5E4F"/>
    <w:rsid w:val="003A7F6C"/>
    <w:rsid w:val="003B4D60"/>
    <w:rsid w:val="003B7E39"/>
    <w:rsid w:val="003C58DC"/>
    <w:rsid w:val="003D1E62"/>
    <w:rsid w:val="003E0B99"/>
    <w:rsid w:val="003E2486"/>
    <w:rsid w:val="003E3208"/>
    <w:rsid w:val="003E4891"/>
    <w:rsid w:val="003F0B04"/>
    <w:rsid w:val="003F3813"/>
    <w:rsid w:val="0040134E"/>
    <w:rsid w:val="00427A76"/>
    <w:rsid w:val="004334C7"/>
    <w:rsid w:val="00440A2D"/>
    <w:rsid w:val="00441C3F"/>
    <w:rsid w:val="00444D1A"/>
    <w:rsid w:val="0045186A"/>
    <w:rsid w:val="00454BDC"/>
    <w:rsid w:val="004564A7"/>
    <w:rsid w:val="00456765"/>
    <w:rsid w:val="00460036"/>
    <w:rsid w:val="004617BF"/>
    <w:rsid w:val="00463658"/>
    <w:rsid w:val="004637A0"/>
    <w:rsid w:val="004722CC"/>
    <w:rsid w:val="004775E5"/>
    <w:rsid w:val="00481FD2"/>
    <w:rsid w:val="004824D4"/>
    <w:rsid w:val="004826B1"/>
    <w:rsid w:val="00490483"/>
    <w:rsid w:val="004936E4"/>
    <w:rsid w:val="00494E60"/>
    <w:rsid w:val="00497487"/>
    <w:rsid w:val="004A2771"/>
    <w:rsid w:val="004A6189"/>
    <w:rsid w:val="004A7390"/>
    <w:rsid w:val="004B7B76"/>
    <w:rsid w:val="004C239D"/>
    <w:rsid w:val="004C2B1B"/>
    <w:rsid w:val="004C2DCA"/>
    <w:rsid w:val="004C3B3C"/>
    <w:rsid w:val="004C4FBE"/>
    <w:rsid w:val="004C579E"/>
    <w:rsid w:val="004C61D2"/>
    <w:rsid w:val="004D4EDD"/>
    <w:rsid w:val="004F0C4A"/>
    <w:rsid w:val="004F0D08"/>
    <w:rsid w:val="004F0F38"/>
    <w:rsid w:val="004F47D6"/>
    <w:rsid w:val="00500337"/>
    <w:rsid w:val="00501921"/>
    <w:rsid w:val="00505417"/>
    <w:rsid w:val="00520AB7"/>
    <w:rsid w:val="0052149B"/>
    <w:rsid w:val="00523A21"/>
    <w:rsid w:val="00530354"/>
    <w:rsid w:val="0053625B"/>
    <w:rsid w:val="005434C6"/>
    <w:rsid w:val="00543B39"/>
    <w:rsid w:val="00545CDB"/>
    <w:rsid w:val="00546154"/>
    <w:rsid w:val="00550096"/>
    <w:rsid w:val="00555280"/>
    <w:rsid w:val="0055615F"/>
    <w:rsid w:val="00557FF9"/>
    <w:rsid w:val="0056222F"/>
    <w:rsid w:val="00562327"/>
    <w:rsid w:val="00562AAA"/>
    <w:rsid w:val="005711D5"/>
    <w:rsid w:val="00576378"/>
    <w:rsid w:val="00577130"/>
    <w:rsid w:val="00577945"/>
    <w:rsid w:val="00577E38"/>
    <w:rsid w:val="00585322"/>
    <w:rsid w:val="005857C6"/>
    <w:rsid w:val="00592F6E"/>
    <w:rsid w:val="00593AD1"/>
    <w:rsid w:val="005941B9"/>
    <w:rsid w:val="005A68B6"/>
    <w:rsid w:val="005A79F5"/>
    <w:rsid w:val="005C08B2"/>
    <w:rsid w:val="005C494B"/>
    <w:rsid w:val="005C5570"/>
    <w:rsid w:val="005C5B66"/>
    <w:rsid w:val="005C79A4"/>
    <w:rsid w:val="005D5442"/>
    <w:rsid w:val="005F15EE"/>
    <w:rsid w:val="00603F32"/>
    <w:rsid w:val="00605AD4"/>
    <w:rsid w:val="006136D7"/>
    <w:rsid w:val="00625A6E"/>
    <w:rsid w:val="00632398"/>
    <w:rsid w:val="00640FC3"/>
    <w:rsid w:val="00642020"/>
    <w:rsid w:val="006430EE"/>
    <w:rsid w:val="00643CE5"/>
    <w:rsid w:val="006520D4"/>
    <w:rsid w:val="0065337B"/>
    <w:rsid w:val="0065419D"/>
    <w:rsid w:val="006603BC"/>
    <w:rsid w:val="006604D8"/>
    <w:rsid w:val="00664A5B"/>
    <w:rsid w:val="0066735C"/>
    <w:rsid w:val="006763D2"/>
    <w:rsid w:val="00680C08"/>
    <w:rsid w:val="006901BA"/>
    <w:rsid w:val="006916A0"/>
    <w:rsid w:val="006931B1"/>
    <w:rsid w:val="006A15C0"/>
    <w:rsid w:val="006A58A8"/>
    <w:rsid w:val="006C3E2A"/>
    <w:rsid w:val="006C642F"/>
    <w:rsid w:val="006D03E5"/>
    <w:rsid w:val="006D5D3E"/>
    <w:rsid w:val="006E08B3"/>
    <w:rsid w:val="006E16E2"/>
    <w:rsid w:val="006E7D4A"/>
    <w:rsid w:val="006F17AC"/>
    <w:rsid w:val="006F25B8"/>
    <w:rsid w:val="006F572E"/>
    <w:rsid w:val="00703839"/>
    <w:rsid w:val="007046D6"/>
    <w:rsid w:val="00705DB0"/>
    <w:rsid w:val="00706FD7"/>
    <w:rsid w:val="0072292E"/>
    <w:rsid w:val="00722B57"/>
    <w:rsid w:val="00730F8A"/>
    <w:rsid w:val="00735A8C"/>
    <w:rsid w:val="0074163C"/>
    <w:rsid w:val="0074253D"/>
    <w:rsid w:val="00744121"/>
    <w:rsid w:val="0074429B"/>
    <w:rsid w:val="00746C62"/>
    <w:rsid w:val="007615BC"/>
    <w:rsid w:val="00762F05"/>
    <w:rsid w:val="007652FF"/>
    <w:rsid w:val="007703EF"/>
    <w:rsid w:val="00770CAC"/>
    <w:rsid w:val="00770EF1"/>
    <w:rsid w:val="0077131A"/>
    <w:rsid w:val="00773EF7"/>
    <w:rsid w:val="00774E1D"/>
    <w:rsid w:val="007765D8"/>
    <w:rsid w:val="0077675A"/>
    <w:rsid w:val="00780355"/>
    <w:rsid w:val="007819FD"/>
    <w:rsid w:val="00785717"/>
    <w:rsid w:val="00785721"/>
    <w:rsid w:val="00793A59"/>
    <w:rsid w:val="007A46F5"/>
    <w:rsid w:val="007A6505"/>
    <w:rsid w:val="007B6132"/>
    <w:rsid w:val="007B6E9F"/>
    <w:rsid w:val="007C1216"/>
    <w:rsid w:val="007C1AF7"/>
    <w:rsid w:val="007C591F"/>
    <w:rsid w:val="007C5F95"/>
    <w:rsid w:val="007C6B9B"/>
    <w:rsid w:val="007D53B6"/>
    <w:rsid w:val="007D7DCB"/>
    <w:rsid w:val="007E1579"/>
    <w:rsid w:val="007F3BAA"/>
    <w:rsid w:val="00804D99"/>
    <w:rsid w:val="00805D27"/>
    <w:rsid w:val="00806DCB"/>
    <w:rsid w:val="008110BC"/>
    <w:rsid w:val="00821776"/>
    <w:rsid w:val="00826D13"/>
    <w:rsid w:val="008321F5"/>
    <w:rsid w:val="00832369"/>
    <w:rsid w:val="00833ED8"/>
    <w:rsid w:val="00834660"/>
    <w:rsid w:val="00836BC2"/>
    <w:rsid w:val="00841F77"/>
    <w:rsid w:val="0085156D"/>
    <w:rsid w:val="00852B28"/>
    <w:rsid w:val="0085641B"/>
    <w:rsid w:val="00857136"/>
    <w:rsid w:val="00865B03"/>
    <w:rsid w:val="00875A6B"/>
    <w:rsid w:val="00884201"/>
    <w:rsid w:val="00885B11"/>
    <w:rsid w:val="00886D15"/>
    <w:rsid w:val="00887DD8"/>
    <w:rsid w:val="00891BA9"/>
    <w:rsid w:val="00896018"/>
    <w:rsid w:val="008960DD"/>
    <w:rsid w:val="0089635C"/>
    <w:rsid w:val="00897A09"/>
    <w:rsid w:val="008A2B9D"/>
    <w:rsid w:val="008A3D9F"/>
    <w:rsid w:val="008A5E0B"/>
    <w:rsid w:val="008A6D59"/>
    <w:rsid w:val="008B4B03"/>
    <w:rsid w:val="008B596F"/>
    <w:rsid w:val="008C159F"/>
    <w:rsid w:val="008C1623"/>
    <w:rsid w:val="008C1850"/>
    <w:rsid w:val="008C51A9"/>
    <w:rsid w:val="008E6DD6"/>
    <w:rsid w:val="008E7846"/>
    <w:rsid w:val="008F02E5"/>
    <w:rsid w:val="008F1CCC"/>
    <w:rsid w:val="008F2967"/>
    <w:rsid w:val="008F6943"/>
    <w:rsid w:val="00902A21"/>
    <w:rsid w:val="0091523F"/>
    <w:rsid w:val="00916435"/>
    <w:rsid w:val="00920330"/>
    <w:rsid w:val="009219D7"/>
    <w:rsid w:val="00922D53"/>
    <w:rsid w:val="00923B70"/>
    <w:rsid w:val="00924482"/>
    <w:rsid w:val="00930237"/>
    <w:rsid w:val="00937C17"/>
    <w:rsid w:val="00940A89"/>
    <w:rsid w:val="00941F77"/>
    <w:rsid w:val="00946EA5"/>
    <w:rsid w:val="009556D7"/>
    <w:rsid w:val="00960520"/>
    <w:rsid w:val="009627AB"/>
    <w:rsid w:val="00963C08"/>
    <w:rsid w:val="009752A5"/>
    <w:rsid w:val="0098585A"/>
    <w:rsid w:val="009A4CED"/>
    <w:rsid w:val="009A690D"/>
    <w:rsid w:val="009B1D12"/>
    <w:rsid w:val="009B416B"/>
    <w:rsid w:val="009B5652"/>
    <w:rsid w:val="009C0FB4"/>
    <w:rsid w:val="009C4BD5"/>
    <w:rsid w:val="009D7B77"/>
    <w:rsid w:val="009E0BB0"/>
    <w:rsid w:val="009E3FBB"/>
    <w:rsid w:val="009E5A87"/>
    <w:rsid w:val="009E6FD7"/>
    <w:rsid w:val="009F2673"/>
    <w:rsid w:val="009F7353"/>
    <w:rsid w:val="00A04F85"/>
    <w:rsid w:val="00A05FA4"/>
    <w:rsid w:val="00A102E4"/>
    <w:rsid w:val="00A1219C"/>
    <w:rsid w:val="00A12C42"/>
    <w:rsid w:val="00A14DF7"/>
    <w:rsid w:val="00A178BA"/>
    <w:rsid w:val="00A20545"/>
    <w:rsid w:val="00A22D57"/>
    <w:rsid w:val="00A3246D"/>
    <w:rsid w:val="00A36FA7"/>
    <w:rsid w:val="00A44DDB"/>
    <w:rsid w:val="00A475B7"/>
    <w:rsid w:val="00A47AF7"/>
    <w:rsid w:val="00A47C3E"/>
    <w:rsid w:val="00A50226"/>
    <w:rsid w:val="00A54666"/>
    <w:rsid w:val="00A60BAD"/>
    <w:rsid w:val="00A65269"/>
    <w:rsid w:val="00A6591A"/>
    <w:rsid w:val="00A77F87"/>
    <w:rsid w:val="00A80B5B"/>
    <w:rsid w:val="00A84E36"/>
    <w:rsid w:val="00A964D1"/>
    <w:rsid w:val="00AA0ED0"/>
    <w:rsid w:val="00AA2CA7"/>
    <w:rsid w:val="00AA3025"/>
    <w:rsid w:val="00AB2D21"/>
    <w:rsid w:val="00AC2B40"/>
    <w:rsid w:val="00AC2BB2"/>
    <w:rsid w:val="00AC2C3C"/>
    <w:rsid w:val="00AC512D"/>
    <w:rsid w:val="00AD0083"/>
    <w:rsid w:val="00AD3935"/>
    <w:rsid w:val="00AD6BD8"/>
    <w:rsid w:val="00AE2891"/>
    <w:rsid w:val="00AE531B"/>
    <w:rsid w:val="00AE65EB"/>
    <w:rsid w:val="00AE67A7"/>
    <w:rsid w:val="00AF1D94"/>
    <w:rsid w:val="00AF2313"/>
    <w:rsid w:val="00AF60C5"/>
    <w:rsid w:val="00AF7F79"/>
    <w:rsid w:val="00B009C6"/>
    <w:rsid w:val="00B01548"/>
    <w:rsid w:val="00B02F83"/>
    <w:rsid w:val="00B035B9"/>
    <w:rsid w:val="00B130C5"/>
    <w:rsid w:val="00B13EBD"/>
    <w:rsid w:val="00B1406F"/>
    <w:rsid w:val="00B17AFE"/>
    <w:rsid w:val="00B206A1"/>
    <w:rsid w:val="00B21D29"/>
    <w:rsid w:val="00B25034"/>
    <w:rsid w:val="00B326AA"/>
    <w:rsid w:val="00B33588"/>
    <w:rsid w:val="00B33863"/>
    <w:rsid w:val="00B37D17"/>
    <w:rsid w:val="00B4175E"/>
    <w:rsid w:val="00B41C85"/>
    <w:rsid w:val="00B452CE"/>
    <w:rsid w:val="00B54C25"/>
    <w:rsid w:val="00B653F5"/>
    <w:rsid w:val="00B76B91"/>
    <w:rsid w:val="00B77EB1"/>
    <w:rsid w:val="00B811C6"/>
    <w:rsid w:val="00B841A8"/>
    <w:rsid w:val="00B855B0"/>
    <w:rsid w:val="00B92E08"/>
    <w:rsid w:val="00B948A7"/>
    <w:rsid w:val="00BB0B78"/>
    <w:rsid w:val="00BB75D6"/>
    <w:rsid w:val="00BC622A"/>
    <w:rsid w:val="00BE0A78"/>
    <w:rsid w:val="00BE320A"/>
    <w:rsid w:val="00BE6542"/>
    <w:rsid w:val="00BE79F0"/>
    <w:rsid w:val="00BF046D"/>
    <w:rsid w:val="00BF1190"/>
    <w:rsid w:val="00BF3774"/>
    <w:rsid w:val="00BF5D04"/>
    <w:rsid w:val="00BF7063"/>
    <w:rsid w:val="00C009AA"/>
    <w:rsid w:val="00C1164D"/>
    <w:rsid w:val="00C16861"/>
    <w:rsid w:val="00C34133"/>
    <w:rsid w:val="00C346AB"/>
    <w:rsid w:val="00C404A6"/>
    <w:rsid w:val="00C409D3"/>
    <w:rsid w:val="00C40A36"/>
    <w:rsid w:val="00C44419"/>
    <w:rsid w:val="00C45E7B"/>
    <w:rsid w:val="00C471B1"/>
    <w:rsid w:val="00C525A2"/>
    <w:rsid w:val="00C52E24"/>
    <w:rsid w:val="00C6316B"/>
    <w:rsid w:val="00C634A9"/>
    <w:rsid w:val="00C64586"/>
    <w:rsid w:val="00C70A36"/>
    <w:rsid w:val="00C70D53"/>
    <w:rsid w:val="00C73D0B"/>
    <w:rsid w:val="00C74F5C"/>
    <w:rsid w:val="00C772FF"/>
    <w:rsid w:val="00C80137"/>
    <w:rsid w:val="00C801AF"/>
    <w:rsid w:val="00C80256"/>
    <w:rsid w:val="00C80FB5"/>
    <w:rsid w:val="00C84F55"/>
    <w:rsid w:val="00C94CD4"/>
    <w:rsid w:val="00C9747E"/>
    <w:rsid w:val="00CB6BC0"/>
    <w:rsid w:val="00CC1B7C"/>
    <w:rsid w:val="00CC5044"/>
    <w:rsid w:val="00CC727F"/>
    <w:rsid w:val="00CE2164"/>
    <w:rsid w:val="00CF15C3"/>
    <w:rsid w:val="00CF2B6F"/>
    <w:rsid w:val="00CF2F3E"/>
    <w:rsid w:val="00CF58B6"/>
    <w:rsid w:val="00CF5DAD"/>
    <w:rsid w:val="00D00225"/>
    <w:rsid w:val="00D0062D"/>
    <w:rsid w:val="00D017ED"/>
    <w:rsid w:val="00D022D5"/>
    <w:rsid w:val="00D040D3"/>
    <w:rsid w:val="00D04C65"/>
    <w:rsid w:val="00D153D8"/>
    <w:rsid w:val="00D201D2"/>
    <w:rsid w:val="00D212F3"/>
    <w:rsid w:val="00D224FE"/>
    <w:rsid w:val="00D23139"/>
    <w:rsid w:val="00D425BB"/>
    <w:rsid w:val="00D4390C"/>
    <w:rsid w:val="00D453FA"/>
    <w:rsid w:val="00D56348"/>
    <w:rsid w:val="00D57CA8"/>
    <w:rsid w:val="00D61623"/>
    <w:rsid w:val="00D61B49"/>
    <w:rsid w:val="00D6450C"/>
    <w:rsid w:val="00D6493E"/>
    <w:rsid w:val="00D7195D"/>
    <w:rsid w:val="00D72CBA"/>
    <w:rsid w:val="00D7301E"/>
    <w:rsid w:val="00D83AE1"/>
    <w:rsid w:val="00D854AC"/>
    <w:rsid w:val="00D855D4"/>
    <w:rsid w:val="00D902C9"/>
    <w:rsid w:val="00D93466"/>
    <w:rsid w:val="00DA1124"/>
    <w:rsid w:val="00DA64CB"/>
    <w:rsid w:val="00DB06B8"/>
    <w:rsid w:val="00DB6124"/>
    <w:rsid w:val="00DB750B"/>
    <w:rsid w:val="00DB75B7"/>
    <w:rsid w:val="00DC0A2F"/>
    <w:rsid w:val="00DC0E31"/>
    <w:rsid w:val="00DC1948"/>
    <w:rsid w:val="00DC6E02"/>
    <w:rsid w:val="00DD28CD"/>
    <w:rsid w:val="00DE02AE"/>
    <w:rsid w:val="00DE33D7"/>
    <w:rsid w:val="00DE39D1"/>
    <w:rsid w:val="00DF1D7F"/>
    <w:rsid w:val="00DF4BE4"/>
    <w:rsid w:val="00DF7C6F"/>
    <w:rsid w:val="00E02382"/>
    <w:rsid w:val="00E02C3F"/>
    <w:rsid w:val="00E02FB4"/>
    <w:rsid w:val="00E07F30"/>
    <w:rsid w:val="00E13FC7"/>
    <w:rsid w:val="00E15B1F"/>
    <w:rsid w:val="00E20571"/>
    <w:rsid w:val="00E22ECF"/>
    <w:rsid w:val="00E235F7"/>
    <w:rsid w:val="00E23659"/>
    <w:rsid w:val="00E239D4"/>
    <w:rsid w:val="00E26130"/>
    <w:rsid w:val="00E33D42"/>
    <w:rsid w:val="00E40B22"/>
    <w:rsid w:val="00E44ED1"/>
    <w:rsid w:val="00E45619"/>
    <w:rsid w:val="00E4588F"/>
    <w:rsid w:val="00E46DA3"/>
    <w:rsid w:val="00E51BB1"/>
    <w:rsid w:val="00E55CB0"/>
    <w:rsid w:val="00E624A5"/>
    <w:rsid w:val="00E63557"/>
    <w:rsid w:val="00E64BA4"/>
    <w:rsid w:val="00E7344E"/>
    <w:rsid w:val="00E82665"/>
    <w:rsid w:val="00E9310A"/>
    <w:rsid w:val="00E96E13"/>
    <w:rsid w:val="00EB0798"/>
    <w:rsid w:val="00EB36D6"/>
    <w:rsid w:val="00EB40AD"/>
    <w:rsid w:val="00EB586E"/>
    <w:rsid w:val="00EB5FC8"/>
    <w:rsid w:val="00EC463D"/>
    <w:rsid w:val="00EC7A85"/>
    <w:rsid w:val="00ED2922"/>
    <w:rsid w:val="00ED3CAD"/>
    <w:rsid w:val="00ED4392"/>
    <w:rsid w:val="00ED5A41"/>
    <w:rsid w:val="00ED778E"/>
    <w:rsid w:val="00EE1DE8"/>
    <w:rsid w:val="00EE27C2"/>
    <w:rsid w:val="00EF4BAD"/>
    <w:rsid w:val="00EF59DC"/>
    <w:rsid w:val="00F033EC"/>
    <w:rsid w:val="00F04F68"/>
    <w:rsid w:val="00F12670"/>
    <w:rsid w:val="00F14B27"/>
    <w:rsid w:val="00F307AD"/>
    <w:rsid w:val="00F3148D"/>
    <w:rsid w:val="00F325C5"/>
    <w:rsid w:val="00F32FE0"/>
    <w:rsid w:val="00F35298"/>
    <w:rsid w:val="00F47333"/>
    <w:rsid w:val="00F47E37"/>
    <w:rsid w:val="00F53C07"/>
    <w:rsid w:val="00F54B65"/>
    <w:rsid w:val="00F63DBF"/>
    <w:rsid w:val="00F640B6"/>
    <w:rsid w:val="00F66DF2"/>
    <w:rsid w:val="00F77DF0"/>
    <w:rsid w:val="00F80E40"/>
    <w:rsid w:val="00F848D9"/>
    <w:rsid w:val="00F85D96"/>
    <w:rsid w:val="00F931CE"/>
    <w:rsid w:val="00F96690"/>
    <w:rsid w:val="00FA22F5"/>
    <w:rsid w:val="00FA4BBA"/>
    <w:rsid w:val="00FA5069"/>
    <w:rsid w:val="00FA5B82"/>
    <w:rsid w:val="00FA639E"/>
    <w:rsid w:val="00FB0FA8"/>
    <w:rsid w:val="00FB195F"/>
    <w:rsid w:val="00FC1FCA"/>
    <w:rsid w:val="00FC25E4"/>
    <w:rsid w:val="00FC4EF7"/>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34ACBE1"/>
  <w15:docId w15:val="{4E02BAC6-D733-4E71-8F22-EF899C06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463C2"/>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9556D7"/>
    <w:pPr>
      <w:framePr w:hSpace="180" w:wrap="around" w:vAnchor="text" w:hAnchor="margin" w:y="9863"/>
      <w:suppressOverlap/>
    </w:pPr>
    <w:rPr>
      <w:rFonts w:ascii="Arial" w:hAnsi="Arial" w:cs="Arial"/>
      <w:b/>
      <w:color w:val="002C47"/>
      <w:sz w:val="36"/>
      <w:szCs w:val="36"/>
    </w:rPr>
  </w:style>
  <w:style w:type="character" w:customStyle="1" w:styleId="DateChar">
    <w:name w:val="Date Char"/>
    <w:basedOn w:val="DefaultParagraphFont"/>
    <w:link w:val="Date"/>
    <w:uiPriority w:val="99"/>
    <w:rsid w:val="009556D7"/>
    <w:rPr>
      <w:rFonts w:ascii="Arial" w:eastAsia="Cambria" w:hAnsi="Arial" w:cs="Arial"/>
      <w:b/>
      <w:color w:val="002C47"/>
      <w:sz w:val="36"/>
      <w:szCs w:val="36"/>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9556D7"/>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9556D7"/>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9556D7"/>
    <w:pPr>
      <w:framePr w:hSpace="180" w:wrap="around" w:vAnchor="page" w:hAnchor="text" w:y="3316"/>
      <w:spacing w:after="480" w:line="240" w:lineRule="auto"/>
      <w:contextualSpacing/>
      <w:outlineLvl w:val="0"/>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9556D7"/>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Tabletitle0">
    <w:name w:val="Table title"/>
    <w:basedOn w:val="Normal"/>
    <w:next w:val="Normal"/>
    <w:rsid w:val="009F2673"/>
    <w:pPr>
      <w:keepNext/>
      <w:spacing w:after="180"/>
    </w:pPr>
    <w:rPr>
      <w:b/>
      <w:szCs w:val="20"/>
    </w:rPr>
  </w:style>
  <w:style w:type="character" w:customStyle="1" w:styleId="UnresolvedMention1">
    <w:name w:val="Unresolved Mention1"/>
    <w:basedOn w:val="DefaultParagraphFont"/>
    <w:uiPriority w:val="99"/>
    <w:semiHidden/>
    <w:unhideWhenUsed/>
    <w:rsid w:val="009F2673"/>
    <w:rPr>
      <w:color w:val="605E5C"/>
      <w:shd w:val="clear" w:color="auto" w:fill="E1DFDD"/>
    </w:rPr>
  </w:style>
  <w:style w:type="paragraph" w:customStyle="1" w:styleId="Default">
    <w:name w:val="Default"/>
    <w:rsid w:val="00E22EC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basedOn w:val="Normal"/>
    <w:link w:val="StandardChar"/>
    <w:qFormat/>
    <w:rsid w:val="004824D4"/>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4824D4"/>
    <w:rPr>
      <w:rFonts w:ascii="Cambria" w:eastAsia="Times New Roman" w:hAnsi="Cambria" w:cs="Times New Roman"/>
      <w:snapToGrid w:val="0"/>
      <w:kern w:val="16"/>
      <w:sz w:val="23"/>
      <w:szCs w:val="24"/>
    </w:rPr>
  </w:style>
  <w:style w:type="paragraph" w:styleId="ListParagraph">
    <w:name w:val="List Paragraph"/>
    <w:basedOn w:val="Normal"/>
    <w:uiPriority w:val="34"/>
    <w:qFormat/>
    <w:rsid w:val="004824D4"/>
    <w:pPr>
      <w:adjustRightInd w:val="0"/>
      <w:snapToGrid w:val="0"/>
      <w:spacing w:before="180" w:after="180"/>
      <w:ind w:left="720"/>
      <w:contextualSpacing/>
    </w:pPr>
    <w:rPr>
      <w:rFonts w:eastAsia="MS Mincho"/>
      <w:szCs w:val="20"/>
      <w:lang w:eastAsia="ja-JP"/>
    </w:rPr>
  </w:style>
  <w:style w:type="paragraph" w:customStyle="1" w:styleId="Bullet2">
    <w:name w:val="Bullet 2"/>
    <w:basedOn w:val="Normal"/>
    <w:rsid w:val="004824D4"/>
    <w:pPr>
      <w:numPr>
        <w:numId w:val="34"/>
      </w:numPr>
      <w:spacing w:after="0" w:line="240" w:lineRule="auto"/>
    </w:pPr>
    <w:rPr>
      <w:rFonts w:asciiTheme="minorHAnsi" w:eastAsia="Times New Roman" w:hAnsiTheme="minorHAnsi" w:cstheme="majorHAnsi"/>
      <w:kern w:val="24"/>
      <w:szCs w:val="24"/>
      <w:lang w:eastAsia="en-AU"/>
    </w:rPr>
  </w:style>
  <w:style w:type="paragraph" w:customStyle="1" w:styleId="ASubTable">
    <w:name w:val="A Sub Table"/>
    <w:basedOn w:val="Normal"/>
    <w:uiPriority w:val="99"/>
    <w:qFormat/>
    <w:rsid w:val="004824D4"/>
    <w:pPr>
      <w:spacing w:before="0" w:after="0" w:line="240" w:lineRule="auto"/>
    </w:pPr>
    <w:rPr>
      <w:rFonts w:asciiTheme="minorHAnsi" w:eastAsiaTheme="minorHAnsi" w:hAnsiTheme="minorHAnsi" w:cstheme="majorHAnsi"/>
      <w:sz w:val="16"/>
      <w:szCs w:val="16"/>
      <w:lang w:eastAsia="ja-JP"/>
    </w:rPr>
  </w:style>
  <w:style w:type="paragraph" w:customStyle="1" w:styleId="Bulletlist">
    <w:name w:val="Bullet list"/>
    <w:basedOn w:val="Standard"/>
    <w:link w:val="BulletlistChar"/>
    <w:qFormat/>
    <w:rsid w:val="000E44DE"/>
    <w:pPr>
      <w:numPr>
        <w:numId w:val="40"/>
      </w:numPr>
      <w:spacing w:after="180"/>
      <w:ind w:left="426" w:hanging="284"/>
    </w:pPr>
    <w:rPr>
      <w:kern w:val="2"/>
    </w:rPr>
  </w:style>
  <w:style w:type="character" w:customStyle="1" w:styleId="BulletlistChar">
    <w:name w:val="Bullet list Char"/>
    <w:basedOn w:val="StandardChar"/>
    <w:link w:val="Bulletlist"/>
    <w:rsid w:val="000E44DE"/>
    <w:rPr>
      <w:rFonts w:ascii="Cambria" w:eastAsia="Times New Roman" w:hAnsi="Cambria" w:cs="Times New Roman"/>
      <w:snapToGrid w:val="0"/>
      <w:kern w:val="2"/>
      <w:sz w:val="23"/>
      <w:szCs w:val="24"/>
    </w:rPr>
  </w:style>
  <w:style w:type="character" w:styleId="UnresolvedMention">
    <w:name w:val="Unresolved Mention"/>
    <w:basedOn w:val="DefaultParagraphFont"/>
    <w:uiPriority w:val="99"/>
    <w:semiHidden/>
    <w:unhideWhenUsed/>
    <w:rsid w:val="008E6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89732">
      <w:bodyDiv w:val="1"/>
      <w:marLeft w:val="0"/>
      <w:marRight w:val="0"/>
      <w:marTop w:val="0"/>
      <w:marBottom w:val="0"/>
      <w:divBdr>
        <w:top w:val="none" w:sz="0" w:space="0" w:color="auto"/>
        <w:left w:val="none" w:sz="0" w:space="0" w:color="auto"/>
        <w:bottom w:val="none" w:sz="0" w:space="0" w:color="auto"/>
        <w:right w:val="none" w:sz="0" w:space="0" w:color="auto"/>
      </w:divBdr>
    </w:div>
    <w:div w:id="597366852">
      <w:bodyDiv w:val="1"/>
      <w:marLeft w:val="0"/>
      <w:marRight w:val="0"/>
      <w:marTop w:val="0"/>
      <w:marBottom w:val="0"/>
      <w:divBdr>
        <w:top w:val="none" w:sz="0" w:space="0" w:color="auto"/>
        <w:left w:val="none" w:sz="0" w:space="0" w:color="auto"/>
        <w:bottom w:val="none" w:sz="0" w:space="0" w:color="auto"/>
        <w:right w:val="none" w:sz="0" w:space="0" w:color="auto"/>
      </w:divBdr>
      <w:divsChild>
        <w:div w:id="943654885">
          <w:marLeft w:val="0"/>
          <w:marRight w:val="0"/>
          <w:marTop w:val="15"/>
          <w:marBottom w:val="0"/>
          <w:divBdr>
            <w:top w:val="single" w:sz="48" w:space="0" w:color="auto"/>
            <w:left w:val="single" w:sz="48" w:space="0" w:color="auto"/>
            <w:bottom w:val="single" w:sz="48" w:space="0" w:color="auto"/>
            <w:right w:val="single" w:sz="48" w:space="0" w:color="auto"/>
          </w:divBdr>
          <w:divsChild>
            <w:div w:id="117626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50008">
      <w:bodyDiv w:val="1"/>
      <w:marLeft w:val="0"/>
      <w:marRight w:val="0"/>
      <w:marTop w:val="0"/>
      <w:marBottom w:val="0"/>
      <w:divBdr>
        <w:top w:val="none" w:sz="0" w:space="0" w:color="auto"/>
        <w:left w:val="none" w:sz="0" w:space="0" w:color="auto"/>
        <w:bottom w:val="none" w:sz="0" w:space="0" w:color="auto"/>
        <w:right w:val="none" w:sz="0" w:space="0" w:color="auto"/>
      </w:divBdr>
    </w:div>
    <w:div w:id="1488009520">
      <w:bodyDiv w:val="1"/>
      <w:marLeft w:val="0"/>
      <w:marRight w:val="0"/>
      <w:marTop w:val="0"/>
      <w:marBottom w:val="0"/>
      <w:divBdr>
        <w:top w:val="none" w:sz="0" w:space="0" w:color="auto"/>
        <w:left w:val="none" w:sz="0" w:space="0" w:color="auto"/>
        <w:bottom w:val="none" w:sz="0" w:space="0" w:color="auto"/>
        <w:right w:val="none" w:sz="0" w:space="0" w:color="auto"/>
      </w:divBdr>
    </w:div>
    <w:div w:id="1878739786">
      <w:bodyDiv w:val="1"/>
      <w:marLeft w:val="0"/>
      <w:marRight w:val="0"/>
      <w:marTop w:val="0"/>
      <w:marBottom w:val="0"/>
      <w:divBdr>
        <w:top w:val="none" w:sz="0" w:space="0" w:color="auto"/>
        <w:left w:val="none" w:sz="0" w:space="0" w:color="auto"/>
        <w:bottom w:val="none" w:sz="0" w:space="0" w:color="auto"/>
        <w:right w:val="none" w:sz="0" w:space="0" w:color="auto"/>
      </w:divBdr>
    </w:div>
    <w:div w:id="20596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tga.gov.au/tgas-risk-management-approach" TargetMode="External"/><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3.xm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tga.gov.au/publication/risk-management-plans-medicines-and-biologicals" TargetMode="External"/><Relationship Id="rId29"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tga.gov.au/how-we-regulate/labelling-and-packaging/medicines-and-biologicals/picmi-search-facility" TargetMode="Externa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ga.gov.au/how-we-regulate/labelling-and-packaging/medicines-and-biologicals/picmi-search-facility" TargetMode="External"/><Relationship Id="rId23" Type="http://schemas.openxmlformats.org/officeDocument/2006/relationships/hyperlink" Target="https://www.tga.gov.au/committee/advisory-committee-medicines-acm" TargetMode="External"/><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hyperlink" Target="mailto:tga.copyright@tga.gov.au" TargetMode="External"/><Relationship Id="rId19" Type="http://schemas.openxmlformats.org/officeDocument/2006/relationships/image" Target="media/image5.png"/><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www.tga.gov.au/resources/resource/guidance/australian-public-assessment-report-auspar-guidance" TargetMode="External"/><Relationship Id="rId14" Type="http://schemas.openxmlformats.org/officeDocument/2006/relationships/hyperlink" Target="https://www.tga.gov.au/black-triangle-scheme" TargetMode="External"/><Relationship Id="rId22" Type="http://schemas.openxmlformats.org/officeDocument/2006/relationships/image" Target="media/image6.png"/><Relationship Id="rId27" Type="http://schemas.openxmlformats.org/officeDocument/2006/relationships/header" Target="header5.xml"/><Relationship Id="rId30" Type="http://schemas.openxmlformats.org/officeDocument/2006/relationships/hyperlink" Target="https://www.tga.gov.au" TargetMode="External"/><Relationship Id="rId35"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tga.gov.au/resources/auspar/auspar-ozanimod-hydrochlori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0186F-54AB-4DAC-9FF7-5582B4FC7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32</Pages>
  <Words>11169</Words>
  <Characters>63665</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and Aged Care</Company>
  <LinksUpToDate>false</LinksUpToDate>
  <CharactersWithSpaces>74685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Zeposia</dc:title>
  <dc:subject>prescription medicine regulation</dc:subject>
  <dc:creator>Therapeutic Goods Administration</dc:creator>
  <cp:keywords/>
  <cp:lastModifiedBy>PITKIN, Brendan</cp:lastModifiedBy>
  <cp:revision>29</cp:revision>
  <cp:lastPrinted>2019-08-14T04:30:00Z</cp:lastPrinted>
  <dcterms:created xsi:type="dcterms:W3CDTF">2022-08-28T21:59:00Z</dcterms:created>
  <dcterms:modified xsi:type="dcterms:W3CDTF">2022-09-20T05:32:00Z</dcterms:modified>
  <cp:category/>
</cp:coreProperties>
</file>