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23165737" w14:textId="77777777" w:rsidTr="002B29B2">
        <w:tc>
          <w:tcPr>
            <w:tcW w:w="8720" w:type="dxa"/>
          </w:tcPr>
          <w:p w14:paraId="71E2C116" w14:textId="5E04779A" w:rsidR="00F401EF" w:rsidRPr="00215D48" w:rsidRDefault="00C7784F" w:rsidP="002B29B2">
            <w:pPr>
              <w:pStyle w:val="Title"/>
            </w:pPr>
            <w:r w:rsidRPr="00C7784F">
              <w:t>Test to verify the analytical sensitivity of COVID-19 Rapid Antigen Test Kits</w:t>
            </w:r>
          </w:p>
        </w:tc>
      </w:tr>
      <w:tr w:rsidR="002B29B2" w:rsidRPr="00215D48" w14:paraId="0264A93F" w14:textId="77777777" w:rsidTr="002B29B2">
        <w:trPr>
          <w:trHeight w:val="1916"/>
        </w:trPr>
        <w:tc>
          <w:tcPr>
            <w:tcW w:w="8720" w:type="dxa"/>
          </w:tcPr>
          <w:p w14:paraId="2B1C93F3" w14:textId="68301586" w:rsidR="00F401EF" w:rsidRPr="00215D48" w:rsidRDefault="00F401EF" w:rsidP="002B29B2">
            <w:pPr>
              <w:pStyle w:val="Subtitle"/>
              <w:ind w:left="0"/>
            </w:pPr>
          </w:p>
        </w:tc>
      </w:tr>
      <w:tr w:rsidR="002B29B2" w:rsidRPr="00215D48" w14:paraId="05B5B62B" w14:textId="77777777" w:rsidTr="002B29B2">
        <w:tc>
          <w:tcPr>
            <w:tcW w:w="8720" w:type="dxa"/>
          </w:tcPr>
          <w:p w14:paraId="6ABD92CD" w14:textId="7FD19FC3" w:rsidR="002B29B2" w:rsidRPr="00215D48" w:rsidRDefault="002B29B2" w:rsidP="00F54CA9">
            <w:pPr>
              <w:pStyle w:val="Date"/>
            </w:pPr>
            <w:r w:rsidRPr="00215D48">
              <w:t xml:space="preserve">Version 1.0, </w:t>
            </w:r>
            <w:r w:rsidR="00C7784F">
              <w:t>June 2022</w:t>
            </w:r>
          </w:p>
        </w:tc>
      </w:tr>
    </w:tbl>
    <w:p w14:paraId="271A451F"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35DA8443" w14:textId="77777777" w:rsidR="005D1689" w:rsidRPr="00E1198B" w:rsidRDefault="005D1689" w:rsidP="00BA0DFC">
      <w:pPr>
        <w:pStyle w:val="LegalSubheading"/>
      </w:pPr>
      <w:r w:rsidRPr="00BA0DFC">
        <w:lastRenderedPageBreak/>
        <w:t>Copyright</w:t>
      </w:r>
    </w:p>
    <w:p w14:paraId="1B10DB8E" w14:textId="4BE346EA" w:rsidR="00F274A2" w:rsidRDefault="005D1689" w:rsidP="0029069E">
      <w:pPr>
        <w:pStyle w:val="LegalCopy"/>
        <w:rPr>
          <w:rFonts w:cs="Arial"/>
        </w:rPr>
      </w:pPr>
      <w:r w:rsidRPr="00215D48">
        <w:rPr>
          <w:rFonts w:cs="Arial"/>
        </w:rPr>
        <w:t>© Commonwealth of Australia 20</w:t>
      </w:r>
      <w:r w:rsidR="00030D34">
        <w:rPr>
          <w:rFonts w:cs="Arial"/>
        </w:rPr>
        <w:t>2</w:t>
      </w:r>
      <w:r w:rsidR="004F2C7E">
        <w:rPr>
          <w:rFonts w:cs="Arial"/>
        </w:rPr>
        <w:t>2</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70C3888F" w14:textId="77777777" w:rsidR="00F401EF" w:rsidRPr="00215D48" w:rsidRDefault="00F401EF" w:rsidP="00035110">
          <w:pPr>
            <w:pStyle w:val="NonTOCheading2"/>
          </w:pPr>
          <w:r w:rsidRPr="00215D48">
            <w:t>Contents</w:t>
          </w:r>
        </w:p>
        <w:p w14:paraId="1BBA51CD" w14:textId="171EB424" w:rsidR="00FB261F"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06793418" w:history="1">
            <w:r w:rsidR="00FB261F" w:rsidRPr="00F33D27">
              <w:rPr>
                <w:rStyle w:val="Hyperlink"/>
                <w:noProof/>
              </w:rPr>
              <w:t>Test to verify the analytical sensitivity of COVID-19 Rapid Antigen Test Kits</w:t>
            </w:r>
            <w:r w:rsidR="00FB261F">
              <w:rPr>
                <w:noProof/>
                <w:webHidden/>
              </w:rPr>
              <w:tab/>
            </w:r>
            <w:r w:rsidR="00FB261F">
              <w:rPr>
                <w:noProof/>
                <w:webHidden/>
              </w:rPr>
              <w:fldChar w:fldCharType="begin"/>
            </w:r>
            <w:r w:rsidR="00FB261F">
              <w:rPr>
                <w:noProof/>
                <w:webHidden/>
              </w:rPr>
              <w:instrText xml:space="preserve"> PAGEREF _Toc106793418 \h </w:instrText>
            </w:r>
            <w:r w:rsidR="00FB261F">
              <w:rPr>
                <w:noProof/>
                <w:webHidden/>
              </w:rPr>
            </w:r>
            <w:r w:rsidR="00FB261F">
              <w:rPr>
                <w:noProof/>
                <w:webHidden/>
              </w:rPr>
              <w:fldChar w:fldCharType="separate"/>
            </w:r>
            <w:r w:rsidR="00FB261F">
              <w:rPr>
                <w:noProof/>
                <w:webHidden/>
              </w:rPr>
              <w:t>4</w:t>
            </w:r>
            <w:r w:rsidR="00FB261F">
              <w:rPr>
                <w:noProof/>
                <w:webHidden/>
              </w:rPr>
              <w:fldChar w:fldCharType="end"/>
            </w:r>
          </w:hyperlink>
        </w:p>
        <w:p w14:paraId="55E0F5A5" w14:textId="084E97D8" w:rsidR="00FB261F" w:rsidRDefault="00FB261F">
          <w:pPr>
            <w:pStyle w:val="TOC2"/>
            <w:rPr>
              <w:rFonts w:asciiTheme="minorHAnsi" w:eastAsiaTheme="minorEastAsia" w:hAnsiTheme="minorHAnsi" w:cstheme="minorBidi"/>
              <w:b w:val="0"/>
              <w:noProof/>
              <w:sz w:val="22"/>
              <w:szCs w:val="22"/>
              <w:lang w:eastAsia="en-AU"/>
            </w:rPr>
          </w:pPr>
          <w:hyperlink w:anchor="_Toc106793419" w:history="1">
            <w:r w:rsidRPr="00F33D27">
              <w:rPr>
                <w:rStyle w:val="Hyperlink"/>
                <w:noProof/>
              </w:rPr>
              <w:t>Purpose</w:t>
            </w:r>
            <w:r>
              <w:rPr>
                <w:noProof/>
                <w:webHidden/>
              </w:rPr>
              <w:tab/>
            </w:r>
            <w:r>
              <w:rPr>
                <w:noProof/>
                <w:webHidden/>
              </w:rPr>
              <w:fldChar w:fldCharType="begin"/>
            </w:r>
            <w:r>
              <w:rPr>
                <w:noProof/>
                <w:webHidden/>
              </w:rPr>
              <w:instrText xml:space="preserve"> PAGEREF _Toc106793419 \h </w:instrText>
            </w:r>
            <w:r>
              <w:rPr>
                <w:noProof/>
                <w:webHidden/>
              </w:rPr>
            </w:r>
            <w:r>
              <w:rPr>
                <w:noProof/>
                <w:webHidden/>
              </w:rPr>
              <w:fldChar w:fldCharType="separate"/>
            </w:r>
            <w:r>
              <w:rPr>
                <w:noProof/>
                <w:webHidden/>
              </w:rPr>
              <w:t>4</w:t>
            </w:r>
            <w:r>
              <w:rPr>
                <w:noProof/>
                <w:webHidden/>
              </w:rPr>
              <w:fldChar w:fldCharType="end"/>
            </w:r>
          </w:hyperlink>
        </w:p>
        <w:p w14:paraId="323CA26B" w14:textId="612E1A47" w:rsidR="00FB261F" w:rsidRDefault="00FB261F">
          <w:pPr>
            <w:pStyle w:val="TOC2"/>
            <w:rPr>
              <w:rFonts w:asciiTheme="minorHAnsi" w:eastAsiaTheme="minorEastAsia" w:hAnsiTheme="minorHAnsi" w:cstheme="minorBidi"/>
              <w:b w:val="0"/>
              <w:noProof/>
              <w:sz w:val="22"/>
              <w:szCs w:val="22"/>
              <w:lang w:eastAsia="en-AU"/>
            </w:rPr>
          </w:pPr>
          <w:hyperlink w:anchor="_Toc106793420" w:history="1">
            <w:r w:rsidRPr="00F33D27">
              <w:rPr>
                <w:rStyle w:val="Hyperlink"/>
                <w:noProof/>
              </w:rPr>
              <w:t>Scope</w:t>
            </w:r>
            <w:r>
              <w:rPr>
                <w:noProof/>
                <w:webHidden/>
              </w:rPr>
              <w:tab/>
            </w:r>
            <w:r>
              <w:rPr>
                <w:noProof/>
                <w:webHidden/>
              </w:rPr>
              <w:fldChar w:fldCharType="begin"/>
            </w:r>
            <w:r>
              <w:rPr>
                <w:noProof/>
                <w:webHidden/>
              </w:rPr>
              <w:instrText xml:space="preserve"> PAGEREF _Toc106793420 \h </w:instrText>
            </w:r>
            <w:r>
              <w:rPr>
                <w:noProof/>
                <w:webHidden/>
              </w:rPr>
            </w:r>
            <w:r>
              <w:rPr>
                <w:noProof/>
                <w:webHidden/>
              </w:rPr>
              <w:fldChar w:fldCharType="separate"/>
            </w:r>
            <w:r>
              <w:rPr>
                <w:noProof/>
                <w:webHidden/>
              </w:rPr>
              <w:t>4</w:t>
            </w:r>
            <w:r>
              <w:rPr>
                <w:noProof/>
                <w:webHidden/>
              </w:rPr>
              <w:fldChar w:fldCharType="end"/>
            </w:r>
          </w:hyperlink>
        </w:p>
        <w:p w14:paraId="5B2FB6CA" w14:textId="258EE3E0" w:rsidR="00FB261F" w:rsidRDefault="00FB261F">
          <w:pPr>
            <w:pStyle w:val="TOC2"/>
            <w:rPr>
              <w:rFonts w:asciiTheme="minorHAnsi" w:eastAsiaTheme="minorEastAsia" w:hAnsiTheme="minorHAnsi" w:cstheme="minorBidi"/>
              <w:b w:val="0"/>
              <w:noProof/>
              <w:sz w:val="22"/>
              <w:szCs w:val="22"/>
              <w:lang w:eastAsia="en-AU"/>
            </w:rPr>
          </w:pPr>
          <w:hyperlink w:anchor="_Toc106793421" w:history="1">
            <w:r w:rsidRPr="00F33D27">
              <w:rPr>
                <w:rStyle w:val="Hyperlink"/>
                <w:noProof/>
              </w:rPr>
              <w:t>Background</w:t>
            </w:r>
            <w:r>
              <w:rPr>
                <w:noProof/>
                <w:webHidden/>
              </w:rPr>
              <w:tab/>
            </w:r>
            <w:r>
              <w:rPr>
                <w:noProof/>
                <w:webHidden/>
              </w:rPr>
              <w:fldChar w:fldCharType="begin"/>
            </w:r>
            <w:r>
              <w:rPr>
                <w:noProof/>
                <w:webHidden/>
              </w:rPr>
              <w:instrText xml:space="preserve"> PAGEREF _Toc106793421 \h </w:instrText>
            </w:r>
            <w:r>
              <w:rPr>
                <w:noProof/>
                <w:webHidden/>
              </w:rPr>
            </w:r>
            <w:r>
              <w:rPr>
                <w:noProof/>
                <w:webHidden/>
              </w:rPr>
              <w:fldChar w:fldCharType="separate"/>
            </w:r>
            <w:r>
              <w:rPr>
                <w:noProof/>
                <w:webHidden/>
              </w:rPr>
              <w:t>4</w:t>
            </w:r>
            <w:r>
              <w:rPr>
                <w:noProof/>
                <w:webHidden/>
              </w:rPr>
              <w:fldChar w:fldCharType="end"/>
            </w:r>
          </w:hyperlink>
        </w:p>
        <w:p w14:paraId="50844E01" w14:textId="221D4236" w:rsidR="00FB261F" w:rsidRDefault="00FB261F">
          <w:pPr>
            <w:pStyle w:val="TOC2"/>
            <w:rPr>
              <w:rFonts w:asciiTheme="minorHAnsi" w:eastAsiaTheme="minorEastAsia" w:hAnsiTheme="minorHAnsi" w:cstheme="minorBidi"/>
              <w:b w:val="0"/>
              <w:noProof/>
              <w:sz w:val="22"/>
              <w:szCs w:val="22"/>
              <w:lang w:eastAsia="en-AU"/>
            </w:rPr>
          </w:pPr>
          <w:hyperlink w:anchor="_Toc106793422" w:history="1">
            <w:r w:rsidRPr="00F33D27">
              <w:rPr>
                <w:rStyle w:val="Hyperlink"/>
                <w:noProof/>
              </w:rPr>
              <w:t>Quality</w:t>
            </w:r>
            <w:r>
              <w:rPr>
                <w:noProof/>
                <w:webHidden/>
              </w:rPr>
              <w:tab/>
            </w:r>
            <w:r>
              <w:rPr>
                <w:noProof/>
                <w:webHidden/>
              </w:rPr>
              <w:fldChar w:fldCharType="begin"/>
            </w:r>
            <w:r>
              <w:rPr>
                <w:noProof/>
                <w:webHidden/>
              </w:rPr>
              <w:instrText xml:space="preserve"> PAGEREF _Toc106793422 \h </w:instrText>
            </w:r>
            <w:r>
              <w:rPr>
                <w:noProof/>
                <w:webHidden/>
              </w:rPr>
            </w:r>
            <w:r>
              <w:rPr>
                <w:noProof/>
                <w:webHidden/>
              </w:rPr>
              <w:fldChar w:fldCharType="separate"/>
            </w:r>
            <w:r>
              <w:rPr>
                <w:noProof/>
                <w:webHidden/>
              </w:rPr>
              <w:t>5</w:t>
            </w:r>
            <w:r>
              <w:rPr>
                <w:noProof/>
                <w:webHidden/>
              </w:rPr>
              <w:fldChar w:fldCharType="end"/>
            </w:r>
          </w:hyperlink>
        </w:p>
        <w:p w14:paraId="7EB16868" w14:textId="629BE880" w:rsidR="00FB261F" w:rsidRDefault="00FB261F">
          <w:pPr>
            <w:pStyle w:val="TOC2"/>
            <w:rPr>
              <w:rFonts w:asciiTheme="minorHAnsi" w:eastAsiaTheme="minorEastAsia" w:hAnsiTheme="minorHAnsi" w:cstheme="minorBidi"/>
              <w:b w:val="0"/>
              <w:noProof/>
              <w:sz w:val="22"/>
              <w:szCs w:val="22"/>
              <w:lang w:eastAsia="en-AU"/>
            </w:rPr>
          </w:pPr>
          <w:hyperlink w:anchor="_Toc106793423" w:history="1">
            <w:r w:rsidRPr="00F33D27">
              <w:rPr>
                <w:rStyle w:val="Hyperlink"/>
                <w:noProof/>
              </w:rPr>
              <w:t>Definitions</w:t>
            </w:r>
            <w:r>
              <w:rPr>
                <w:noProof/>
                <w:webHidden/>
              </w:rPr>
              <w:tab/>
            </w:r>
            <w:r>
              <w:rPr>
                <w:noProof/>
                <w:webHidden/>
              </w:rPr>
              <w:fldChar w:fldCharType="begin"/>
            </w:r>
            <w:r>
              <w:rPr>
                <w:noProof/>
                <w:webHidden/>
              </w:rPr>
              <w:instrText xml:space="preserve"> PAGEREF _Toc106793423 \h </w:instrText>
            </w:r>
            <w:r>
              <w:rPr>
                <w:noProof/>
                <w:webHidden/>
              </w:rPr>
            </w:r>
            <w:r>
              <w:rPr>
                <w:noProof/>
                <w:webHidden/>
              </w:rPr>
              <w:fldChar w:fldCharType="separate"/>
            </w:r>
            <w:r>
              <w:rPr>
                <w:noProof/>
                <w:webHidden/>
              </w:rPr>
              <w:t>5</w:t>
            </w:r>
            <w:r>
              <w:rPr>
                <w:noProof/>
                <w:webHidden/>
              </w:rPr>
              <w:fldChar w:fldCharType="end"/>
            </w:r>
          </w:hyperlink>
        </w:p>
        <w:p w14:paraId="76FF5B22" w14:textId="645E1115" w:rsidR="00FB261F" w:rsidRDefault="00FB261F">
          <w:pPr>
            <w:pStyle w:val="TOC2"/>
            <w:rPr>
              <w:rFonts w:asciiTheme="minorHAnsi" w:eastAsiaTheme="minorEastAsia" w:hAnsiTheme="minorHAnsi" w:cstheme="minorBidi"/>
              <w:b w:val="0"/>
              <w:noProof/>
              <w:sz w:val="22"/>
              <w:szCs w:val="22"/>
              <w:lang w:eastAsia="en-AU"/>
            </w:rPr>
          </w:pPr>
          <w:hyperlink w:anchor="_Toc106793424" w:history="1">
            <w:r w:rsidRPr="00F33D27">
              <w:rPr>
                <w:rStyle w:val="Hyperlink"/>
                <w:noProof/>
              </w:rPr>
              <w:t>Viral sample selection</w:t>
            </w:r>
            <w:r>
              <w:rPr>
                <w:noProof/>
                <w:webHidden/>
              </w:rPr>
              <w:tab/>
            </w:r>
            <w:r>
              <w:rPr>
                <w:noProof/>
                <w:webHidden/>
              </w:rPr>
              <w:fldChar w:fldCharType="begin"/>
            </w:r>
            <w:r>
              <w:rPr>
                <w:noProof/>
                <w:webHidden/>
              </w:rPr>
              <w:instrText xml:space="preserve"> PAGEREF _Toc106793424 \h </w:instrText>
            </w:r>
            <w:r>
              <w:rPr>
                <w:noProof/>
                <w:webHidden/>
              </w:rPr>
            </w:r>
            <w:r>
              <w:rPr>
                <w:noProof/>
                <w:webHidden/>
              </w:rPr>
              <w:fldChar w:fldCharType="separate"/>
            </w:r>
            <w:r>
              <w:rPr>
                <w:noProof/>
                <w:webHidden/>
              </w:rPr>
              <w:t>6</w:t>
            </w:r>
            <w:r>
              <w:rPr>
                <w:noProof/>
                <w:webHidden/>
              </w:rPr>
              <w:fldChar w:fldCharType="end"/>
            </w:r>
          </w:hyperlink>
        </w:p>
        <w:p w14:paraId="3D582335" w14:textId="3EA4A856" w:rsidR="00FB261F" w:rsidRDefault="00FB261F">
          <w:pPr>
            <w:pStyle w:val="TOC2"/>
            <w:rPr>
              <w:rFonts w:asciiTheme="minorHAnsi" w:eastAsiaTheme="minorEastAsia" w:hAnsiTheme="minorHAnsi" w:cstheme="minorBidi"/>
              <w:b w:val="0"/>
              <w:noProof/>
              <w:sz w:val="22"/>
              <w:szCs w:val="22"/>
              <w:lang w:eastAsia="en-AU"/>
            </w:rPr>
          </w:pPr>
          <w:hyperlink w:anchor="_Toc106793425" w:history="1">
            <w:r w:rsidRPr="00F33D27">
              <w:rPr>
                <w:rStyle w:val="Hyperlink"/>
                <w:noProof/>
              </w:rPr>
              <w:t>Test parameters and specifications</w:t>
            </w:r>
            <w:r>
              <w:rPr>
                <w:noProof/>
                <w:webHidden/>
              </w:rPr>
              <w:tab/>
            </w:r>
            <w:r>
              <w:rPr>
                <w:noProof/>
                <w:webHidden/>
              </w:rPr>
              <w:fldChar w:fldCharType="begin"/>
            </w:r>
            <w:r>
              <w:rPr>
                <w:noProof/>
                <w:webHidden/>
              </w:rPr>
              <w:instrText xml:space="preserve"> PAGEREF _Toc106793425 \h </w:instrText>
            </w:r>
            <w:r>
              <w:rPr>
                <w:noProof/>
                <w:webHidden/>
              </w:rPr>
            </w:r>
            <w:r>
              <w:rPr>
                <w:noProof/>
                <w:webHidden/>
              </w:rPr>
              <w:fldChar w:fldCharType="separate"/>
            </w:r>
            <w:r>
              <w:rPr>
                <w:noProof/>
                <w:webHidden/>
              </w:rPr>
              <w:t>7</w:t>
            </w:r>
            <w:r>
              <w:rPr>
                <w:noProof/>
                <w:webHidden/>
              </w:rPr>
              <w:fldChar w:fldCharType="end"/>
            </w:r>
          </w:hyperlink>
        </w:p>
        <w:p w14:paraId="794B8BD5" w14:textId="7785792E" w:rsidR="00FB261F" w:rsidRDefault="00FB261F">
          <w:pPr>
            <w:pStyle w:val="TOC2"/>
            <w:rPr>
              <w:rFonts w:asciiTheme="minorHAnsi" w:eastAsiaTheme="minorEastAsia" w:hAnsiTheme="minorHAnsi" w:cstheme="minorBidi"/>
              <w:b w:val="0"/>
              <w:noProof/>
              <w:sz w:val="22"/>
              <w:szCs w:val="22"/>
              <w:lang w:eastAsia="en-AU"/>
            </w:rPr>
          </w:pPr>
          <w:hyperlink w:anchor="_Toc106793426" w:history="1">
            <w:r w:rsidRPr="00F33D27">
              <w:rPr>
                <w:rStyle w:val="Hyperlink"/>
                <w:noProof/>
              </w:rPr>
              <w:t>Test acceptance</w:t>
            </w:r>
            <w:r>
              <w:rPr>
                <w:noProof/>
                <w:webHidden/>
              </w:rPr>
              <w:tab/>
            </w:r>
            <w:r>
              <w:rPr>
                <w:noProof/>
                <w:webHidden/>
              </w:rPr>
              <w:fldChar w:fldCharType="begin"/>
            </w:r>
            <w:r>
              <w:rPr>
                <w:noProof/>
                <w:webHidden/>
              </w:rPr>
              <w:instrText xml:space="preserve"> PAGEREF _Toc106793426 \h </w:instrText>
            </w:r>
            <w:r>
              <w:rPr>
                <w:noProof/>
                <w:webHidden/>
              </w:rPr>
            </w:r>
            <w:r>
              <w:rPr>
                <w:noProof/>
                <w:webHidden/>
              </w:rPr>
              <w:fldChar w:fldCharType="separate"/>
            </w:r>
            <w:r>
              <w:rPr>
                <w:noProof/>
                <w:webHidden/>
              </w:rPr>
              <w:t>8</w:t>
            </w:r>
            <w:r>
              <w:rPr>
                <w:noProof/>
                <w:webHidden/>
              </w:rPr>
              <w:fldChar w:fldCharType="end"/>
            </w:r>
          </w:hyperlink>
        </w:p>
        <w:p w14:paraId="62405394" w14:textId="19F9CF39" w:rsidR="00FB261F" w:rsidRDefault="00FB261F">
          <w:pPr>
            <w:pStyle w:val="TOC2"/>
            <w:rPr>
              <w:rFonts w:asciiTheme="minorHAnsi" w:eastAsiaTheme="minorEastAsia" w:hAnsiTheme="minorHAnsi" w:cstheme="minorBidi"/>
              <w:b w:val="0"/>
              <w:noProof/>
              <w:sz w:val="22"/>
              <w:szCs w:val="22"/>
              <w:lang w:eastAsia="en-AU"/>
            </w:rPr>
          </w:pPr>
          <w:hyperlink w:anchor="_Toc106793427" w:history="1">
            <w:r w:rsidRPr="00F33D27">
              <w:rPr>
                <w:rStyle w:val="Hyperlink"/>
                <w:noProof/>
              </w:rPr>
              <w:t>Reporting</w:t>
            </w:r>
            <w:r>
              <w:rPr>
                <w:noProof/>
                <w:webHidden/>
              </w:rPr>
              <w:tab/>
            </w:r>
            <w:r>
              <w:rPr>
                <w:noProof/>
                <w:webHidden/>
              </w:rPr>
              <w:fldChar w:fldCharType="begin"/>
            </w:r>
            <w:r>
              <w:rPr>
                <w:noProof/>
                <w:webHidden/>
              </w:rPr>
              <w:instrText xml:space="preserve"> PAGEREF _Toc106793427 \h </w:instrText>
            </w:r>
            <w:r>
              <w:rPr>
                <w:noProof/>
                <w:webHidden/>
              </w:rPr>
            </w:r>
            <w:r>
              <w:rPr>
                <w:noProof/>
                <w:webHidden/>
              </w:rPr>
              <w:fldChar w:fldCharType="separate"/>
            </w:r>
            <w:r>
              <w:rPr>
                <w:noProof/>
                <w:webHidden/>
              </w:rPr>
              <w:t>8</w:t>
            </w:r>
            <w:r>
              <w:rPr>
                <w:noProof/>
                <w:webHidden/>
              </w:rPr>
              <w:fldChar w:fldCharType="end"/>
            </w:r>
          </w:hyperlink>
        </w:p>
        <w:p w14:paraId="58D32F81" w14:textId="319CACC4" w:rsidR="00FB261F" w:rsidRDefault="00FB261F">
          <w:pPr>
            <w:pStyle w:val="TOC2"/>
            <w:rPr>
              <w:rFonts w:asciiTheme="minorHAnsi" w:eastAsiaTheme="minorEastAsia" w:hAnsiTheme="minorHAnsi" w:cstheme="minorBidi"/>
              <w:b w:val="0"/>
              <w:noProof/>
              <w:sz w:val="22"/>
              <w:szCs w:val="22"/>
              <w:lang w:eastAsia="en-AU"/>
            </w:rPr>
          </w:pPr>
          <w:hyperlink w:anchor="_Toc106793428" w:history="1">
            <w:r w:rsidRPr="00F33D27">
              <w:rPr>
                <w:rStyle w:val="Hyperlink"/>
                <w:noProof/>
              </w:rPr>
              <w:t>Appendix A (informative)</w:t>
            </w:r>
            <w:r>
              <w:rPr>
                <w:noProof/>
                <w:webHidden/>
              </w:rPr>
              <w:tab/>
            </w:r>
            <w:r>
              <w:rPr>
                <w:noProof/>
                <w:webHidden/>
              </w:rPr>
              <w:fldChar w:fldCharType="begin"/>
            </w:r>
            <w:r>
              <w:rPr>
                <w:noProof/>
                <w:webHidden/>
              </w:rPr>
              <w:instrText xml:space="preserve"> PAGEREF _Toc106793428 \h </w:instrText>
            </w:r>
            <w:r>
              <w:rPr>
                <w:noProof/>
                <w:webHidden/>
              </w:rPr>
            </w:r>
            <w:r>
              <w:rPr>
                <w:noProof/>
                <w:webHidden/>
              </w:rPr>
              <w:fldChar w:fldCharType="separate"/>
            </w:r>
            <w:r>
              <w:rPr>
                <w:noProof/>
                <w:webHidden/>
              </w:rPr>
              <w:t>9</w:t>
            </w:r>
            <w:r>
              <w:rPr>
                <w:noProof/>
                <w:webHidden/>
              </w:rPr>
              <w:fldChar w:fldCharType="end"/>
            </w:r>
          </w:hyperlink>
        </w:p>
        <w:p w14:paraId="38D2406E" w14:textId="49F50E8D" w:rsidR="00FB261F" w:rsidRDefault="00FB261F">
          <w:pPr>
            <w:pStyle w:val="TOC3"/>
            <w:rPr>
              <w:rFonts w:asciiTheme="minorHAnsi" w:eastAsiaTheme="minorEastAsia" w:hAnsiTheme="minorHAnsi" w:cstheme="minorBidi"/>
              <w:b w:val="0"/>
              <w:noProof/>
              <w:szCs w:val="22"/>
              <w:lang w:eastAsia="en-AU"/>
            </w:rPr>
          </w:pPr>
          <w:hyperlink w:anchor="_Toc106793429" w:history="1">
            <w:r w:rsidRPr="00F33D27">
              <w:rPr>
                <w:rStyle w:val="Hyperlink"/>
                <w:noProof/>
              </w:rPr>
              <w:t>Swabs</w:t>
            </w:r>
            <w:r>
              <w:rPr>
                <w:noProof/>
                <w:webHidden/>
              </w:rPr>
              <w:tab/>
            </w:r>
            <w:r>
              <w:rPr>
                <w:noProof/>
                <w:webHidden/>
              </w:rPr>
              <w:fldChar w:fldCharType="begin"/>
            </w:r>
            <w:r>
              <w:rPr>
                <w:noProof/>
                <w:webHidden/>
              </w:rPr>
              <w:instrText xml:space="preserve"> PAGEREF _Toc106793429 \h </w:instrText>
            </w:r>
            <w:r>
              <w:rPr>
                <w:noProof/>
                <w:webHidden/>
              </w:rPr>
            </w:r>
            <w:r>
              <w:rPr>
                <w:noProof/>
                <w:webHidden/>
              </w:rPr>
              <w:fldChar w:fldCharType="separate"/>
            </w:r>
            <w:r>
              <w:rPr>
                <w:noProof/>
                <w:webHidden/>
              </w:rPr>
              <w:t>9</w:t>
            </w:r>
            <w:r>
              <w:rPr>
                <w:noProof/>
                <w:webHidden/>
              </w:rPr>
              <w:fldChar w:fldCharType="end"/>
            </w:r>
          </w:hyperlink>
        </w:p>
        <w:p w14:paraId="74FE8A42" w14:textId="2EF90EB8" w:rsidR="00FB261F" w:rsidRDefault="00FB261F">
          <w:pPr>
            <w:pStyle w:val="TOC3"/>
            <w:rPr>
              <w:rFonts w:asciiTheme="minorHAnsi" w:eastAsiaTheme="minorEastAsia" w:hAnsiTheme="minorHAnsi" w:cstheme="minorBidi"/>
              <w:b w:val="0"/>
              <w:noProof/>
              <w:szCs w:val="22"/>
              <w:lang w:eastAsia="en-AU"/>
            </w:rPr>
          </w:pPr>
          <w:hyperlink w:anchor="_Toc106793430" w:history="1">
            <w:r w:rsidRPr="00F33D27">
              <w:rPr>
                <w:rStyle w:val="Hyperlink"/>
                <w:noProof/>
              </w:rPr>
              <w:t>Saliva</w:t>
            </w:r>
            <w:r>
              <w:rPr>
                <w:noProof/>
                <w:webHidden/>
              </w:rPr>
              <w:tab/>
            </w:r>
            <w:r>
              <w:rPr>
                <w:noProof/>
                <w:webHidden/>
              </w:rPr>
              <w:fldChar w:fldCharType="begin"/>
            </w:r>
            <w:r>
              <w:rPr>
                <w:noProof/>
                <w:webHidden/>
              </w:rPr>
              <w:instrText xml:space="preserve"> PAGEREF _Toc106793430 \h </w:instrText>
            </w:r>
            <w:r>
              <w:rPr>
                <w:noProof/>
                <w:webHidden/>
              </w:rPr>
            </w:r>
            <w:r>
              <w:rPr>
                <w:noProof/>
                <w:webHidden/>
              </w:rPr>
              <w:fldChar w:fldCharType="separate"/>
            </w:r>
            <w:r>
              <w:rPr>
                <w:noProof/>
                <w:webHidden/>
              </w:rPr>
              <w:t>9</w:t>
            </w:r>
            <w:r>
              <w:rPr>
                <w:noProof/>
                <w:webHidden/>
              </w:rPr>
              <w:fldChar w:fldCharType="end"/>
            </w:r>
          </w:hyperlink>
        </w:p>
        <w:p w14:paraId="640AFF0F" w14:textId="0E91D243" w:rsidR="00FB261F" w:rsidRDefault="00FB261F">
          <w:pPr>
            <w:pStyle w:val="TOC2"/>
            <w:rPr>
              <w:rFonts w:asciiTheme="minorHAnsi" w:eastAsiaTheme="minorEastAsia" w:hAnsiTheme="minorHAnsi" w:cstheme="minorBidi"/>
              <w:b w:val="0"/>
              <w:noProof/>
              <w:sz w:val="22"/>
              <w:szCs w:val="22"/>
              <w:lang w:eastAsia="en-AU"/>
            </w:rPr>
          </w:pPr>
          <w:hyperlink w:anchor="_Toc106793431" w:history="1">
            <w:r w:rsidRPr="00F33D27">
              <w:rPr>
                <w:rStyle w:val="Hyperlink"/>
                <w:noProof/>
              </w:rPr>
              <w:t>Version history</w:t>
            </w:r>
            <w:r>
              <w:rPr>
                <w:noProof/>
                <w:webHidden/>
              </w:rPr>
              <w:tab/>
            </w:r>
            <w:r>
              <w:rPr>
                <w:noProof/>
                <w:webHidden/>
              </w:rPr>
              <w:fldChar w:fldCharType="begin"/>
            </w:r>
            <w:r>
              <w:rPr>
                <w:noProof/>
                <w:webHidden/>
              </w:rPr>
              <w:instrText xml:space="preserve"> PAGEREF _Toc106793431 \h </w:instrText>
            </w:r>
            <w:r>
              <w:rPr>
                <w:noProof/>
                <w:webHidden/>
              </w:rPr>
            </w:r>
            <w:r>
              <w:rPr>
                <w:noProof/>
                <w:webHidden/>
              </w:rPr>
              <w:fldChar w:fldCharType="separate"/>
            </w:r>
            <w:r>
              <w:rPr>
                <w:noProof/>
                <w:webHidden/>
              </w:rPr>
              <w:t>10</w:t>
            </w:r>
            <w:r>
              <w:rPr>
                <w:noProof/>
                <w:webHidden/>
              </w:rPr>
              <w:fldChar w:fldCharType="end"/>
            </w:r>
          </w:hyperlink>
        </w:p>
        <w:p w14:paraId="55980363" w14:textId="14E7D0AC" w:rsidR="00F401EF" w:rsidRPr="00215D48" w:rsidRDefault="00F859D2" w:rsidP="00F401EF">
          <w:r w:rsidRPr="00215D48">
            <w:fldChar w:fldCharType="end"/>
          </w:r>
        </w:p>
      </w:sdtContent>
    </w:sdt>
    <w:p w14:paraId="43C6D437" w14:textId="77777777" w:rsidR="00AA3EB9" w:rsidRPr="00215D48" w:rsidRDefault="001525B4" w:rsidP="0055653F">
      <w:r w:rsidRPr="00215D48">
        <w:br w:type="page"/>
      </w:r>
    </w:p>
    <w:p w14:paraId="180887CC" w14:textId="4D2A77AD" w:rsidR="006A65BC" w:rsidRDefault="006A65BC" w:rsidP="00B121C0">
      <w:pPr>
        <w:pStyle w:val="Heading2"/>
      </w:pPr>
      <w:bookmarkStart w:id="0" w:name="_Toc106793418"/>
      <w:r>
        <w:lastRenderedPageBreak/>
        <w:t xml:space="preserve">Test </w:t>
      </w:r>
      <w:r w:rsidRPr="00FD1EA2">
        <w:t>to</w:t>
      </w:r>
      <w:r>
        <w:t xml:space="preserve"> verify the analytical sensitivity of COVID-19 </w:t>
      </w:r>
      <w:r w:rsidRPr="006A65BC">
        <w:t>Rapid</w:t>
      </w:r>
      <w:r>
        <w:t xml:space="preserve"> Antigen Test Kits</w:t>
      </w:r>
      <w:bookmarkEnd w:id="0"/>
    </w:p>
    <w:p w14:paraId="713E15C4" w14:textId="2AC9AAE9" w:rsidR="00FD1EA2" w:rsidRPr="00FD1EA2" w:rsidRDefault="00FD1EA2" w:rsidP="00FD1EA2">
      <w:r>
        <w:rPr>
          <w:noProof/>
        </w:rPr>
        <mc:AlternateContent>
          <mc:Choice Requires="wps">
            <w:drawing>
              <wp:inline distT="0" distB="0" distL="0" distR="0" wp14:anchorId="15AE7A33" wp14:editId="6192A9ED">
                <wp:extent cx="5731510" cy="1094192"/>
                <wp:effectExtent l="0" t="0" r="21590" b="17145"/>
                <wp:docPr id="1391740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94192"/>
                        </a:xfrm>
                        <a:prstGeom prst="rect">
                          <a:avLst/>
                        </a:prstGeom>
                        <a:solidFill>
                          <a:srgbClr val="FFFFFF"/>
                        </a:solidFill>
                        <a:ln w="9525">
                          <a:solidFill>
                            <a:srgbClr val="000000"/>
                          </a:solidFill>
                          <a:miter lim="800000"/>
                          <a:headEnd/>
                          <a:tailEnd/>
                        </a:ln>
                      </wps:spPr>
                      <wps:txbx>
                        <w:txbxContent>
                          <w:p w14:paraId="75D5EBF2" w14:textId="77777777" w:rsidR="00FD1EA2" w:rsidRDefault="00FD1EA2" w:rsidP="00FD1EA2">
                            <w:r>
                              <w:t xml:space="preserve">A delegate of the Secretary for the purpose of reg 28 of the </w:t>
                            </w:r>
                            <w:r w:rsidRPr="00874F5C">
                              <w:rPr>
                                <w:i/>
                              </w:rPr>
                              <w:t>Therapeutic Goods Regulations 1990</w:t>
                            </w:r>
                            <w:r>
                              <w:t xml:space="preserve"> has determined that the “</w:t>
                            </w:r>
                            <w:r>
                              <w:rPr>
                                <w:i/>
                                <w:iCs/>
                              </w:rPr>
                              <w:t>Test to verify</w:t>
                            </w:r>
                            <w:r w:rsidRPr="00090A45">
                              <w:rPr>
                                <w:i/>
                                <w:iCs/>
                              </w:rPr>
                              <w:t xml:space="preserve"> the analytical sensitivity of COVID-19 Rapid Antigen Test Kits”</w:t>
                            </w:r>
                            <w:r>
                              <w:rPr>
                                <w:i/>
                              </w:rPr>
                              <w:t xml:space="preserve"> </w:t>
                            </w:r>
                            <w:r>
                              <w:t xml:space="preserve">is a suitable test for demonstrating the compliance of the relevant kinds of device with the applicable provisions of the essential principles, and </w:t>
                            </w:r>
                            <w:r w:rsidRPr="00633063">
                              <w:t>requires</w:t>
                            </w:r>
                            <w:r>
                              <w:t>, pursuant to reg28(2)(d) of the Regulations, the test to be carried out for that purpose.</w:t>
                            </w:r>
                          </w:p>
                        </w:txbxContent>
                      </wps:txbx>
                      <wps:bodyPr rot="0" vert="horz" wrap="square" anchor="t" anchorCtr="0">
                        <a:spAutoFit/>
                      </wps:bodyPr>
                    </wps:wsp>
                  </a:graphicData>
                </a:graphic>
              </wp:inline>
            </w:drawing>
          </mc:Choice>
          <mc:Fallback>
            <w:pict>
              <v:shapetype w14:anchorId="15AE7A33" id="_x0000_t202" coordsize="21600,21600" o:spt="202" path="m,l,21600r21600,l21600,xe">
                <v:stroke joinstyle="miter"/>
                <v:path gradientshapeok="t" o:connecttype="rect"/>
              </v:shapetype>
              <v:shape id="Text Box 2" o:spid="_x0000_s1026" type="#_x0000_t202" style="width:451.3pt;height:8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">
                <v:textbox style="mso-fit-shape-to-text:t">
                  <w:txbxContent>
                    <w:p w14:paraId="75D5EBF2" w14:textId="77777777" w:rsidR="00FD1EA2" w:rsidRDefault="00FD1EA2" w:rsidP="00FD1EA2">
                      <w:r>
                        <w:t xml:space="preserve">A delegate of the Secretary for the purpose of reg 28 of the </w:t>
                      </w:r>
                      <w:r w:rsidRPr="00874F5C">
                        <w:rPr>
                          <w:i/>
                        </w:rPr>
                        <w:t>Therapeutic Goods Regulations 1990</w:t>
                      </w:r>
                      <w:r>
                        <w:t xml:space="preserve"> has determined that the “</w:t>
                      </w:r>
                      <w:r>
                        <w:rPr>
                          <w:i/>
                          <w:iCs/>
                        </w:rPr>
                        <w:t>Test to verify</w:t>
                      </w:r>
                      <w:r w:rsidRPr="00090A45">
                        <w:rPr>
                          <w:i/>
                          <w:iCs/>
                        </w:rPr>
                        <w:t xml:space="preserve"> the analytical sensitivity of COVID-19 Rapid Antigen Test Kits”</w:t>
                      </w:r>
                      <w:r>
                        <w:rPr>
                          <w:i/>
                        </w:rPr>
                        <w:t xml:space="preserve"> </w:t>
                      </w:r>
                      <w:r>
                        <w:t xml:space="preserve">is a suitable test for demonstrating the compliance of the relevant kinds of device with the applicable provisions of the essential principles, and </w:t>
                      </w:r>
                      <w:r w:rsidRPr="00633063">
                        <w:t>requires</w:t>
                      </w:r>
                      <w:r>
                        <w:t>, pursuant to reg28(2)(d) of the Regulations, the test to be carried out for that purpose.</w:t>
                      </w:r>
                    </w:p>
                  </w:txbxContent>
                </v:textbox>
                <w10:anchorlock/>
              </v:shape>
            </w:pict>
          </mc:Fallback>
        </mc:AlternateContent>
      </w:r>
    </w:p>
    <w:p w14:paraId="1A4E4F17" w14:textId="7E87F32C" w:rsidR="006A65BC" w:rsidRDefault="006A65BC" w:rsidP="00B121C0">
      <w:pPr>
        <w:pStyle w:val="Heading3"/>
      </w:pPr>
      <w:bookmarkStart w:id="1" w:name="_Toc106793419"/>
      <w:r>
        <w:t>Purpose</w:t>
      </w:r>
      <w:bookmarkEnd w:id="1"/>
    </w:p>
    <w:p w14:paraId="493CDEC0" w14:textId="77777777" w:rsidR="006A65BC" w:rsidRDefault="006A65BC" w:rsidP="006A65BC">
      <w:r w:rsidRPr="5DF88BDD">
        <w:t>This document sets out the testing requirements to verify that COVID-19 Rapid Antigen Test (RAT) kits included in the Australian Register of Therapeutic Goods (ARTG) meet the analytical sensitivity requirements outlined in the World Health Organisation (WHO) Technical Specifications</w:t>
      </w:r>
      <w:r w:rsidRPr="5DF88BDD">
        <w:rPr>
          <w:vertAlign w:val="superscript"/>
        </w:rPr>
        <w:footnoteReference w:id="1"/>
      </w:r>
      <w:r w:rsidRPr="5DF88BDD">
        <w:t xml:space="preserve"> of an acceptable analytical sensitivity range of 100 – 1000 TCID</w:t>
      </w:r>
      <w:r w:rsidRPr="5DF88BDD">
        <w:rPr>
          <w:vertAlign w:val="subscript"/>
        </w:rPr>
        <w:t>50</w:t>
      </w:r>
      <w:r w:rsidRPr="5DF88BDD">
        <w:t>/</w:t>
      </w:r>
      <w:proofErr w:type="spellStart"/>
      <w:r w:rsidRPr="5DF88BDD">
        <w:t>mL.</w:t>
      </w:r>
      <w:proofErr w:type="spellEnd"/>
    </w:p>
    <w:p w14:paraId="3F3A4AD6" w14:textId="77777777" w:rsidR="006A65BC" w:rsidRPr="00CA3C48" w:rsidRDefault="006A65BC" w:rsidP="006A65BC">
      <w:pPr>
        <w:rPr>
          <w:sz w:val="23"/>
        </w:rPr>
      </w:pPr>
      <w:r w:rsidRPr="00CA3C48">
        <w:rPr>
          <w:sz w:val="23"/>
        </w:rPr>
        <w:t xml:space="preserve">Results from this testing </w:t>
      </w:r>
      <w:r w:rsidRPr="3034CAB5">
        <w:rPr>
          <w:szCs w:val="22"/>
        </w:rPr>
        <w:t>verifies</w:t>
      </w:r>
      <w:r w:rsidRPr="00CA3C48">
        <w:rPr>
          <w:sz w:val="23"/>
        </w:rPr>
        <w:t xml:space="preserve"> the ability of a test kit to report a reactive result on a dilution of viral stock with determined TCID</w:t>
      </w:r>
      <w:r w:rsidRPr="5DF88BDD">
        <w:rPr>
          <w:rFonts w:eastAsiaTheme="minorEastAsia" w:cstheme="minorBidi"/>
          <w:color w:val="002C47" w:themeColor="text1"/>
          <w:sz w:val="23"/>
          <w:szCs w:val="23"/>
          <w:vertAlign w:val="subscript"/>
        </w:rPr>
        <w:t>50</w:t>
      </w:r>
      <w:r w:rsidRPr="00CA3C48">
        <w:rPr>
          <w:sz w:val="23"/>
        </w:rPr>
        <w:t>/mL concentrations.</w:t>
      </w:r>
    </w:p>
    <w:p w14:paraId="3A55BA7A" w14:textId="01C1F272" w:rsidR="006A65BC" w:rsidRDefault="006A65BC" w:rsidP="00B121C0">
      <w:pPr>
        <w:pStyle w:val="Heading3"/>
      </w:pPr>
      <w:bookmarkStart w:id="2" w:name="_Toc106793420"/>
      <w:r>
        <w:t>Scope</w:t>
      </w:r>
      <w:bookmarkEnd w:id="2"/>
    </w:p>
    <w:p w14:paraId="05DF9FC8" w14:textId="77777777" w:rsidR="006A65BC" w:rsidRDefault="006A65BC" w:rsidP="006A65BC">
      <w:r w:rsidRPr="58CF289F">
        <w:t xml:space="preserve">This </w:t>
      </w:r>
      <w:r>
        <w:t>document</w:t>
      </w:r>
      <w:r w:rsidRPr="58CF289F">
        <w:t xml:space="preserve"> </w:t>
      </w:r>
      <w:r w:rsidRPr="7856DF62">
        <w:t>outlines</w:t>
      </w:r>
      <w:r>
        <w:t xml:space="preserve"> the requirements</w:t>
      </w:r>
      <w:r w:rsidRPr="58CF289F">
        <w:t xml:space="preserve"> </w:t>
      </w:r>
      <w:r w:rsidRPr="3C62C149">
        <w:t xml:space="preserve">for verifying </w:t>
      </w:r>
      <w:r w:rsidRPr="58CF289F">
        <w:t xml:space="preserve">the analytical sensitivity of COVID-19 </w:t>
      </w:r>
      <w:r w:rsidRPr="5BBF5AC2">
        <w:t xml:space="preserve">RAT </w:t>
      </w:r>
      <w:r w:rsidRPr="45FA93C7">
        <w:t>kits</w:t>
      </w:r>
      <w:r>
        <w:t>.</w:t>
      </w:r>
    </w:p>
    <w:p w14:paraId="6F017DBE" w14:textId="1DF9D4CF" w:rsidR="006A65BC" w:rsidRDefault="006A65BC" w:rsidP="006A65BC">
      <w:r w:rsidRPr="49D3518B">
        <w:t xml:space="preserve">Where </w:t>
      </w:r>
      <w:r>
        <w:t>the tested</w:t>
      </w:r>
      <w:r w:rsidRPr="49D3518B">
        <w:t xml:space="preserve"> RAT kit</w:t>
      </w:r>
      <w:r>
        <w:t>s meet the analytical sensitivity requirements (and</w:t>
      </w:r>
      <w:r w:rsidRPr="49D3518B">
        <w:t xml:space="preserve"> </w:t>
      </w:r>
      <w:r>
        <w:t>are therefore</w:t>
      </w:r>
      <w:r w:rsidRPr="49D3518B">
        <w:t xml:space="preserve"> deemed acceptably verified</w:t>
      </w:r>
      <w:r>
        <w:t xml:space="preserve"> in accordance with “Test Acceptance” at </w:t>
      </w:r>
      <w:r w:rsidR="006074A5">
        <w:t>page</w:t>
      </w:r>
      <w:r>
        <w:t> 8 of this document),</w:t>
      </w:r>
      <w:r w:rsidRPr="49D3518B">
        <w:t xml:space="preserve"> this result is evidence</w:t>
      </w:r>
      <w:r>
        <w:t xml:space="preserve"> </w:t>
      </w:r>
      <w:r w:rsidRPr="49D3518B">
        <w:t xml:space="preserve">demonstrating that the </w:t>
      </w:r>
      <w:r w:rsidRPr="1F79F879">
        <w:t>tested RAT kits</w:t>
      </w:r>
      <w:r w:rsidRPr="49D3518B">
        <w:t xml:space="preserve"> comply with the applicable provisions of the Essential Principles</w:t>
      </w:r>
      <w:r w:rsidRPr="1D1DEE6C">
        <w:rPr>
          <w:vertAlign w:val="superscript"/>
        </w:rPr>
        <w:footnoteReference w:id="2"/>
      </w:r>
      <w:r w:rsidRPr="49D3518B">
        <w:t xml:space="preserve"> relevant to this test.</w:t>
      </w:r>
    </w:p>
    <w:p w14:paraId="2741C3CF" w14:textId="1465C2F9" w:rsidR="006A65BC" w:rsidRDefault="006A65BC" w:rsidP="006A65BC">
      <w:r w:rsidRPr="1D1DEE6C">
        <w:t xml:space="preserve">Where the tested RAT kits </w:t>
      </w:r>
      <w:r w:rsidRPr="3BBD10C0">
        <w:t xml:space="preserve">do not </w:t>
      </w:r>
      <w:r w:rsidRPr="4A203505">
        <w:t>meet</w:t>
      </w:r>
      <w:r w:rsidRPr="1D1DEE6C">
        <w:t xml:space="preserve"> the analytical sensitivity requirements</w:t>
      </w:r>
      <w:r>
        <w:t xml:space="preserve"> (and are therefore deemed not acceptably verified in accordance with “Test Acceptance” at </w:t>
      </w:r>
      <w:r w:rsidR="006074A5">
        <w:t>page</w:t>
      </w:r>
      <w:r>
        <w:t xml:space="preserve"> 8 of this document)</w:t>
      </w:r>
      <w:r w:rsidRPr="1D1DEE6C">
        <w:t xml:space="preserve">, this result is evidence demonstrating that the </w:t>
      </w:r>
      <w:r>
        <w:t>tested RAT kits do</w:t>
      </w:r>
      <w:r w:rsidRPr="1D1DEE6C">
        <w:t xml:space="preserve"> not </w:t>
      </w:r>
      <w:r w:rsidRPr="63CAD14E">
        <w:t>comply with</w:t>
      </w:r>
      <w:r w:rsidRPr="1D1DEE6C">
        <w:t xml:space="preserve"> the applicable provisions of the Essential Principles relevant to this test.</w:t>
      </w:r>
    </w:p>
    <w:p w14:paraId="21019153" w14:textId="77777777" w:rsidR="006A65BC" w:rsidRDefault="006A65BC" w:rsidP="006A65BC">
      <w:r w:rsidRPr="5DF88BDD">
        <w:t>This document applies to RAT kits included in the ARTG that are designed to detect the SARS-CoV-2 virus.</w:t>
      </w:r>
    </w:p>
    <w:p w14:paraId="74412E4C" w14:textId="6E9E87BC" w:rsidR="006A65BC" w:rsidRPr="00B121C0" w:rsidRDefault="006A65BC" w:rsidP="00B121C0">
      <w:r w:rsidRPr="5DF88BDD">
        <w:t>This document is not to be used for manufacturing or design validation, or continuous manufacturer quality control of these kinds of medical devices.</w:t>
      </w:r>
    </w:p>
    <w:p w14:paraId="039A1672" w14:textId="77777777" w:rsidR="006A65BC" w:rsidRDefault="006A65BC" w:rsidP="00B121C0">
      <w:pPr>
        <w:pStyle w:val="Heading3"/>
      </w:pPr>
      <w:bookmarkStart w:id="3" w:name="_Toc106793421"/>
      <w:r>
        <w:t>Background</w:t>
      </w:r>
      <w:bookmarkEnd w:id="3"/>
    </w:p>
    <w:p w14:paraId="495BB834" w14:textId="77777777" w:rsidR="006A65BC" w:rsidRDefault="006A65BC" w:rsidP="006A65BC">
      <w:pPr>
        <w:rPr>
          <w:color w:val="000000"/>
        </w:rPr>
      </w:pPr>
      <w:r w:rsidRPr="3B775083">
        <w:t>RAT kits</w:t>
      </w:r>
      <w:r w:rsidRPr="56260FBD">
        <w:t xml:space="preserve"> are </w:t>
      </w:r>
      <w:r w:rsidRPr="56260FBD">
        <w:rPr>
          <w:i/>
        </w:rPr>
        <w:t xml:space="preserve">in-vitro </w:t>
      </w:r>
      <w:r w:rsidRPr="56260FBD">
        <w:t xml:space="preserve">diagnostic (IVD) devices that rapidly detect the presence of antigens in nasopharyngeal, oropharyngeal, nasal, or saliva patient specimens. </w:t>
      </w:r>
      <w:r w:rsidRPr="5C70B5F6">
        <w:t xml:space="preserve">The TGA currently approves COVID-19 </w:t>
      </w:r>
      <w:r w:rsidRPr="61BB78E5">
        <w:t xml:space="preserve">RAT </w:t>
      </w:r>
      <w:r w:rsidRPr="129ADDF9">
        <w:t>kits</w:t>
      </w:r>
      <w:r w:rsidRPr="5C70B5F6">
        <w:t xml:space="preserve"> as Class 3 IVDs.</w:t>
      </w:r>
    </w:p>
    <w:p w14:paraId="5EB683D9" w14:textId="1EF57FA9" w:rsidR="006A65BC" w:rsidRDefault="006A65BC" w:rsidP="006A65BC">
      <w:r w:rsidRPr="35FCD122">
        <w:t xml:space="preserve">Most COVID-19 RAT kits operate on the principle of lateral flow, whereby an antigen (usually the nucleocapsid protein) eluted from the patient sample migrates chromatographically to the end </w:t>
      </w:r>
      <w:r w:rsidRPr="35FCD122">
        <w:lastRenderedPageBreak/>
        <w:t>of the device where it binds with anti-SARS-CoV-2 antibodies to form an antibody-antigen complex. An internal positive control band, indicating successful sample migration, is also included. A confirmed positive test is indicated by the visualisation of coloured bands in the test window at the “test” section as well as at the control section. Importantly, the absence of a control band indicates an invalid test result. A negative result is the absence of a test band with the presence of a control band.</w:t>
      </w:r>
    </w:p>
    <w:p w14:paraId="1AECF752" w14:textId="4B2F2885" w:rsidR="006A65BC" w:rsidRPr="00CA3C48" w:rsidRDefault="006A65BC" w:rsidP="006A65BC">
      <w:r w:rsidRPr="00CA3C48">
        <w:t>Results from this testing verifies the ability of a test kit to report a reactive result on a dilution of viral stock with determined TCID</w:t>
      </w:r>
      <w:r w:rsidRPr="5DF88BDD">
        <w:rPr>
          <w:rFonts w:asciiTheme="minorHAnsi" w:hAnsiTheme="minorHAnsi"/>
          <w:vertAlign w:val="subscript"/>
        </w:rPr>
        <w:t>50</w:t>
      </w:r>
      <w:r w:rsidRPr="00CA3C48">
        <w:t>/mL concentrations.</w:t>
      </w:r>
    </w:p>
    <w:p w14:paraId="0FD8D650" w14:textId="77777777" w:rsidR="006A65BC" w:rsidRDefault="006A65BC" w:rsidP="00B121C0">
      <w:pPr>
        <w:pStyle w:val="Heading3"/>
      </w:pPr>
      <w:bookmarkStart w:id="4" w:name="_Toc106793422"/>
      <w:r>
        <w:t>Quality</w:t>
      </w:r>
      <w:bookmarkEnd w:id="4"/>
    </w:p>
    <w:p w14:paraId="0CA28685" w14:textId="77777777" w:rsidR="006A65BC" w:rsidRPr="00CA3C48" w:rsidRDefault="006A65BC" w:rsidP="006A65BC">
      <w:pPr>
        <w:rPr>
          <w:sz w:val="23"/>
        </w:rPr>
      </w:pPr>
      <w:r w:rsidRPr="00CA3C48">
        <w:rPr>
          <w:sz w:val="23"/>
        </w:rPr>
        <w:t xml:space="preserve">For the purposes of claiming that a COVID-19 RAT kit meets the requirements </w:t>
      </w:r>
      <w:r w:rsidRPr="5DF88BDD">
        <w:rPr>
          <w:sz w:val="23"/>
          <w:szCs w:val="23"/>
        </w:rPr>
        <w:t>outlined in</w:t>
      </w:r>
      <w:r w:rsidRPr="00CA3C48">
        <w:rPr>
          <w:sz w:val="23"/>
        </w:rPr>
        <w:t xml:space="preserve"> this document, testing shall be performed by a laboratory or laboratories accredited to ISO/IEC </w:t>
      </w:r>
      <w:r>
        <w:rPr>
          <w:sz w:val="23"/>
          <w:szCs w:val="23"/>
        </w:rPr>
        <w:t>15189 and/or 17025</w:t>
      </w:r>
      <w:r w:rsidRPr="00CA3C48">
        <w:rPr>
          <w:sz w:val="23"/>
        </w:rPr>
        <w:t xml:space="preserve"> and testing shall be completed under that laboratory’s accredited quality management system. </w:t>
      </w:r>
      <w:r w:rsidRPr="5DF88BDD">
        <w:rPr>
          <w:sz w:val="23"/>
          <w:szCs w:val="23"/>
        </w:rPr>
        <w:t>The testing l</w:t>
      </w:r>
      <w:r w:rsidRPr="003871BA">
        <w:rPr>
          <w:sz w:val="23"/>
          <w:szCs w:val="23"/>
        </w:rPr>
        <w:t>aboratories</w:t>
      </w:r>
      <w:r w:rsidRPr="00CA3C48">
        <w:rPr>
          <w:sz w:val="23"/>
        </w:rPr>
        <w:t xml:space="preserve"> shall be accredited by an accreditation body</w:t>
      </w:r>
      <w:r w:rsidRPr="003871BA">
        <w:rPr>
          <w:sz w:val="23"/>
          <w:szCs w:val="23"/>
        </w:rPr>
        <w:t xml:space="preserve"> </w:t>
      </w:r>
      <w:r w:rsidRPr="5DF88BDD">
        <w:rPr>
          <w:sz w:val="23"/>
          <w:szCs w:val="23"/>
        </w:rPr>
        <w:t>that is</w:t>
      </w:r>
      <w:r w:rsidRPr="00CA3C48">
        <w:rPr>
          <w:sz w:val="23"/>
        </w:rPr>
        <w:t xml:space="preserve"> signatory to the International Laboratory Accreditation Cooperation, Mutual Recognition Arrangement (ILAC MRA).</w:t>
      </w:r>
    </w:p>
    <w:p w14:paraId="520F4C6B" w14:textId="77777777" w:rsidR="006A65BC" w:rsidRPr="00E002F5" w:rsidRDefault="006A65BC" w:rsidP="00B121C0">
      <w:pPr>
        <w:pStyle w:val="Heading3"/>
      </w:pPr>
      <w:bookmarkStart w:id="5" w:name="_Toc106793423"/>
      <w:r>
        <w:t>Definitions</w:t>
      </w:r>
      <w:bookmarkEnd w:id="5"/>
    </w:p>
    <w:p w14:paraId="2FF3963D" w14:textId="77777777" w:rsidR="006A65BC" w:rsidRPr="00CA3C48" w:rsidRDefault="006A65BC" w:rsidP="006A65BC">
      <w:pPr>
        <w:rPr>
          <w:b/>
          <w:bCs/>
        </w:rPr>
      </w:pPr>
      <w:r w:rsidRPr="00CA3C48">
        <w:rPr>
          <w:b/>
          <w:bCs/>
        </w:rPr>
        <w:t>Batch,</w:t>
      </w:r>
      <w:r w:rsidRPr="00CA3C48">
        <w:t xml:space="preserve"> a quantity of a product that is:</w:t>
      </w:r>
      <w:r w:rsidRPr="00CA3C48">
        <w:rPr>
          <w:rStyle w:val="FootnoteReference"/>
          <w:rFonts w:eastAsiaTheme="minorEastAsia" w:cstheme="minorBidi"/>
          <w:sz w:val="23"/>
          <w:szCs w:val="23"/>
        </w:rPr>
        <w:footnoteReference w:id="3"/>
      </w:r>
    </w:p>
    <w:p w14:paraId="2ED7752F" w14:textId="01C4E909" w:rsidR="006A65BC" w:rsidRPr="00CA3C48" w:rsidRDefault="006A65BC" w:rsidP="00B121C0">
      <w:pPr>
        <w:pStyle w:val="Numberbullet0"/>
        <w:numPr>
          <w:ilvl w:val="0"/>
          <w:numId w:val="42"/>
        </w:numPr>
      </w:pPr>
      <w:r w:rsidRPr="00CA3C48">
        <w:t>uniform in composition, method of manufacture and probability of chemical or microbial contamination; and</w:t>
      </w:r>
    </w:p>
    <w:p w14:paraId="1AB74971" w14:textId="292AD9F0" w:rsidR="006A65BC" w:rsidRPr="00CA3C48" w:rsidRDefault="006A65BC" w:rsidP="00B121C0">
      <w:pPr>
        <w:pStyle w:val="Numberbullet0"/>
        <w:numPr>
          <w:ilvl w:val="0"/>
          <w:numId w:val="42"/>
        </w:numPr>
      </w:pPr>
      <w:r w:rsidRPr="00CA3C48">
        <w:t>made in one cycle of manufacture and, in the case of a product that is sterilised, sterilised in one cycle.</w:t>
      </w:r>
    </w:p>
    <w:p w14:paraId="048944D4" w14:textId="07339DEF" w:rsidR="006A65BC" w:rsidRPr="00CA3C48" w:rsidRDefault="006A65BC" w:rsidP="006A65BC">
      <w:pPr>
        <w:rPr>
          <w:b/>
          <w:bCs/>
        </w:rPr>
      </w:pPr>
      <w:r w:rsidRPr="00CA3C48">
        <w:rPr>
          <w:b/>
          <w:bCs/>
        </w:rPr>
        <w:t>Class 3 IVD medical device</w:t>
      </w:r>
      <w:r w:rsidRPr="00CA3C48">
        <w:t xml:space="preserve"> - a device that will detect transmissible agents or biological characteristics posing moderate public health risk or high personal risk</w:t>
      </w:r>
      <w:r w:rsidR="00B121C0">
        <w:t>.</w:t>
      </w:r>
    </w:p>
    <w:p w14:paraId="21222527" w14:textId="6B326402" w:rsidR="006A65BC" w:rsidRPr="00CA3C48" w:rsidRDefault="006A65BC" w:rsidP="006A65BC">
      <w:r w:rsidRPr="00CA3C48">
        <w:rPr>
          <w:b/>
          <w:bCs/>
        </w:rPr>
        <w:t xml:space="preserve">Diluted aliquot, </w:t>
      </w:r>
      <w:r w:rsidRPr="00CA3C48">
        <w:t>the post diluted and aliquoted viral specimen, after having the bulk viral stock diluted with an appropriate dilution fluid.</w:t>
      </w:r>
    </w:p>
    <w:p w14:paraId="35F7FC1F" w14:textId="77777777" w:rsidR="006A65BC" w:rsidRPr="00CA3C48" w:rsidRDefault="006A65BC" w:rsidP="006A65BC">
      <w:r w:rsidRPr="00CA3C48">
        <w:rPr>
          <w:b/>
          <w:bCs/>
        </w:rPr>
        <w:t xml:space="preserve">Incubation time, </w:t>
      </w:r>
      <w:r w:rsidRPr="00CA3C48">
        <w:t>time taken from the application of the sample onto the test strip until the time the test strip is visually read by either an analyst or an analyser.</w:t>
      </w:r>
    </w:p>
    <w:p w14:paraId="058FF886" w14:textId="77777777" w:rsidR="006A65BC" w:rsidRPr="006074A5" w:rsidRDefault="006A65BC" w:rsidP="006A65BC">
      <w:pPr>
        <w:rPr>
          <w:b/>
          <w:bCs/>
        </w:rPr>
      </w:pPr>
      <w:r w:rsidRPr="006074A5">
        <w:rPr>
          <w:b/>
          <w:bCs/>
        </w:rPr>
        <w:t xml:space="preserve">Instructions For Use (IFU), </w:t>
      </w:r>
      <w:r w:rsidRPr="006074A5">
        <w:t>in relation to a medical device, includes information provided by the manufacturer of the device to inform a user of the device of the intended purpose of the device, of the proper use of the device and of any precautions to be taken in relation to the use of the device.</w:t>
      </w:r>
    </w:p>
    <w:p w14:paraId="7F3DD630" w14:textId="77777777" w:rsidR="006A65BC" w:rsidRPr="006074A5" w:rsidRDefault="006A65BC" w:rsidP="006A65BC">
      <w:r w:rsidRPr="006074A5">
        <w:rPr>
          <w:b/>
          <w:bCs/>
          <w:i/>
          <w:iCs/>
        </w:rPr>
        <w:t>In vitro</w:t>
      </w:r>
      <w:r w:rsidRPr="006074A5">
        <w:rPr>
          <w:b/>
          <w:bCs/>
        </w:rPr>
        <w:t xml:space="preserve"> diagnostic IVD medical device or (IVD) medical device</w:t>
      </w:r>
      <w:r w:rsidRPr="006074A5">
        <w:t xml:space="preserve"> - a device that is:</w:t>
      </w:r>
    </w:p>
    <w:p w14:paraId="024EE168" w14:textId="77777777" w:rsidR="006A65BC" w:rsidRPr="006074A5" w:rsidRDefault="006A65BC" w:rsidP="00B121C0">
      <w:pPr>
        <w:pStyle w:val="ListBullet"/>
      </w:pPr>
      <w:r w:rsidRPr="006074A5">
        <w:t xml:space="preserve">a reagent, calibrator, control material, kit, specimen receptacle, software, instrument, apparatus, equipment, or system, whether used alone or in combination with another diagnostic product for </w:t>
      </w:r>
      <w:r w:rsidRPr="006074A5">
        <w:rPr>
          <w:i/>
        </w:rPr>
        <w:t>in vitro</w:t>
      </w:r>
      <w:r w:rsidRPr="006074A5">
        <w:t xml:space="preserve"> use; and</w:t>
      </w:r>
    </w:p>
    <w:p w14:paraId="272A10E6" w14:textId="77777777" w:rsidR="006A65BC" w:rsidRPr="006074A5" w:rsidRDefault="006A65BC" w:rsidP="00B121C0">
      <w:pPr>
        <w:pStyle w:val="ListBullet"/>
      </w:pPr>
      <w:r w:rsidRPr="006074A5">
        <w:t xml:space="preserve">intended by the manufacturer to be used </w:t>
      </w:r>
      <w:r w:rsidRPr="006074A5">
        <w:rPr>
          <w:i/>
        </w:rPr>
        <w:t>in vitro</w:t>
      </w:r>
      <w:r w:rsidRPr="006074A5">
        <w:t xml:space="preserve"> for the examination of a specimen derived from the human body, solely or principally for:</w:t>
      </w:r>
    </w:p>
    <w:p w14:paraId="13D7114A" w14:textId="77777777" w:rsidR="006A65BC" w:rsidRPr="006074A5" w:rsidRDefault="006A65BC" w:rsidP="00B121C0">
      <w:pPr>
        <w:pStyle w:val="ListBullet2"/>
      </w:pPr>
      <w:r w:rsidRPr="006074A5">
        <w:t>Giving information about a physiological or pathological state or a congenital abnormality; or</w:t>
      </w:r>
    </w:p>
    <w:p w14:paraId="3CBF042C" w14:textId="77777777" w:rsidR="006A65BC" w:rsidRPr="006074A5" w:rsidRDefault="006A65BC" w:rsidP="00B121C0">
      <w:pPr>
        <w:pStyle w:val="ListBullet2"/>
      </w:pPr>
      <w:r w:rsidRPr="006074A5">
        <w:lastRenderedPageBreak/>
        <w:t>Determining safety and compatibility with a potential recipient; or</w:t>
      </w:r>
    </w:p>
    <w:p w14:paraId="070FDFFC" w14:textId="77777777" w:rsidR="006A65BC" w:rsidRPr="006074A5" w:rsidRDefault="006A65BC" w:rsidP="00B121C0">
      <w:pPr>
        <w:pStyle w:val="ListBullet2"/>
      </w:pPr>
      <w:r w:rsidRPr="006074A5">
        <w:t>Monitoring therapeutic measures; and</w:t>
      </w:r>
    </w:p>
    <w:p w14:paraId="07106B6A" w14:textId="77777777" w:rsidR="006A65BC" w:rsidRPr="006074A5" w:rsidRDefault="006A65BC" w:rsidP="00B121C0">
      <w:pPr>
        <w:pStyle w:val="ListBullet"/>
      </w:pPr>
      <w:r w:rsidRPr="006074A5">
        <w:t>not a product that is:</w:t>
      </w:r>
    </w:p>
    <w:p w14:paraId="1BF58313" w14:textId="77777777" w:rsidR="006A65BC" w:rsidRPr="006074A5" w:rsidRDefault="006A65BC" w:rsidP="00B121C0">
      <w:pPr>
        <w:pStyle w:val="ListBullet2"/>
      </w:pPr>
      <w:r w:rsidRPr="006074A5">
        <w:t>Intended for general laboratory use; and</w:t>
      </w:r>
    </w:p>
    <w:p w14:paraId="34B220E8" w14:textId="77777777" w:rsidR="006A65BC" w:rsidRPr="006074A5" w:rsidRDefault="006A65BC" w:rsidP="00B121C0">
      <w:pPr>
        <w:pStyle w:val="ListBullet2"/>
      </w:pPr>
      <w:r w:rsidRPr="006074A5">
        <w:t>Not manufactured, sold, or presented for use as an IVD medical device.</w:t>
      </w:r>
    </w:p>
    <w:p w14:paraId="30A5362E" w14:textId="77777777" w:rsidR="006A65BC" w:rsidRPr="00CA3C48" w:rsidRDefault="006A65BC" w:rsidP="006A65BC">
      <w:r w:rsidRPr="00CA3C48">
        <w:rPr>
          <w:b/>
        </w:rPr>
        <w:t xml:space="preserve">IVD medical device for </w:t>
      </w:r>
      <w:r w:rsidRPr="00CA3C48">
        <w:rPr>
          <w:b/>
          <w:bCs/>
        </w:rPr>
        <w:t>self-testing</w:t>
      </w:r>
      <w:r w:rsidRPr="00CA3C48">
        <w:rPr>
          <w:b/>
          <w:i/>
        </w:rPr>
        <w:t xml:space="preserve"> </w:t>
      </w:r>
      <w:r w:rsidRPr="00CA3C48">
        <w:rPr>
          <w:b/>
        </w:rPr>
        <w:t xml:space="preserve">- </w:t>
      </w:r>
      <w:r w:rsidRPr="00CA3C48">
        <w:t>an IVD medical device intended to be used:</w:t>
      </w:r>
    </w:p>
    <w:p w14:paraId="4D1C4AA4" w14:textId="77777777" w:rsidR="006A65BC" w:rsidRPr="00CA3C48" w:rsidRDefault="006A65BC" w:rsidP="00B121C0">
      <w:pPr>
        <w:pStyle w:val="ListBullet"/>
      </w:pPr>
      <w:r w:rsidRPr="00CA3C48">
        <w:t>in the home or similar environment by a lay person; or</w:t>
      </w:r>
    </w:p>
    <w:p w14:paraId="51685DCD" w14:textId="77777777" w:rsidR="006A65BC" w:rsidRPr="00CA3C48" w:rsidRDefault="006A65BC" w:rsidP="00B121C0">
      <w:pPr>
        <w:pStyle w:val="ListBullet"/>
      </w:pPr>
      <w:r w:rsidRPr="00CA3C48">
        <w:t>in the collection of a sample by a lay person and, if that sample is tested by another person, the results are returned directly to the person from whom the sample was taken without the direct supervision of a health professional who has formal training in a medical field or discipline to which the self-testing relates.</w:t>
      </w:r>
    </w:p>
    <w:p w14:paraId="2BE374B7" w14:textId="77777777" w:rsidR="006A65BC" w:rsidRPr="00EC4A41" w:rsidRDefault="006A65BC" w:rsidP="00D014BA">
      <w:r w:rsidRPr="00EC4A41">
        <w:rPr>
          <w:b/>
          <w:bCs/>
        </w:rPr>
        <w:t xml:space="preserve">Lineage, </w:t>
      </w:r>
      <w:r w:rsidRPr="00EC4A41">
        <w:t>a group of related viruses with sequences indicating a common ancestor. SARS-CoV-2 has many lineages; all cause COVID-19.</w:t>
      </w:r>
    </w:p>
    <w:p w14:paraId="500151E4" w14:textId="623EA161" w:rsidR="006A65BC" w:rsidRPr="00EC4A41" w:rsidRDefault="006A65BC" w:rsidP="00D014BA">
      <w:pPr>
        <w:rPr>
          <w:b/>
          <w:bCs/>
        </w:rPr>
      </w:pPr>
      <w:r w:rsidRPr="00EC4A41">
        <w:rPr>
          <w:b/>
          <w:bCs/>
        </w:rPr>
        <w:t>Point of Care (</w:t>
      </w:r>
      <w:proofErr w:type="spellStart"/>
      <w:r w:rsidRPr="00EC4A41">
        <w:rPr>
          <w:b/>
          <w:bCs/>
        </w:rPr>
        <w:t>PoC</w:t>
      </w:r>
      <w:proofErr w:type="spellEnd"/>
      <w:r w:rsidRPr="00EC4A41">
        <w:rPr>
          <w:b/>
          <w:bCs/>
        </w:rPr>
        <w:t xml:space="preserve">) Testing </w:t>
      </w:r>
      <w:r w:rsidRPr="00EC4A41">
        <w:t>with an IVD medical device - means testing performed outside the laboratory environment, near to or at the side of the patient, that is done under the supervision of a trained staff.</w:t>
      </w:r>
    </w:p>
    <w:p w14:paraId="5DAF879F" w14:textId="0C290D8F" w:rsidR="006A65BC" w:rsidRPr="00EC4A41" w:rsidRDefault="006A65BC" w:rsidP="00D014BA">
      <w:pPr>
        <w:rPr>
          <w:b/>
        </w:rPr>
      </w:pPr>
      <w:r w:rsidRPr="00EC4A41">
        <w:rPr>
          <w:b/>
        </w:rPr>
        <w:t xml:space="preserve">Rapid Antigen Test (RAT) </w:t>
      </w:r>
      <w:r w:rsidRPr="00EC4A41">
        <w:rPr>
          <w:b/>
          <w:bCs/>
        </w:rPr>
        <w:t xml:space="preserve">kits </w:t>
      </w:r>
      <w:r w:rsidRPr="00EC4A41">
        <w:t>-</w:t>
      </w:r>
      <w:r w:rsidRPr="00EC4A41">
        <w:rPr>
          <w:b/>
        </w:rPr>
        <w:t xml:space="preserve"> </w:t>
      </w:r>
      <w:r w:rsidRPr="00EC4A41">
        <w:t>detect the presence or absence of an antigen, and in the case of COVID-19 RAT kits, specific proteins of the virus</w:t>
      </w:r>
      <w:r w:rsidR="00B121C0">
        <w:t>.</w:t>
      </w:r>
    </w:p>
    <w:p w14:paraId="31F2B8E7" w14:textId="77777777" w:rsidR="006A65BC" w:rsidRPr="00CA3C48" w:rsidRDefault="006A65BC" w:rsidP="006A65BC">
      <w:pPr>
        <w:rPr>
          <w:rFonts w:ascii="Calibri" w:hAnsi="Calibri"/>
          <w:b/>
          <w:bCs/>
        </w:rPr>
      </w:pPr>
      <w:r w:rsidRPr="00EC4A41">
        <w:rPr>
          <w:b/>
          <w:bCs/>
        </w:rPr>
        <w:t>TCID</w:t>
      </w:r>
      <w:r w:rsidRPr="00EC4A41">
        <w:rPr>
          <w:b/>
          <w:bCs/>
          <w:vertAlign w:val="subscript"/>
        </w:rPr>
        <w:t>50</w:t>
      </w:r>
      <w:r w:rsidRPr="00EC4A41">
        <w:rPr>
          <w:b/>
          <w:bCs/>
        </w:rPr>
        <w:t xml:space="preserve">/mL, </w:t>
      </w:r>
      <w:r w:rsidRPr="00EC4A41">
        <w:t xml:space="preserve">represents the “Median Tissue Culture Infectious </w:t>
      </w:r>
      <w:r w:rsidRPr="00CA3C48">
        <w:t>Dose” per millilitre of sample, and is used to verify the infectious viral titre. TCID</w:t>
      </w:r>
      <w:r w:rsidRPr="00CA3C48">
        <w:rPr>
          <w:vertAlign w:val="subscript"/>
        </w:rPr>
        <w:t>50</w:t>
      </w:r>
      <w:r w:rsidRPr="00CA3C48">
        <w:t xml:space="preserve"> signifies the concentration of live virus at which 50% of a given cell culture are infected when cell culture samples are inoculated with serially diluted viral culture.</w:t>
      </w:r>
    </w:p>
    <w:p w14:paraId="47AC3D1A" w14:textId="0D0B78E1" w:rsidR="006A65BC" w:rsidRDefault="006A65BC" w:rsidP="006A65BC">
      <w:r w:rsidRPr="00CA3C48">
        <w:rPr>
          <w:b/>
          <w:bCs/>
        </w:rPr>
        <w:t xml:space="preserve">Variant, </w:t>
      </w:r>
      <w:r w:rsidRPr="00CA3C48">
        <w:t>virus having whole sequence (the</w:t>
      </w:r>
      <w:r w:rsidRPr="00CA3C48">
        <w:rPr>
          <w:b/>
          <w:bCs/>
        </w:rPr>
        <w:t xml:space="preserve"> </w:t>
      </w:r>
      <w:r w:rsidRPr="00CA3C48">
        <w:t>genome) that may contain one or more mutations.</w:t>
      </w:r>
    </w:p>
    <w:p w14:paraId="5C42676B" w14:textId="17C1F1FD" w:rsidR="006A65BC" w:rsidRDefault="006A65BC" w:rsidP="00B121C0">
      <w:pPr>
        <w:pStyle w:val="Heading3"/>
      </w:pPr>
      <w:bookmarkStart w:id="6" w:name="_Toc106793424"/>
      <w:r>
        <w:t xml:space="preserve">Viral </w:t>
      </w:r>
      <w:r w:rsidR="00B121C0">
        <w:t>s</w:t>
      </w:r>
      <w:r>
        <w:t xml:space="preserve">ample </w:t>
      </w:r>
      <w:r w:rsidR="00B121C0">
        <w:t>s</w:t>
      </w:r>
      <w:r>
        <w:t>election</w:t>
      </w:r>
      <w:bookmarkEnd w:id="6"/>
    </w:p>
    <w:p w14:paraId="7A8657E6" w14:textId="77777777" w:rsidR="006A65BC" w:rsidRDefault="006A65BC" w:rsidP="006A65BC">
      <w:r w:rsidRPr="35FCD122">
        <w:t xml:space="preserve">Estimates of analytical sensitivity for the COVID-19 RAT kit shall be determined using a dilution series of three variants of inactivated whole SARS-CoV-2 virus (e.g. gamma-irradiated). Testing of each of the following lineages - </w:t>
      </w:r>
      <w:proofErr w:type="spellStart"/>
      <w:r w:rsidRPr="35FCD122">
        <w:t>i</w:t>
      </w:r>
      <w:proofErr w:type="spellEnd"/>
      <w:r w:rsidRPr="35FCD122">
        <w:t>) Wild Type (ancestral); ii) Delta (</w:t>
      </w:r>
      <w:proofErr w:type="spellStart"/>
      <w:r w:rsidRPr="35FCD122">
        <w:t>Pango</w:t>
      </w:r>
      <w:proofErr w:type="spellEnd"/>
      <w:r w:rsidRPr="35FCD122">
        <w:t xml:space="preserve"> Lineage B.1.617.2), and iii) Omicron (</w:t>
      </w:r>
      <w:proofErr w:type="spellStart"/>
      <w:r w:rsidRPr="35FCD122">
        <w:t>Pango</w:t>
      </w:r>
      <w:proofErr w:type="spellEnd"/>
      <w:r w:rsidRPr="35FCD122">
        <w:t xml:space="preserve"> Lineage B.1.1.529)</w:t>
      </w:r>
      <w:r w:rsidRPr="35FCD122">
        <w:rPr>
          <w:rStyle w:val="FootnoteReference"/>
          <w:rFonts w:eastAsiaTheme="minorEastAsia" w:cstheme="minorBidi"/>
          <w:sz w:val="23"/>
          <w:szCs w:val="23"/>
        </w:rPr>
        <w:footnoteReference w:id="4"/>
      </w:r>
      <w:r w:rsidRPr="35FCD122">
        <w:t xml:space="preserve"> shall be represented by at least a single variant.</w:t>
      </w:r>
    </w:p>
    <w:p w14:paraId="0EE6FF34" w14:textId="77777777" w:rsidR="006A65BC" w:rsidRDefault="006A65BC" w:rsidP="006A65BC">
      <w:pPr>
        <w:rPr>
          <w:rFonts w:asciiTheme="minorHAnsi" w:hAnsiTheme="minorHAnsi"/>
        </w:rPr>
      </w:pPr>
      <w:r w:rsidRPr="2A9589E5">
        <w:rPr>
          <w:rFonts w:asciiTheme="minorHAnsi" w:hAnsiTheme="minorHAnsi"/>
        </w:rPr>
        <w:t>The pre-</w:t>
      </w:r>
      <w:r w:rsidRPr="662AFEA8">
        <w:rPr>
          <w:rFonts w:asciiTheme="minorHAnsi" w:hAnsiTheme="minorHAnsi"/>
        </w:rPr>
        <w:t>inactivated</w:t>
      </w:r>
      <w:r w:rsidRPr="2A9589E5">
        <w:rPr>
          <w:rFonts w:asciiTheme="minorHAnsi" w:hAnsiTheme="minorHAnsi"/>
        </w:rPr>
        <w:t xml:space="preserve"> infectivity titres (TCID</w:t>
      </w:r>
      <w:r w:rsidRPr="019FBD28">
        <w:rPr>
          <w:rFonts w:asciiTheme="minorHAnsi" w:hAnsiTheme="minorHAnsi"/>
          <w:vertAlign w:val="subscript"/>
        </w:rPr>
        <w:t>50</w:t>
      </w:r>
      <w:r w:rsidRPr="2A9589E5">
        <w:rPr>
          <w:rFonts w:asciiTheme="minorHAnsi" w:hAnsiTheme="minorHAnsi"/>
        </w:rPr>
        <w:t xml:space="preserve">/mL) of each </w:t>
      </w:r>
      <w:r>
        <w:rPr>
          <w:rFonts w:asciiTheme="minorHAnsi" w:hAnsiTheme="minorHAnsi"/>
        </w:rPr>
        <w:t>lineage</w:t>
      </w:r>
      <w:r w:rsidRPr="2A9589E5">
        <w:rPr>
          <w:rFonts w:asciiTheme="minorHAnsi" w:hAnsiTheme="minorHAnsi"/>
        </w:rPr>
        <w:t xml:space="preserve"> shall be determined by </w:t>
      </w:r>
      <w:r w:rsidRPr="176778BF">
        <w:rPr>
          <w:rFonts w:asciiTheme="minorHAnsi" w:hAnsiTheme="minorHAnsi"/>
        </w:rPr>
        <w:t>an</w:t>
      </w:r>
      <w:r w:rsidRPr="2A9589E5">
        <w:rPr>
          <w:rFonts w:asciiTheme="minorHAnsi" w:hAnsiTheme="minorHAnsi"/>
        </w:rPr>
        <w:t xml:space="preserve"> </w:t>
      </w:r>
      <w:r w:rsidRPr="14457446">
        <w:rPr>
          <w:rFonts w:asciiTheme="minorHAnsi" w:hAnsiTheme="minorHAnsi"/>
        </w:rPr>
        <w:t xml:space="preserve">appropriate </w:t>
      </w:r>
      <w:r w:rsidRPr="0FBE81F6">
        <w:rPr>
          <w:rFonts w:asciiTheme="minorHAnsi" w:hAnsiTheme="minorHAnsi"/>
        </w:rPr>
        <w:t>verified method (e.g.</w:t>
      </w:r>
      <w:r w:rsidRPr="301E85A2">
        <w:rPr>
          <w:rFonts w:asciiTheme="minorHAnsi" w:hAnsiTheme="minorHAnsi"/>
        </w:rPr>
        <w:t xml:space="preserve"> </w:t>
      </w:r>
      <w:r w:rsidRPr="2A9589E5">
        <w:rPr>
          <w:rFonts w:asciiTheme="minorHAnsi" w:hAnsiTheme="minorHAnsi"/>
        </w:rPr>
        <w:t>standard virus infectivity assay</w:t>
      </w:r>
      <w:r w:rsidRPr="301E85A2">
        <w:rPr>
          <w:rFonts w:asciiTheme="minorHAnsi" w:hAnsiTheme="minorHAnsi"/>
        </w:rPr>
        <w:t>).</w:t>
      </w:r>
      <w:r w:rsidRPr="2A9589E5">
        <w:rPr>
          <w:rFonts w:asciiTheme="minorHAnsi" w:hAnsiTheme="minorHAnsi"/>
        </w:rPr>
        <w:t xml:space="preserve"> All virus variants shall</w:t>
      </w:r>
      <w:r>
        <w:rPr>
          <w:rFonts w:asciiTheme="minorHAnsi" w:hAnsiTheme="minorHAnsi"/>
        </w:rPr>
        <w:t xml:space="preserve"> be</w:t>
      </w:r>
      <w:r w:rsidRPr="2A9589E5">
        <w:rPr>
          <w:rFonts w:asciiTheme="minorHAnsi" w:hAnsiTheme="minorHAnsi"/>
        </w:rPr>
        <w:t xml:space="preserve"> grown and assayed in an appropriate </w:t>
      </w:r>
      <w:r w:rsidRPr="6376BFFF">
        <w:rPr>
          <w:rFonts w:asciiTheme="minorHAnsi" w:hAnsiTheme="minorHAnsi"/>
        </w:rPr>
        <w:t>cell</w:t>
      </w:r>
      <w:r w:rsidRPr="2A9589E5">
        <w:rPr>
          <w:rFonts w:asciiTheme="minorHAnsi" w:hAnsiTheme="minorHAnsi"/>
        </w:rPr>
        <w:t xml:space="preserve"> line</w:t>
      </w:r>
      <w:r w:rsidRPr="2208B6EC">
        <w:rPr>
          <w:rFonts w:asciiTheme="minorHAnsi" w:hAnsiTheme="minorHAnsi"/>
        </w:rPr>
        <w:t xml:space="preserve"> that allows </w:t>
      </w:r>
      <w:r w:rsidRPr="73D66D44">
        <w:rPr>
          <w:rFonts w:asciiTheme="minorHAnsi" w:hAnsiTheme="minorHAnsi"/>
        </w:rPr>
        <w:t>for optimal growth of the virus</w:t>
      </w:r>
      <w:r w:rsidRPr="2A9589E5">
        <w:rPr>
          <w:rFonts w:asciiTheme="minorHAnsi" w:hAnsiTheme="minorHAnsi"/>
        </w:rPr>
        <w:t xml:space="preserve"> (e.g. Vero/</w:t>
      </w:r>
      <w:proofErr w:type="spellStart"/>
      <w:r w:rsidRPr="2A9589E5">
        <w:rPr>
          <w:rFonts w:asciiTheme="minorHAnsi" w:hAnsiTheme="minorHAnsi"/>
        </w:rPr>
        <w:t>hSLAM</w:t>
      </w:r>
      <w:proofErr w:type="spellEnd"/>
      <w:r w:rsidRPr="2A9589E5">
        <w:rPr>
          <w:rFonts w:asciiTheme="minorHAnsi" w:hAnsiTheme="minorHAnsi"/>
        </w:rPr>
        <w:t xml:space="preserve"> cells) to determine the TCID</w:t>
      </w:r>
      <w:r w:rsidRPr="36DD9FF8">
        <w:rPr>
          <w:rFonts w:asciiTheme="minorHAnsi" w:hAnsiTheme="minorHAnsi"/>
          <w:color w:val="002C47" w:themeColor="text1"/>
          <w:vertAlign w:val="subscript"/>
        </w:rPr>
        <w:t>50</w:t>
      </w:r>
      <w:r w:rsidRPr="2A9589E5">
        <w:rPr>
          <w:rFonts w:asciiTheme="minorHAnsi" w:hAnsiTheme="minorHAnsi"/>
        </w:rPr>
        <w:t>/mL titre.</w:t>
      </w:r>
    </w:p>
    <w:p w14:paraId="4ED9300D" w14:textId="066D3208" w:rsidR="006A65BC" w:rsidRDefault="006A65BC" w:rsidP="006A65BC">
      <w:r w:rsidRPr="35FCD122">
        <w:t>Bulk dilutions of each of the three variants</w:t>
      </w:r>
      <w:r>
        <w:t xml:space="preserve"> (viral dilution bulk)</w:t>
      </w:r>
      <w:r w:rsidRPr="35FCD122">
        <w:t xml:space="preserve"> are prepared and verified using an appropriate methodology (e.g. gravimetric, volumetric). </w:t>
      </w:r>
      <w:r w:rsidRPr="008D4D74">
        <w:t xml:space="preserve">Each dilution shall be measured in duplicate, reported as copies/mL, </w:t>
      </w:r>
      <w:r w:rsidRPr="35FCD122">
        <w:t>using a real-time RT-PCR assay</w:t>
      </w:r>
      <w:r>
        <w:t xml:space="preserve"> or a digital PCR assay</w:t>
      </w:r>
      <w:r w:rsidRPr="35FCD122">
        <w:t>, in</w:t>
      </w:r>
      <w:r w:rsidR="00C7784F">
        <w:t xml:space="preserve"> </w:t>
      </w:r>
      <w:r w:rsidRPr="35FCD122">
        <w:t>parallel with an RNA standard developed by the National Measurement Institute</w:t>
      </w:r>
      <w:r w:rsidRPr="35FCD122">
        <w:rPr>
          <w:rStyle w:val="FootnoteReference"/>
          <w:rFonts w:asciiTheme="minorHAnsi" w:eastAsiaTheme="minorEastAsia" w:hAnsiTheme="minorHAnsi" w:cstheme="minorBidi"/>
          <w:sz w:val="23"/>
          <w:szCs w:val="23"/>
        </w:rPr>
        <w:footnoteReference w:id="5"/>
      </w:r>
      <w:r w:rsidRPr="35FCD122">
        <w:t xml:space="preserve"> (NMI; NSW, Australia), or using a traceable equivalent, developed under an ISO 17025 accredited quality system. </w:t>
      </w:r>
      <w:r>
        <w:t>The v</w:t>
      </w:r>
      <w:r w:rsidRPr="00551B95">
        <w:t xml:space="preserve">iral </w:t>
      </w:r>
      <w:r>
        <w:t>d</w:t>
      </w:r>
      <w:r w:rsidRPr="00551B95">
        <w:t xml:space="preserve">ilution </w:t>
      </w:r>
      <w:r>
        <w:t>b</w:t>
      </w:r>
      <w:r w:rsidRPr="00551B95">
        <w:t>ulk shall be stored at -80⁰C until aliquoted.</w:t>
      </w:r>
    </w:p>
    <w:p w14:paraId="7D154B78" w14:textId="26251C73" w:rsidR="006A65BC" w:rsidRPr="00437B30" w:rsidRDefault="006A65BC" w:rsidP="006A65BC">
      <w:r w:rsidRPr="00437B30">
        <w:lastRenderedPageBreak/>
        <w:t>An app</w:t>
      </w:r>
      <w:r w:rsidRPr="5DF88BDD">
        <w:t xml:space="preserve">ropriate dilution series with an appropriate number of replicates, and an appropriate number of dilution points shall be provided. The results of this provide evidence in support of the repeatability and </w:t>
      </w:r>
      <w:r w:rsidRPr="4E9EA5B0">
        <w:t>limit of detection</w:t>
      </w:r>
      <w:r w:rsidRPr="5DF88BDD">
        <w:t xml:space="preserve"> of the device. Table </w:t>
      </w:r>
      <w:r>
        <w:t>1</w:t>
      </w:r>
      <w:r w:rsidRPr="5DF88BDD">
        <w:t xml:space="preserve"> provides an example of an appropriate </w:t>
      </w:r>
      <w:r w:rsidRPr="00437B30">
        <w:t>dilution series.</w:t>
      </w:r>
    </w:p>
    <w:p w14:paraId="34FD3840" w14:textId="78C11C73" w:rsidR="006A65BC" w:rsidRDefault="006A65BC" w:rsidP="006A65BC">
      <w:r w:rsidRPr="00551B95">
        <w:t xml:space="preserve">The </w:t>
      </w:r>
      <w:r>
        <w:t>v</w:t>
      </w:r>
      <w:r w:rsidRPr="00551B95">
        <w:t xml:space="preserve">iral </w:t>
      </w:r>
      <w:r>
        <w:t>d</w:t>
      </w:r>
      <w:r w:rsidRPr="00551B95">
        <w:t xml:space="preserve">ilution </w:t>
      </w:r>
      <w:r>
        <w:t>b</w:t>
      </w:r>
      <w:r w:rsidRPr="00551B95">
        <w:t>ulk of each variant will be aliquoted into single-use vials (</w:t>
      </w:r>
      <w:r>
        <w:t>d</w:t>
      </w:r>
      <w:r w:rsidRPr="00551B95">
        <w:t xml:space="preserve">iluted aliquot) to produce </w:t>
      </w:r>
      <w:r>
        <w:t>t</w:t>
      </w:r>
      <w:r w:rsidRPr="00551B95">
        <w:t xml:space="preserve">esting </w:t>
      </w:r>
      <w:r>
        <w:t>p</w:t>
      </w:r>
      <w:r w:rsidRPr="00551B95">
        <w:t xml:space="preserve">anels. The </w:t>
      </w:r>
      <w:r>
        <w:t>t</w:t>
      </w:r>
      <w:r w:rsidRPr="00551B95">
        <w:t xml:space="preserve">esting </w:t>
      </w:r>
      <w:r>
        <w:t>p</w:t>
      </w:r>
      <w:r w:rsidRPr="00551B95">
        <w:t xml:space="preserve">anel shall consist of either 100µL </w:t>
      </w:r>
      <w:r>
        <w:t>d</w:t>
      </w:r>
      <w:r w:rsidRPr="00551B95">
        <w:t xml:space="preserve">iluted aliquots (for nasopharyngeal/nasal testing) or 500µL </w:t>
      </w:r>
      <w:r>
        <w:t>d</w:t>
      </w:r>
      <w:r w:rsidRPr="00551B95">
        <w:t xml:space="preserve">iluted aliquots (for saliva testing). The </w:t>
      </w:r>
      <w:r>
        <w:t>d</w:t>
      </w:r>
      <w:r w:rsidRPr="00551B95">
        <w:t xml:space="preserve">iluted aliquots included in each </w:t>
      </w:r>
      <w:r>
        <w:t>t</w:t>
      </w:r>
      <w:r w:rsidRPr="00551B95">
        <w:t xml:space="preserve">esting </w:t>
      </w:r>
      <w:r>
        <w:t>p</w:t>
      </w:r>
      <w:r w:rsidRPr="00551B95">
        <w:t xml:space="preserve">anel shall be randomised prior to testing. The </w:t>
      </w:r>
      <w:r>
        <w:t>t</w:t>
      </w:r>
      <w:r w:rsidRPr="00551B95">
        <w:t xml:space="preserve">esting </w:t>
      </w:r>
      <w:r>
        <w:t>p</w:t>
      </w:r>
      <w:r w:rsidRPr="00551B95">
        <w:t xml:space="preserve">anels shall be stored at -80⁰C until use. Each aliquot within the </w:t>
      </w:r>
      <w:r>
        <w:t>t</w:t>
      </w:r>
      <w:r w:rsidRPr="00551B95">
        <w:t xml:space="preserve">esting </w:t>
      </w:r>
      <w:r>
        <w:t>p</w:t>
      </w:r>
      <w:r w:rsidRPr="00551B95">
        <w:t>anel shall be for single-use only.</w:t>
      </w:r>
    </w:p>
    <w:p w14:paraId="39568495" w14:textId="16A53D24" w:rsidR="006A65BC" w:rsidRDefault="006A65BC" w:rsidP="00B121C0">
      <w:pPr>
        <w:pStyle w:val="Tabletitle"/>
      </w:pPr>
      <w:r w:rsidRPr="00D014BA">
        <w:t>Table 1: Example of appropriate dilution series</w:t>
      </w:r>
    </w:p>
    <w:tbl>
      <w:tblPr>
        <w:tblStyle w:val="TableTGAblue"/>
        <w:tblW w:w="0" w:type="auto"/>
        <w:tblLook w:val="04A0" w:firstRow="1" w:lastRow="0" w:firstColumn="1" w:lastColumn="0" w:noHBand="0" w:noVBand="1"/>
      </w:tblPr>
      <w:tblGrid>
        <w:gridCol w:w="4525"/>
        <w:gridCol w:w="4525"/>
      </w:tblGrid>
      <w:tr w:rsidR="00CE5529" w14:paraId="64D42528" w14:textId="77777777" w:rsidTr="00CE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Pr>
          <w:p w14:paraId="4AC9FDD2" w14:textId="7673D743" w:rsidR="00CE5529" w:rsidRDefault="00CE5529" w:rsidP="00CE5529">
            <w:r>
              <w:t>TCID50/mL</w:t>
            </w:r>
          </w:p>
          <w:p w14:paraId="6155326C" w14:textId="421B41B9" w:rsidR="00CE5529" w:rsidRDefault="00CE5529" w:rsidP="00CE5529">
            <w:r>
              <w:t>(Log10)</w:t>
            </w:r>
          </w:p>
        </w:tc>
        <w:tc>
          <w:tcPr>
            <w:tcW w:w="4525" w:type="dxa"/>
          </w:tcPr>
          <w:p w14:paraId="6CDBA8B8" w14:textId="55162CCF" w:rsidR="00CE5529" w:rsidRDefault="00CE5529" w:rsidP="00CE5529">
            <w:pPr>
              <w:cnfStyle w:val="100000000000" w:firstRow="1" w:lastRow="0" w:firstColumn="0" w:lastColumn="0" w:oddVBand="0" w:evenVBand="0" w:oddHBand="0" w:evenHBand="0" w:firstRowFirstColumn="0" w:firstRowLastColumn="0" w:lastRowFirstColumn="0" w:lastRowLastColumn="0"/>
            </w:pPr>
            <w:r>
              <w:t>TCID50/mL</w:t>
            </w:r>
          </w:p>
          <w:p w14:paraId="1C7C3A45" w14:textId="41E4829F" w:rsidR="00CE5529" w:rsidRDefault="00CE5529" w:rsidP="00CE5529">
            <w:pPr>
              <w:cnfStyle w:val="100000000000" w:firstRow="1" w:lastRow="0" w:firstColumn="0" w:lastColumn="0" w:oddVBand="0" w:evenVBand="0" w:oddHBand="0" w:evenHBand="0" w:firstRowFirstColumn="0" w:firstRowLastColumn="0" w:lastRowFirstColumn="0" w:lastRowLastColumn="0"/>
            </w:pPr>
            <w:r>
              <w:t>(raw value)</w:t>
            </w:r>
          </w:p>
        </w:tc>
      </w:tr>
      <w:tr w:rsidR="00CE5529" w14:paraId="0A7769A3" w14:textId="77777777" w:rsidTr="00CE5529">
        <w:tc>
          <w:tcPr>
            <w:cnfStyle w:val="001000000000" w:firstRow="0" w:lastRow="0" w:firstColumn="1" w:lastColumn="0" w:oddVBand="0" w:evenVBand="0" w:oddHBand="0" w:evenHBand="0" w:firstRowFirstColumn="0" w:firstRowLastColumn="0" w:lastRowFirstColumn="0" w:lastRowLastColumn="0"/>
            <w:tcW w:w="4525" w:type="dxa"/>
          </w:tcPr>
          <w:p w14:paraId="39A2634C" w14:textId="03C41EAF" w:rsidR="00CE5529" w:rsidRDefault="00CE5529" w:rsidP="00FB261F">
            <w:r w:rsidRPr="00035B3E">
              <w:rPr>
                <w:sz w:val="20"/>
                <w:szCs w:val="20"/>
              </w:rPr>
              <w:t>1 x 10</w:t>
            </w:r>
            <w:r w:rsidRPr="00035B3E">
              <w:rPr>
                <w:sz w:val="20"/>
                <w:szCs w:val="20"/>
                <w:vertAlign w:val="superscript"/>
              </w:rPr>
              <w:t>4</w:t>
            </w:r>
          </w:p>
        </w:tc>
        <w:tc>
          <w:tcPr>
            <w:tcW w:w="4525" w:type="dxa"/>
          </w:tcPr>
          <w:p w14:paraId="25C82670" w14:textId="4A546381" w:rsidR="00CE5529" w:rsidRDefault="00CE5529" w:rsidP="00FB261F">
            <w:pPr>
              <w:cnfStyle w:val="000000000000" w:firstRow="0" w:lastRow="0" w:firstColumn="0" w:lastColumn="0" w:oddVBand="0" w:evenVBand="0" w:oddHBand="0" w:evenHBand="0" w:firstRowFirstColumn="0" w:firstRowLastColumn="0" w:lastRowFirstColumn="0" w:lastRowLastColumn="0"/>
            </w:pPr>
            <w:r w:rsidRPr="00CE5529">
              <w:t>10,000</w:t>
            </w:r>
          </w:p>
        </w:tc>
      </w:tr>
      <w:tr w:rsidR="00CE5529" w14:paraId="3E441395" w14:textId="77777777" w:rsidTr="00CE5529">
        <w:tc>
          <w:tcPr>
            <w:cnfStyle w:val="001000000000" w:firstRow="0" w:lastRow="0" w:firstColumn="1" w:lastColumn="0" w:oddVBand="0" w:evenVBand="0" w:oddHBand="0" w:evenHBand="0" w:firstRowFirstColumn="0" w:firstRowLastColumn="0" w:lastRowFirstColumn="0" w:lastRowLastColumn="0"/>
            <w:tcW w:w="4525" w:type="dxa"/>
          </w:tcPr>
          <w:p w14:paraId="221C489D" w14:textId="41342911" w:rsidR="00CE5529" w:rsidRDefault="00CE5529" w:rsidP="00FB261F">
            <w:r w:rsidRPr="00CE5529">
              <w:t>1 x 10</w:t>
            </w:r>
            <w:r w:rsidRPr="00CE5529">
              <w:rPr>
                <w:vertAlign w:val="superscript"/>
              </w:rPr>
              <w:t>3.75</w:t>
            </w:r>
          </w:p>
        </w:tc>
        <w:tc>
          <w:tcPr>
            <w:tcW w:w="4525" w:type="dxa"/>
          </w:tcPr>
          <w:p w14:paraId="321A83EE" w14:textId="020C8F74" w:rsidR="00CE5529" w:rsidRDefault="00CE5529" w:rsidP="00FB261F">
            <w:pPr>
              <w:cnfStyle w:val="000000000000" w:firstRow="0" w:lastRow="0" w:firstColumn="0" w:lastColumn="0" w:oddVBand="0" w:evenVBand="0" w:oddHBand="0" w:evenHBand="0" w:firstRowFirstColumn="0" w:firstRowLastColumn="0" w:lastRowFirstColumn="0" w:lastRowLastColumn="0"/>
            </w:pPr>
            <w:r w:rsidRPr="00CE5529">
              <w:t>5,623</w:t>
            </w:r>
          </w:p>
        </w:tc>
      </w:tr>
      <w:tr w:rsidR="00CE5529" w14:paraId="0B98A739" w14:textId="77777777" w:rsidTr="00CE5529">
        <w:tc>
          <w:tcPr>
            <w:cnfStyle w:val="001000000000" w:firstRow="0" w:lastRow="0" w:firstColumn="1" w:lastColumn="0" w:oddVBand="0" w:evenVBand="0" w:oddHBand="0" w:evenHBand="0" w:firstRowFirstColumn="0" w:firstRowLastColumn="0" w:lastRowFirstColumn="0" w:lastRowLastColumn="0"/>
            <w:tcW w:w="4525" w:type="dxa"/>
          </w:tcPr>
          <w:p w14:paraId="54B017F7" w14:textId="353649B5" w:rsidR="00CE5529" w:rsidRDefault="00CE5529" w:rsidP="00FB261F">
            <w:r w:rsidRPr="00CE5529">
              <w:t>1 x 10</w:t>
            </w:r>
            <w:r w:rsidRPr="00CE5529">
              <w:rPr>
                <w:vertAlign w:val="superscript"/>
              </w:rPr>
              <w:t>3.5</w:t>
            </w:r>
          </w:p>
        </w:tc>
        <w:tc>
          <w:tcPr>
            <w:tcW w:w="4525" w:type="dxa"/>
          </w:tcPr>
          <w:p w14:paraId="02943A99" w14:textId="0D2B09FF" w:rsidR="00CE5529" w:rsidRDefault="00CE5529" w:rsidP="00FB261F">
            <w:pPr>
              <w:cnfStyle w:val="000000000000" w:firstRow="0" w:lastRow="0" w:firstColumn="0" w:lastColumn="0" w:oddVBand="0" w:evenVBand="0" w:oddHBand="0" w:evenHBand="0" w:firstRowFirstColumn="0" w:firstRowLastColumn="0" w:lastRowFirstColumn="0" w:lastRowLastColumn="0"/>
            </w:pPr>
            <w:r w:rsidRPr="00CE5529">
              <w:t>3,162</w:t>
            </w:r>
          </w:p>
        </w:tc>
      </w:tr>
      <w:tr w:rsidR="00CE5529" w14:paraId="1FC20F4B" w14:textId="77777777" w:rsidTr="00CE5529">
        <w:tc>
          <w:tcPr>
            <w:cnfStyle w:val="001000000000" w:firstRow="0" w:lastRow="0" w:firstColumn="1" w:lastColumn="0" w:oddVBand="0" w:evenVBand="0" w:oddHBand="0" w:evenHBand="0" w:firstRowFirstColumn="0" w:firstRowLastColumn="0" w:lastRowFirstColumn="0" w:lastRowLastColumn="0"/>
            <w:tcW w:w="4525" w:type="dxa"/>
          </w:tcPr>
          <w:p w14:paraId="7A53EC8E" w14:textId="7D305BA6" w:rsidR="00CE5529" w:rsidRDefault="00CE5529" w:rsidP="00FB261F">
            <w:r w:rsidRPr="00CE5529">
              <w:t>1 x 10</w:t>
            </w:r>
            <w:r w:rsidRPr="00CE5529">
              <w:rPr>
                <w:vertAlign w:val="superscript"/>
              </w:rPr>
              <w:t>3.25</w:t>
            </w:r>
          </w:p>
        </w:tc>
        <w:tc>
          <w:tcPr>
            <w:tcW w:w="4525" w:type="dxa"/>
          </w:tcPr>
          <w:p w14:paraId="00A6F2ED" w14:textId="5A0F1C84" w:rsidR="00CE5529" w:rsidRDefault="00CE5529" w:rsidP="00FB261F">
            <w:pPr>
              <w:cnfStyle w:val="000000000000" w:firstRow="0" w:lastRow="0" w:firstColumn="0" w:lastColumn="0" w:oddVBand="0" w:evenVBand="0" w:oddHBand="0" w:evenHBand="0" w:firstRowFirstColumn="0" w:firstRowLastColumn="0" w:lastRowFirstColumn="0" w:lastRowLastColumn="0"/>
            </w:pPr>
            <w:r w:rsidRPr="00CE5529">
              <w:t>1,778</w:t>
            </w:r>
          </w:p>
        </w:tc>
      </w:tr>
      <w:tr w:rsidR="00CE5529" w14:paraId="0C588643" w14:textId="77777777" w:rsidTr="00CE5529">
        <w:tc>
          <w:tcPr>
            <w:cnfStyle w:val="001000000000" w:firstRow="0" w:lastRow="0" w:firstColumn="1" w:lastColumn="0" w:oddVBand="0" w:evenVBand="0" w:oddHBand="0" w:evenHBand="0" w:firstRowFirstColumn="0" w:firstRowLastColumn="0" w:lastRowFirstColumn="0" w:lastRowLastColumn="0"/>
            <w:tcW w:w="4525" w:type="dxa"/>
          </w:tcPr>
          <w:p w14:paraId="72D175A1" w14:textId="19D050BF" w:rsidR="00CE5529" w:rsidRDefault="00CE5529" w:rsidP="00FB261F">
            <w:r w:rsidRPr="00CE5529">
              <w:t>1 x 10</w:t>
            </w:r>
            <w:r w:rsidRPr="00CE5529">
              <w:rPr>
                <w:vertAlign w:val="superscript"/>
              </w:rPr>
              <w:t>3</w:t>
            </w:r>
          </w:p>
        </w:tc>
        <w:tc>
          <w:tcPr>
            <w:tcW w:w="4525" w:type="dxa"/>
          </w:tcPr>
          <w:p w14:paraId="689A8E78" w14:textId="67FD142A" w:rsidR="00CE5529" w:rsidRDefault="00CE5529" w:rsidP="00FB261F">
            <w:pPr>
              <w:cnfStyle w:val="000000000000" w:firstRow="0" w:lastRow="0" w:firstColumn="0" w:lastColumn="0" w:oddVBand="0" w:evenVBand="0" w:oddHBand="0" w:evenHBand="0" w:firstRowFirstColumn="0" w:firstRowLastColumn="0" w:lastRowFirstColumn="0" w:lastRowLastColumn="0"/>
            </w:pPr>
            <w:r w:rsidRPr="00CE5529">
              <w:t>1,000</w:t>
            </w:r>
          </w:p>
        </w:tc>
      </w:tr>
      <w:tr w:rsidR="00CE5529" w14:paraId="050B355D" w14:textId="77777777" w:rsidTr="00CE5529">
        <w:tc>
          <w:tcPr>
            <w:cnfStyle w:val="001000000000" w:firstRow="0" w:lastRow="0" w:firstColumn="1" w:lastColumn="0" w:oddVBand="0" w:evenVBand="0" w:oddHBand="0" w:evenHBand="0" w:firstRowFirstColumn="0" w:firstRowLastColumn="0" w:lastRowFirstColumn="0" w:lastRowLastColumn="0"/>
            <w:tcW w:w="4525" w:type="dxa"/>
          </w:tcPr>
          <w:p w14:paraId="3B2364B3" w14:textId="73EDAA7E" w:rsidR="00CE5529" w:rsidRDefault="00CE5529" w:rsidP="00FB261F">
            <w:r w:rsidRPr="00CE5529">
              <w:t>1 x 10</w:t>
            </w:r>
            <w:r w:rsidRPr="00CE5529">
              <w:rPr>
                <w:vertAlign w:val="superscript"/>
              </w:rPr>
              <w:t>2.5</w:t>
            </w:r>
          </w:p>
        </w:tc>
        <w:tc>
          <w:tcPr>
            <w:tcW w:w="4525" w:type="dxa"/>
          </w:tcPr>
          <w:p w14:paraId="57DAEEE2" w14:textId="01D073D5" w:rsidR="00CE5529" w:rsidRDefault="00CE5529" w:rsidP="00FB261F">
            <w:pPr>
              <w:cnfStyle w:val="000000000000" w:firstRow="0" w:lastRow="0" w:firstColumn="0" w:lastColumn="0" w:oddVBand="0" w:evenVBand="0" w:oddHBand="0" w:evenHBand="0" w:firstRowFirstColumn="0" w:firstRowLastColumn="0" w:lastRowFirstColumn="0" w:lastRowLastColumn="0"/>
            </w:pPr>
            <w:r w:rsidRPr="00CE5529">
              <w:t>316</w:t>
            </w:r>
          </w:p>
        </w:tc>
      </w:tr>
      <w:tr w:rsidR="00CE5529" w14:paraId="1B6F6D62" w14:textId="77777777" w:rsidTr="00CE5529">
        <w:tc>
          <w:tcPr>
            <w:cnfStyle w:val="001000000000" w:firstRow="0" w:lastRow="0" w:firstColumn="1" w:lastColumn="0" w:oddVBand="0" w:evenVBand="0" w:oddHBand="0" w:evenHBand="0" w:firstRowFirstColumn="0" w:firstRowLastColumn="0" w:lastRowFirstColumn="0" w:lastRowLastColumn="0"/>
            <w:tcW w:w="4525" w:type="dxa"/>
          </w:tcPr>
          <w:p w14:paraId="1A0ADB6C" w14:textId="1D69E53F" w:rsidR="00CE5529" w:rsidRDefault="00CE5529" w:rsidP="00FB261F">
            <w:r w:rsidRPr="00CE5529">
              <w:t>1 x 10</w:t>
            </w:r>
            <w:r w:rsidRPr="00CE5529">
              <w:rPr>
                <w:vertAlign w:val="superscript"/>
              </w:rPr>
              <w:t>2</w:t>
            </w:r>
          </w:p>
        </w:tc>
        <w:tc>
          <w:tcPr>
            <w:tcW w:w="4525" w:type="dxa"/>
          </w:tcPr>
          <w:p w14:paraId="2D907F46" w14:textId="03714E38" w:rsidR="00CE5529" w:rsidRDefault="00CE5529" w:rsidP="00FB261F">
            <w:pPr>
              <w:cnfStyle w:val="000000000000" w:firstRow="0" w:lastRow="0" w:firstColumn="0" w:lastColumn="0" w:oddVBand="0" w:evenVBand="0" w:oddHBand="0" w:evenHBand="0" w:firstRowFirstColumn="0" w:firstRowLastColumn="0" w:lastRowFirstColumn="0" w:lastRowLastColumn="0"/>
            </w:pPr>
            <w:r w:rsidRPr="00CE5529">
              <w:t>100</w:t>
            </w:r>
          </w:p>
        </w:tc>
      </w:tr>
    </w:tbl>
    <w:p w14:paraId="5ECCA37E" w14:textId="77777777" w:rsidR="00FB261F" w:rsidRPr="00FB261F" w:rsidRDefault="00FB261F" w:rsidP="00FB261F"/>
    <w:p w14:paraId="4C15187B" w14:textId="0C50BB18" w:rsidR="006A65BC" w:rsidRPr="00E15929" w:rsidRDefault="006A65BC" w:rsidP="00B121C0">
      <w:pPr>
        <w:pStyle w:val="Heading3"/>
      </w:pPr>
      <w:bookmarkStart w:id="7" w:name="_Toc106793425"/>
      <w:r w:rsidRPr="00EE6498">
        <w:t xml:space="preserve">Test </w:t>
      </w:r>
      <w:r w:rsidR="00B121C0">
        <w:t>p</w:t>
      </w:r>
      <w:r w:rsidRPr="00EE6498">
        <w:t xml:space="preserve">arameters and </w:t>
      </w:r>
      <w:r w:rsidR="00B121C0">
        <w:t>s</w:t>
      </w:r>
      <w:r w:rsidRPr="00EE6498">
        <w:t>pecifications</w:t>
      </w:r>
      <w:bookmarkEnd w:id="7"/>
    </w:p>
    <w:p w14:paraId="6059053E" w14:textId="102632CE" w:rsidR="006A65BC" w:rsidRPr="003F3AFE" w:rsidRDefault="006A65BC" w:rsidP="006A65BC">
      <w:r w:rsidRPr="5DC1A702">
        <w:t xml:space="preserve">The manufacturer’s </w:t>
      </w:r>
      <w:r>
        <w:t xml:space="preserve">published </w:t>
      </w:r>
      <w:r w:rsidRPr="5DC1A702">
        <w:t xml:space="preserve">IFU, appropriate plasticware and equipment provided with the RAT kit, shall be used </w:t>
      </w:r>
      <w:r>
        <w:t xml:space="preserve">for </w:t>
      </w:r>
      <w:r w:rsidRPr="5DC1A702">
        <w:t>COVID-19 antigen testing.</w:t>
      </w:r>
    </w:p>
    <w:p w14:paraId="522AFE34" w14:textId="77777777" w:rsidR="006A65BC" w:rsidRDefault="006A65BC" w:rsidP="006A65BC">
      <w:r>
        <w:t>A</w:t>
      </w:r>
      <w:r w:rsidRPr="5DC1A702">
        <w:t xml:space="preserve"> positive and negative control shall be run as part of the testing process,</w:t>
      </w:r>
      <w:r>
        <w:t xml:space="preserve"> </w:t>
      </w:r>
      <w:r w:rsidRPr="5DC1A702">
        <w:t>as specified by the IFU.</w:t>
      </w:r>
    </w:p>
    <w:p w14:paraId="5666F332" w14:textId="2477CD53" w:rsidR="006A65BC" w:rsidRPr="00EE6498" w:rsidRDefault="006A65BC" w:rsidP="006A65BC">
      <w:pPr>
        <w:rPr>
          <w:color w:val="000000"/>
        </w:rPr>
      </w:pPr>
      <w:r w:rsidRPr="301E1786">
        <w:t xml:space="preserve">If the test kit has variable options, such as “squeeze reagent tube 5-10 times” or “rotate swab for 10-15 seconds”, the </w:t>
      </w:r>
      <w:r w:rsidRPr="7927D738">
        <w:t xml:space="preserve">option </w:t>
      </w:r>
      <w:r w:rsidRPr="28BF7F15">
        <w:t xml:space="preserve">which is </w:t>
      </w:r>
      <w:r w:rsidRPr="301E1786">
        <w:t xml:space="preserve">least stringent </w:t>
      </w:r>
      <w:r w:rsidRPr="28BF7F15">
        <w:t>for the user</w:t>
      </w:r>
      <w:r w:rsidRPr="301E1786">
        <w:t xml:space="preserve"> (such as squeezing the reagent tube 5 times or rotating the swab for 10 seconds</w:t>
      </w:r>
      <w:r>
        <w:t>)</w:t>
      </w:r>
      <w:r w:rsidRPr="301E1786">
        <w:t xml:space="preserve"> shall be selected and used for testing.</w:t>
      </w:r>
    </w:p>
    <w:p w14:paraId="468CAAFE" w14:textId="77777777" w:rsidR="006A65BC" w:rsidRPr="00AB760E" w:rsidRDefault="006A65BC" w:rsidP="006A65BC">
      <w:pPr>
        <w:rPr>
          <w:rFonts w:asciiTheme="minorHAnsi" w:hAnsiTheme="minorHAnsi"/>
        </w:rPr>
      </w:pPr>
      <w:r w:rsidRPr="7927D738">
        <w:rPr>
          <w:rFonts w:asciiTheme="minorHAnsi" w:hAnsiTheme="minorHAnsi"/>
        </w:rPr>
        <w:t xml:space="preserve">The application of the </w:t>
      </w:r>
      <w:r w:rsidRPr="313F4617">
        <w:rPr>
          <w:rFonts w:asciiTheme="minorHAnsi" w:hAnsiTheme="minorHAnsi"/>
        </w:rPr>
        <w:t>specimen is</w:t>
      </w:r>
      <w:r w:rsidRPr="7927D738">
        <w:rPr>
          <w:rFonts w:asciiTheme="minorHAnsi" w:hAnsiTheme="minorHAnsi"/>
        </w:rPr>
        <w:t xml:space="preserve"> dependent on the sample type (e.g</w:t>
      </w:r>
      <w:r w:rsidRPr="399C33A4">
        <w:rPr>
          <w:rFonts w:asciiTheme="minorHAnsi" w:hAnsiTheme="minorHAnsi"/>
        </w:rPr>
        <w:t>.</w:t>
      </w:r>
      <w:r w:rsidRPr="7927D738">
        <w:rPr>
          <w:rFonts w:asciiTheme="minorHAnsi" w:hAnsiTheme="minorHAnsi"/>
        </w:rPr>
        <w:t xml:space="preserve"> nasal or saliva) as specified by the manufacturer of the RAT, the design of the kit, and the </w:t>
      </w:r>
      <w:r>
        <w:rPr>
          <w:rFonts w:asciiTheme="minorHAnsi" w:hAnsiTheme="minorHAnsi"/>
        </w:rPr>
        <w:t xml:space="preserve">published </w:t>
      </w:r>
      <w:r w:rsidRPr="7927D738">
        <w:rPr>
          <w:rFonts w:asciiTheme="minorHAnsi" w:hAnsiTheme="minorHAnsi"/>
        </w:rPr>
        <w:t>IFU. For types of specimen applications, refer to Appendix A.</w:t>
      </w:r>
    </w:p>
    <w:p w14:paraId="1D88A658" w14:textId="77777777" w:rsidR="006A65BC" w:rsidRDefault="006A65BC" w:rsidP="006A65BC">
      <w:pPr>
        <w:rPr>
          <w:rFonts w:asciiTheme="minorHAnsi" w:hAnsiTheme="minorHAnsi"/>
        </w:rPr>
      </w:pPr>
      <w:r w:rsidRPr="00046770">
        <w:rPr>
          <w:rFonts w:asciiTheme="minorHAnsi" w:hAnsiTheme="minorHAnsi"/>
        </w:rPr>
        <w:t>The results of testing shall be read after the minimum time period, and within the given incubation window, in accordance with the published IFU (Incubation Time)</w:t>
      </w:r>
      <w:r>
        <w:rPr>
          <w:rFonts w:asciiTheme="minorHAnsi" w:hAnsiTheme="minorHAnsi"/>
        </w:rPr>
        <w:t xml:space="preserve"> and Scoring index in Table 2 below.  </w:t>
      </w:r>
      <w:r w:rsidRPr="5DF88BDD">
        <w:rPr>
          <w:rFonts w:asciiTheme="minorHAnsi" w:hAnsiTheme="minorHAnsi"/>
        </w:rPr>
        <w:t xml:space="preserve">An image of the test result and test device shall be taken </w:t>
      </w:r>
      <w:r>
        <w:rPr>
          <w:rFonts w:asciiTheme="minorHAnsi" w:hAnsiTheme="minorHAnsi"/>
        </w:rPr>
        <w:t>to accurately represent</w:t>
      </w:r>
      <w:r w:rsidRPr="5DF88BDD">
        <w:rPr>
          <w:rFonts w:asciiTheme="minorHAnsi" w:hAnsiTheme="minorHAnsi"/>
        </w:rPr>
        <w:t xml:space="preserve"> the </w:t>
      </w:r>
      <w:r>
        <w:rPr>
          <w:rFonts w:asciiTheme="minorHAnsi" w:hAnsiTheme="minorHAnsi"/>
        </w:rPr>
        <w:t xml:space="preserve">result within the </w:t>
      </w:r>
      <w:r w:rsidRPr="5DF88BDD">
        <w:rPr>
          <w:rFonts w:asciiTheme="minorHAnsi" w:hAnsiTheme="minorHAnsi"/>
        </w:rPr>
        <w:t>manufacturer’s stated Incubation Time.</w:t>
      </w:r>
    </w:p>
    <w:p w14:paraId="1E62502B" w14:textId="74CE2551" w:rsidR="006A65BC" w:rsidRDefault="006A65BC" w:rsidP="00B121C0">
      <w:pPr>
        <w:pStyle w:val="Tabletitle"/>
      </w:pPr>
      <w:r w:rsidRPr="00D014BA">
        <w:lastRenderedPageBreak/>
        <w:t>Table 2. Scoring of COVID-19 rapid antigen tests</w:t>
      </w:r>
    </w:p>
    <w:tbl>
      <w:tblPr>
        <w:tblStyle w:val="TableTGAblue"/>
        <w:tblW w:w="0" w:type="auto"/>
        <w:tblLook w:val="04A0" w:firstRow="1" w:lastRow="0" w:firstColumn="1" w:lastColumn="0" w:noHBand="0" w:noVBand="1"/>
      </w:tblPr>
      <w:tblGrid>
        <w:gridCol w:w="4525"/>
        <w:gridCol w:w="4525"/>
      </w:tblGrid>
      <w:tr w:rsidR="00CE5529" w14:paraId="4255CD1E" w14:textId="77777777" w:rsidTr="00CE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Pr>
          <w:p w14:paraId="70F22831" w14:textId="1694C89A" w:rsidR="00CE5529" w:rsidRDefault="00CE5529" w:rsidP="00CE5529">
            <w:r w:rsidRPr="00CE5529">
              <w:t>Scoring index</w:t>
            </w:r>
          </w:p>
        </w:tc>
        <w:tc>
          <w:tcPr>
            <w:tcW w:w="4525" w:type="dxa"/>
          </w:tcPr>
          <w:p w14:paraId="14FCD3CB" w14:textId="0B6CF528" w:rsidR="00CE5529" w:rsidRDefault="00CE5529" w:rsidP="00CE5529">
            <w:pPr>
              <w:cnfStyle w:val="100000000000" w:firstRow="1" w:lastRow="0" w:firstColumn="0" w:lastColumn="0" w:oddVBand="0" w:evenVBand="0" w:oddHBand="0" w:evenHBand="0" w:firstRowFirstColumn="0" w:firstRowLastColumn="0" w:lastRowFirstColumn="0" w:lastRowLastColumn="0"/>
            </w:pPr>
            <w:r w:rsidRPr="00CE5529">
              <w:t>Intensity reading scale</w:t>
            </w:r>
          </w:p>
        </w:tc>
      </w:tr>
      <w:tr w:rsidR="00CE5529" w14:paraId="611E7571" w14:textId="77777777" w:rsidTr="00CE5529">
        <w:tc>
          <w:tcPr>
            <w:cnfStyle w:val="001000000000" w:firstRow="0" w:lastRow="0" w:firstColumn="1" w:lastColumn="0" w:oddVBand="0" w:evenVBand="0" w:oddHBand="0" w:evenHBand="0" w:firstRowFirstColumn="0" w:firstRowLastColumn="0" w:lastRowFirstColumn="0" w:lastRowLastColumn="0"/>
            <w:tcW w:w="4525" w:type="dxa"/>
          </w:tcPr>
          <w:p w14:paraId="70AABE7A" w14:textId="0E5D64F8" w:rsidR="00CE5529" w:rsidRDefault="00FC2716" w:rsidP="00CE5529">
            <w:r>
              <w:t>0</w:t>
            </w:r>
          </w:p>
        </w:tc>
        <w:tc>
          <w:tcPr>
            <w:tcW w:w="4525" w:type="dxa"/>
          </w:tcPr>
          <w:p w14:paraId="615A5291" w14:textId="39A851F0" w:rsidR="00CE5529" w:rsidRDefault="00FC2716" w:rsidP="00CE5529">
            <w:pPr>
              <w:cnfStyle w:val="000000000000" w:firstRow="0" w:lastRow="0" w:firstColumn="0" w:lastColumn="0" w:oddVBand="0" w:evenVBand="0" w:oddHBand="0" w:evenHBand="0" w:firstRowFirstColumn="0" w:firstRowLastColumn="0" w:lastRowFirstColumn="0" w:lastRowLastColumn="0"/>
            </w:pPr>
            <w:r w:rsidRPr="00FC2716">
              <w:t>Non-reactive</w:t>
            </w:r>
          </w:p>
        </w:tc>
      </w:tr>
      <w:tr w:rsidR="00CE5529" w14:paraId="7DA01239" w14:textId="77777777" w:rsidTr="00CE5529">
        <w:tc>
          <w:tcPr>
            <w:cnfStyle w:val="001000000000" w:firstRow="0" w:lastRow="0" w:firstColumn="1" w:lastColumn="0" w:oddVBand="0" w:evenVBand="0" w:oddHBand="0" w:evenHBand="0" w:firstRowFirstColumn="0" w:firstRowLastColumn="0" w:lastRowFirstColumn="0" w:lastRowLastColumn="0"/>
            <w:tcW w:w="4525" w:type="dxa"/>
          </w:tcPr>
          <w:p w14:paraId="688C580D" w14:textId="2FF725E2" w:rsidR="00CE5529" w:rsidRDefault="00FC2716" w:rsidP="00CE5529">
            <w:r>
              <w:t>1</w:t>
            </w:r>
          </w:p>
        </w:tc>
        <w:tc>
          <w:tcPr>
            <w:tcW w:w="4525" w:type="dxa"/>
          </w:tcPr>
          <w:p w14:paraId="6B1AC90E" w14:textId="2FF45072" w:rsidR="00CE5529" w:rsidRDefault="00FC2716" w:rsidP="00CE5529">
            <w:pPr>
              <w:cnfStyle w:val="000000000000" w:firstRow="0" w:lastRow="0" w:firstColumn="0" w:lastColumn="0" w:oddVBand="0" w:evenVBand="0" w:oddHBand="0" w:evenHBand="0" w:firstRowFirstColumn="0" w:firstRowLastColumn="0" w:lastRowFirstColumn="0" w:lastRowLastColumn="0"/>
            </w:pPr>
            <w:r w:rsidRPr="00FC2716">
              <w:t>Very Weak</w:t>
            </w:r>
          </w:p>
        </w:tc>
      </w:tr>
      <w:tr w:rsidR="00CE5529" w14:paraId="1A86E60E" w14:textId="77777777" w:rsidTr="00CE5529">
        <w:tc>
          <w:tcPr>
            <w:cnfStyle w:val="001000000000" w:firstRow="0" w:lastRow="0" w:firstColumn="1" w:lastColumn="0" w:oddVBand="0" w:evenVBand="0" w:oddHBand="0" w:evenHBand="0" w:firstRowFirstColumn="0" w:firstRowLastColumn="0" w:lastRowFirstColumn="0" w:lastRowLastColumn="0"/>
            <w:tcW w:w="4525" w:type="dxa"/>
          </w:tcPr>
          <w:p w14:paraId="00E80388" w14:textId="159063D3" w:rsidR="00CE5529" w:rsidRDefault="00FC2716" w:rsidP="00CE5529">
            <w:r>
              <w:t>2</w:t>
            </w:r>
          </w:p>
        </w:tc>
        <w:tc>
          <w:tcPr>
            <w:tcW w:w="4525" w:type="dxa"/>
          </w:tcPr>
          <w:p w14:paraId="5FDC1E65" w14:textId="06445B02" w:rsidR="00CE5529" w:rsidRDefault="00FC2716" w:rsidP="00CE5529">
            <w:pPr>
              <w:cnfStyle w:val="000000000000" w:firstRow="0" w:lastRow="0" w:firstColumn="0" w:lastColumn="0" w:oddVBand="0" w:evenVBand="0" w:oddHBand="0" w:evenHBand="0" w:firstRowFirstColumn="0" w:firstRowLastColumn="0" w:lastRowFirstColumn="0" w:lastRowLastColumn="0"/>
            </w:pPr>
            <w:r w:rsidRPr="00FC2716">
              <w:t>Weak</w:t>
            </w:r>
          </w:p>
        </w:tc>
      </w:tr>
      <w:tr w:rsidR="00CE5529" w14:paraId="54F9EB0F" w14:textId="77777777" w:rsidTr="00CE5529">
        <w:tc>
          <w:tcPr>
            <w:cnfStyle w:val="001000000000" w:firstRow="0" w:lastRow="0" w:firstColumn="1" w:lastColumn="0" w:oddVBand="0" w:evenVBand="0" w:oddHBand="0" w:evenHBand="0" w:firstRowFirstColumn="0" w:firstRowLastColumn="0" w:lastRowFirstColumn="0" w:lastRowLastColumn="0"/>
            <w:tcW w:w="4525" w:type="dxa"/>
          </w:tcPr>
          <w:p w14:paraId="44347277" w14:textId="5F524754" w:rsidR="00CE5529" w:rsidRDefault="00FC2716" w:rsidP="00CE5529">
            <w:r>
              <w:t>3</w:t>
            </w:r>
          </w:p>
        </w:tc>
        <w:tc>
          <w:tcPr>
            <w:tcW w:w="4525" w:type="dxa"/>
          </w:tcPr>
          <w:p w14:paraId="2B180EBB" w14:textId="0ED39CDE" w:rsidR="00CE5529" w:rsidRDefault="00FC2716" w:rsidP="00CE5529">
            <w:pPr>
              <w:cnfStyle w:val="000000000000" w:firstRow="0" w:lastRow="0" w:firstColumn="0" w:lastColumn="0" w:oddVBand="0" w:evenVBand="0" w:oddHBand="0" w:evenHBand="0" w:firstRowFirstColumn="0" w:firstRowLastColumn="0" w:lastRowFirstColumn="0" w:lastRowLastColumn="0"/>
            </w:pPr>
            <w:r w:rsidRPr="00FC2716">
              <w:t>Medium to Strong Reactivity</w:t>
            </w:r>
          </w:p>
        </w:tc>
      </w:tr>
    </w:tbl>
    <w:p w14:paraId="47B7DC9A" w14:textId="77777777" w:rsidR="006A65BC" w:rsidRDefault="006A65BC" w:rsidP="006A65BC">
      <w:pPr>
        <w:autoSpaceDE w:val="0"/>
        <w:autoSpaceDN w:val="0"/>
        <w:adjustRightInd w:val="0"/>
        <w:spacing w:after="0" w:line="240" w:lineRule="auto"/>
        <w:rPr>
          <w:rFonts w:eastAsiaTheme="minorEastAsia" w:cstheme="minorBidi"/>
          <w:color w:val="000000"/>
          <w:sz w:val="23"/>
          <w:szCs w:val="23"/>
        </w:rPr>
      </w:pPr>
    </w:p>
    <w:p w14:paraId="7396DAE8" w14:textId="35FE5CDE" w:rsidR="006A65BC" w:rsidRDefault="006A65BC" w:rsidP="00B121C0">
      <w:pPr>
        <w:pStyle w:val="Heading3"/>
      </w:pPr>
      <w:bookmarkStart w:id="8" w:name="_Toc106793426"/>
      <w:r>
        <w:t xml:space="preserve">Test </w:t>
      </w:r>
      <w:r w:rsidR="00B121C0">
        <w:t>a</w:t>
      </w:r>
      <w:r>
        <w:t>cceptance</w:t>
      </w:r>
      <w:bookmarkEnd w:id="8"/>
    </w:p>
    <w:p w14:paraId="7D58E3C0" w14:textId="77777777" w:rsidR="006A65BC" w:rsidRDefault="006A65BC" w:rsidP="006A65BC">
      <w:r w:rsidRPr="5DF88BDD">
        <w:t xml:space="preserve">For a RAT kit to be deemed acceptably verified, 95% of RAT kit results shall be reactive (scoring index ≥1) (Table </w:t>
      </w:r>
      <w:r>
        <w:t>2</w:t>
      </w:r>
      <w:r w:rsidRPr="5DF88BDD">
        <w:t>) at less than or equal to 1000 TCID</w:t>
      </w:r>
      <w:r w:rsidRPr="5DF88BDD">
        <w:rPr>
          <w:color w:val="002C47" w:themeColor="text1"/>
          <w:vertAlign w:val="subscript"/>
        </w:rPr>
        <w:t>50</w:t>
      </w:r>
      <w:r w:rsidRPr="5DF88BDD">
        <w:t>/mL (95% Reactive ≤ 1000 TCID</w:t>
      </w:r>
      <w:r w:rsidRPr="5DF88BDD">
        <w:rPr>
          <w:color w:val="002C47" w:themeColor="text1"/>
          <w:vertAlign w:val="subscript"/>
        </w:rPr>
        <w:t>50</w:t>
      </w:r>
      <w:r w:rsidRPr="5DF88BDD">
        <w:t>/mL). The dilution at which the RAT yields ≥ 95% reactive results, must be tested with a minimum of 20 replicates from the same batch.</w:t>
      </w:r>
    </w:p>
    <w:p w14:paraId="106B1784" w14:textId="77777777" w:rsidR="006A65BC" w:rsidRDefault="006A65BC" w:rsidP="00B121C0">
      <w:pPr>
        <w:pStyle w:val="Heading3"/>
      </w:pPr>
      <w:bookmarkStart w:id="9" w:name="_Toc106793427"/>
      <w:r>
        <w:t>Reporting</w:t>
      </w:r>
      <w:bookmarkEnd w:id="9"/>
    </w:p>
    <w:p w14:paraId="7771E317" w14:textId="2E52794C" w:rsidR="006A65BC" w:rsidRDefault="006A65BC" w:rsidP="00D014BA">
      <w:pPr>
        <w:rPr>
          <w:rFonts w:eastAsia="Calibri"/>
          <w:color w:val="002C47" w:themeColor="text1"/>
        </w:rPr>
      </w:pPr>
      <w:r w:rsidRPr="2EE06CA9">
        <w:t>The following information shall be reported:</w:t>
      </w:r>
    </w:p>
    <w:p w14:paraId="6721D5C6" w14:textId="10FCC666" w:rsidR="006A65BC" w:rsidRPr="00EC4A41" w:rsidRDefault="006A65BC" w:rsidP="00B121C0">
      <w:pPr>
        <w:pStyle w:val="ListBullet"/>
      </w:pPr>
      <w:r w:rsidRPr="00EC4A41">
        <w:t>number of test specimens assessed, report date/date of testing, label name of RAT kit being analysed, manufacturer’s name, Australian Sponsor name, RAT lot/batch numbers, expiry date, RAT kit IFU version, virus lineage and isolate, and number of invalid test results.</w:t>
      </w:r>
    </w:p>
    <w:p w14:paraId="181306D7" w14:textId="77777777" w:rsidR="006A65BC" w:rsidRPr="00EC4A41" w:rsidRDefault="006A65BC" w:rsidP="00B121C0">
      <w:pPr>
        <w:pStyle w:val="ListBullet"/>
      </w:pPr>
      <w:r w:rsidRPr="00EC4A41">
        <w:t>any deviations from the manufacturers published IFU during testing.</w:t>
      </w:r>
    </w:p>
    <w:p w14:paraId="2CFA2DE3" w14:textId="77777777" w:rsidR="006A65BC" w:rsidRPr="00EC4A41" w:rsidRDefault="006A65BC" w:rsidP="00B121C0">
      <w:pPr>
        <w:pStyle w:val="ListBullet"/>
      </w:pPr>
      <w:r w:rsidRPr="00EC4A41">
        <w:t>any deviations from the requirements listed in this document.</w:t>
      </w:r>
    </w:p>
    <w:p w14:paraId="14BF37C2" w14:textId="77777777" w:rsidR="006A65BC" w:rsidRPr="00EC4A41" w:rsidRDefault="006A65BC" w:rsidP="00B121C0">
      <w:pPr>
        <w:pStyle w:val="ListBullet"/>
        <w:rPr>
          <w:rFonts w:eastAsia="Calibri"/>
        </w:rPr>
      </w:pPr>
      <w:r w:rsidRPr="00EC4A41">
        <w:rPr>
          <w:rFonts w:eastAsia="Calibri"/>
        </w:rPr>
        <w:t>The results of the analysis including the following:</w:t>
      </w:r>
    </w:p>
    <w:p w14:paraId="06CABC3C" w14:textId="77777777" w:rsidR="006A65BC" w:rsidRPr="00EC4A41" w:rsidRDefault="006A65BC" w:rsidP="00B121C0">
      <w:pPr>
        <w:pStyle w:val="ListBullet2"/>
      </w:pPr>
      <w:r w:rsidRPr="00EC4A41">
        <w:t>The percentage of reactive tests at less than or equal to 1000 TCID</w:t>
      </w:r>
      <w:r w:rsidRPr="00EC4A41">
        <w:rPr>
          <w:rFonts w:eastAsiaTheme="minorEastAsia" w:cstheme="minorBidi"/>
          <w:vertAlign w:val="subscript"/>
        </w:rPr>
        <w:t>50</w:t>
      </w:r>
      <w:r w:rsidRPr="00EC4A41">
        <w:t>/mL</w:t>
      </w:r>
    </w:p>
    <w:p w14:paraId="2AA40A76" w14:textId="77777777" w:rsidR="006A65BC" w:rsidRPr="00EC4A41" w:rsidRDefault="006A65BC" w:rsidP="00B121C0">
      <w:pPr>
        <w:pStyle w:val="ListBullet2"/>
        <w:rPr>
          <w:rFonts w:eastAsia="Calibri"/>
        </w:rPr>
      </w:pPr>
      <w:r w:rsidRPr="00EC4A41">
        <w:t>The results of the chosen dilution series.</w:t>
      </w:r>
    </w:p>
    <w:p w14:paraId="72322156" w14:textId="77777777" w:rsidR="006A65BC" w:rsidRDefault="006A65BC" w:rsidP="006A65BC">
      <w:pPr>
        <w:spacing w:before="0" w:after="160" w:line="259" w:lineRule="auto"/>
        <w:rPr>
          <w:rFonts w:ascii="Arial" w:eastAsia="Times New Roman" w:hAnsi="Arial"/>
          <w:b/>
          <w:bCs/>
          <w:sz w:val="36"/>
          <w:szCs w:val="48"/>
        </w:rPr>
      </w:pPr>
      <w:r>
        <w:br w:type="page"/>
      </w:r>
    </w:p>
    <w:p w14:paraId="0835E398" w14:textId="77777777" w:rsidR="006A65BC" w:rsidRDefault="006A65BC" w:rsidP="00B121C0">
      <w:pPr>
        <w:pStyle w:val="Heading3"/>
      </w:pPr>
      <w:bookmarkStart w:id="10" w:name="_Toc106793428"/>
      <w:r>
        <w:lastRenderedPageBreak/>
        <w:t>Appendix A (informative)</w:t>
      </w:r>
      <w:bookmarkEnd w:id="10"/>
    </w:p>
    <w:p w14:paraId="166901BB" w14:textId="77777777" w:rsidR="006A65BC" w:rsidRDefault="006A65BC" w:rsidP="00C7784F">
      <w:r w:rsidRPr="48613F78">
        <w:t>Specimen</w:t>
      </w:r>
      <w:r w:rsidRPr="7A2B416B">
        <w:t xml:space="preserve"> collection types</w:t>
      </w:r>
      <w:r w:rsidRPr="38FFB4C1">
        <w:t xml:space="preserve"> and </w:t>
      </w:r>
      <w:r w:rsidRPr="28C54A49">
        <w:t xml:space="preserve">specimen </w:t>
      </w:r>
      <w:r w:rsidRPr="336086FA">
        <w:t>preparation</w:t>
      </w:r>
      <w:r w:rsidRPr="7A2B416B">
        <w:t>:</w:t>
      </w:r>
    </w:p>
    <w:p w14:paraId="55742FA9" w14:textId="556E4E40" w:rsidR="006A65BC" w:rsidRDefault="006A65BC" w:rsidP="00B121C0">
      <w:pPr>
        <w:pStyle w:val="Heading4"/>
      </w:pPr>
      <w:bookmarkStart w:id="11" w:name="_Toc106793429"/>
      <w:r w:rsidRPr="2EE06CA9">
        <w:t>Swabs</w:t>
      </w:r>
      <w:bookmarkEnd w:id="11"/>
    </w:p>
    <w:p w14:paraId="6555403B" w14:textId="77777777" w:rsidR="006A65BC" w:rsidRDefault="006A65BC" w:rsidP="00B121C0">
      <w:pPr>
        <w:pStyle w:val="ListBullet"/>
      </w:pPr>
      <w:r w:rsidRPr="2EE06CA9">
        <w:t>The swab or sample applicator provided in the kit is inserted into the relevant testing sample allowing for the swab to absorb the sample volume through capillary action.</w:t>
      </w:r>
    </w:p>
    <w:p w14:paraId="128E0F79" w14:textId="77777777" w:rsidR="006A65BC" w:rsidRDefault="006A65BC" w:rsidP="00B121C0">
      <w:pPr>
        <w:pStyle w:val="ListBullet"/>
      </w:pPr>
      <w:r w:rsidRPr="2EE06CA9">
        <w:t>The swab is then immersed in the manufacturer-provided extraction buffer, and the eluted material is applied to the RAT kit in the manner specified in the manufacturer’s IFU.</w:t>
      </w:r>
    </w:p>
    <w:p w14:paraId="6EF447FB" w14:textId="042E6E16" w:rsidR="006A65BC" w:rsidRDefault="006A65BC" w:rsidP="00B121C0">
      <w:pPr>
        <w:pStyle w:val="Heading4"/>
      </w:pPr>
      <w:bookmarkStart w:id="12" w:name="_Toc106793430"/>
      <w:r w:rsidRPr="2EE06CA9">
        <w:t>Saliva</w:t>
      </w:r>
      <w:bookmarkEnd w:id="12"/>
    </w:p>
    <w:p w14:paraId="2C7A5CC6" w14:textId="50D7B1D4" w:rsidR="006A65BC" w:rsidRPr="00D014BA" w:rsidRDefault="006A65BC" w:rsidP="00B121C0">
      <w:pPr>
        <w:pStyle w:val="ListBullet"/>
        <w:rPr>
          <w:color w:val="002C47" w:themeColor="text1"/>
        </w:rPr>
      </w:pPr>
      <w:r w:rsidRPr="2EE06CA9">
        <w:t>The Saliva Testing Panel sample is transferred to the sample collection device provided in the kit. The manufacturer-provided extraction buffer is then added to the sample collection device and allowed to mix with the sample in the manner specified by the manufacturer’s IFU and then applied to the RAT device.</w:t>
      </w:r>
    </w:p>
    <w:p w14:paraId="6D45E3AE" w14:textId="6ED9D845" w:rsidR="006A65BC" w:rsidRPr="00D014BA" w:rsidRDefault="006A65BC" w:rsidP="00B121C0">
      <w:pPr>
        <w:pStyle w:val="ListBullet"/>
        <w:rPr>
          <w:color w:val="002C47" w:themeColor="text1"/>
        </w:rPr>
      </w:pPr>
      <w:r w:rsidRPr="2EE06CA9">
        <w:t>The test device provided in the kit is inserted into the relevant Saliva Testing Panel sample allowing for the sample to be absorbed through capillary action. The test device is then</w:t>
      </w:r>
      <w:r w:rsidR="00C7784F">
        <w:t xml:space="preserve"> </w:t>
      </w:r>
      <w:r w:rsidRPr="2EE06CA9">
        <w:t>inserted into the manufacturer-provided buffer as specified by the IFU.</w:t>
      </w:r>
    </w:p>
    <w:p w14:paraId="2D3C7C8E" w14:textId="6FE3403D" w:rsidR="006A65BC" w:rsidRPr="00D014BA" w:rsidRDefault="006A65BC" w:rsidP="00B121C0">
      <w:pPr>
        <w:pStyle w:val="ListBullet"/>
        <w:rPr>
          <w:color w:val="002C47" w:themeColor="text1"/>
        </w:rPr>
      </w:pPr>
      <w:r w:rsidRPr="2EE06CA9">
        <w:t>The sample collection sponge provided in the kit is inserted into the relevant Saliva Testing Panel sample allowing for the sample to be absorbed through capillary action. The sponge is then inserted into the RAT device as specified by the IFU.</w:t>
      </w:r>
    </w:p>
    <w:p w14:paraId="04830E42" w14:textId="7DCDFA03" w:rsidR="00B121C0" w:rsidRDefault="00B121C0">
      <w:pPr>
        <w:spacing w:before="0" w:after="0" w:line="240" w:lineRule="auto"/>
        <w:rPr>
          <w:rFonts w:eastAsiaTheme="minorEastAsia" w:cstheme="minorBidi"/>
          <w:sz w:val="23"/>
          <w:szCs w:val="23"/>
        </w:rPr>
      </w:pPr>
      <w:r>
        <w:rPr>
          <w:rFonts w:eastAsiaTheme="minorEastAsia" w:cstheme="minorBidi"/>
          <w:sz w:val="23"/>
          <w:szCs w:val="23"/>
        </w:rPr>
        <w:br w:type="page"/>
      </w:r>
    </w:p>
    <w:p w14:paraId="301B1D3A" w14:textId="77777777" w:rsidR="001A3190" w:rsidRPr="00215D48" w:rsidRDefault="001A3190" w:rsidP="00B121C0">
      <w:pPr>
        <w:pStyle w:val="Heading3"/>
      </w:pPr>
      <w:bookmarkStart w:id="13" w:name="_Toc106793431"/>
      <w:r w:rsidRPr="00215D48">
        <w:lastRenderedPageBreak/>
        <w:t>Version history</w:t>
      </w:r>
      <w:bookmarkEnd w:id="13"/>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079B39BF" w14:textId="77777777"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1B3D036D" w14:textId="77777777" w:rsidR="001A3190" w:rsidRPr="00215D48" w:rsidRDefault="001A3190" w:rsidP="00B33C56">
            <w:bookmarkStart w:id="14" w:name="ColumnTitle_4"/>
            <w:r w:rsidRPr="00215D48">
              <w:t>Version</w:t>
            </w:r>
          </w:p>
        </w:tc>
        <w:tc>
          <w:tcPr>
            <w:tcW w:w="3242" w:type="dxa"/>
          </w:tcPr>
          <w:p w14:paraId="0EB93FC5"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73D033DE"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1562BA8C"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4"/>
      <w:tr w:rsidR="001A3190" w:rsidRPr="00215D48" w14:paraId="18A2ACDC"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903004B" w14:textId="77777777" w:rsidR="001A3190" w:rsidRPr="00215D48" w:rsidRDefault="001A3190" w:rsidP="00B33C56">
            <w:r w:rsidRPr="00215D48">
              <w:t>V1.0</w:t>
            </w:r>
          </w:p>
        </w:tc>
        <w:tc>
          <w:tcPr>
            <w:tcW w:w="3242" w:type="dxa"/>
          </w:tcPr>
          <w:p w14:paraId="332F2805" w14:textId="364AB532" w:rsidR="001A3190" w:rsidRPr="00215D48" w:rsidRDefault="001A3190" w:rsidP="00B33C56">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331F1B70" w14:textId="1FBB7772" w:rsidR="001A3190" w:rsidRPr="00215D48" w:rsidRDefault="00C7784F" w:rsidP="00C7784F">
            <w:pPr>
              <w:cnfStyle w:val="000000000000" w:firstRow="0" w:lastRow="0" w:firstColumn="0" w:lastColumn="0" w:oddVBand="0" w:evenVBand="0" w:oddHBand="0" w:evenHBand="0" w:firstRowFirstColumn="0" w:firstRowLastColumn="0" w:lastRowFirstColumn="0" w:lastRowLastColumn="0"/>
            </w:pPr>
            <w:r>
              <w:t xml:space="preserve">IVD Stream | Biomaterials and Engineering </w:t>
            </w:r>
            <w:r w:rsidR="001A3190" w:rsidRPr="00215D48">
              <w:t>Section</w:t>
            </w:r>
            <w:r>
              <w:t xml:space="preserve"> | Laboratories Branch</w:t>
            </w:r>
          </w:p>
        </w:tc>
        <w:tc>
          <w:tcPr>
            <w:tcW w:w="1808" w:type="dxa"/>
          </w:tcPr>
          <w:p w14:paraId="4B6C6670" w14:textId="15AD35D0" w:rsidR="001A3190" w:rsidRPr="00215D48" w:rsidRDefault="00C7784F" w:rsidP="00926B0E">
            <w:pPr>
              <w:cnfStyle w:val="000000000000" w:firstRow="0" w:lastRow="0" w:firstColumn="0" w:lastColumn="0" w:oddVBand="0" w:evenVBand="0" w:oddHBand="0" w:evenHBand="0" w:firstRowFirstColumn="0" w:firstRowLastColumn="0" w:lastRowFirstColumn="0" w:lastRowLastColumn="0"/>
            </w:pPr>
            <w:r>
              <w:t>3 June 2022</w:t>
            </w:r>
          </w:p>
        </w:tc>
      </w:tr>
    </w:tbl>
    <w:p w14:paraId="33CE230E" w14:textId="77777777" w:rsidR="00F401EF" w:rsidRPr="00215D48" w:rsidRDefault="00F401EF" w:rsidP="00706634">
      <w:pPr>
        <w:spacing w:before="0" w:after="0" w:line="240" w:lineRule="auto"/>
        <w:rPr>
          <w:sz w:val="20"/>
        </w:rPr>
        <w:sectPr w:rsidR="00F401EF" w:rsidRPr="00215D48" w:rsidSect="0029069E">
          <w:headerReference w:type="default" r:id="rId13"/>
          <w:footerReference w:type="default" r:id="rId14"/>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1CEDCC4E" w14:textId="77777777" w:rsidTr="00564BBE">
        <w:trPr>
          <w:trHeight w:hRule="exact" w:val="565"/>
          <w:jc w:val="center"/>
        </w:trPr>
        <w:tc>
          <w:tcPr>
            <w:tcW w:w="9145" w:type="dxa"/>
          </w:tcPr>
          <w:p w14:paraId="06238D3B" w14:textId="77777777" w:rsidR="00C50E5C" w:rsidRPr="00215D48" w:rsidRDefault="00C50E5C" w:rsidP="00564BBE">
            <w:pPr>
              <w:pStyle w:val="TGASignoff"/>
            </w:pPr>
            <w:r w:rsidRPr="00215D48">
              <w:lastRenderedPageBreak/>
              <w:t>Therapeutic Goods Administration</w:t>
            </w:r>
          </w:p>
        </w:tc>
      </w:tr>
      <w:tr w:rsidR="00C50E5C" w:rsidRPr="00215D48" w14:paraId="18423840" w14:textId="77777777" w:rsidTr="00564BBE">
        <w:trPr>
          <w:trHeight w:val="963"/>
          <w:jc w:val="center"/>
        </w:trPr>
        <w:tc>
          <w:tcPr>
            <w:tcW w:w="9145" w:type="dxa"/>
            <w:tcMar>
              <w:top w:w="28" w:type="dxa"/>
            </w:tcMar>
          </w:tcPr>
          <w:p w14:paraId="69C384D4" w14:textId="77777777" w:rsidR="00C50E5C" w:rsidRPr="00215D48" w:rsidRDefault="00C50E5C" w:rsidP="00EB5622">
            <w:pPr>
              <w:pStyle w:val="Address"/>
              <w:jc w:val="center"/>
            </w:pPr>
            <w:r w:rsidRPr="00215D48">
              <w:t>PO Box 100 Woden ACT 2606 Australia</w:t>
            </w:r>
          </w:p>
          <w:p w14:paraId="0CCBB793" w14:textId="77777777" w:rsidR="001A3190" w:rsidRDefault="00C50E5C">
            <w:pPr>
              <w:pStyle w:val="Address"/>
              <w:jc w:val="center"/>
              <w:rPr>
                <w:sz w:val="22"/>
                <w:szCs w:val="22"/>
              </w:rPr>
            </w:pPr>
            <w:r w:rsidRPr="00215D48">
              <w:t xml:space="preserve">Email: </w:t>
            </w:r>
            <w:hyperlink r:id="rId15" w:history="1">
              <w:r w:rsidRPr="00215D48">
                <w:rPr>
                  <w:rStyle w:val="Hyperlink"/>
                </w:rPr>
                <w:t>info@tga.gov.au</w:t>
              </w:r>
            </w:hyperlink>
            <w:r w:rsidRPr="00215D48">
              <w:t xml:space="preserve">  Phone: 1800 020 653  Fax: </w:t>
            </w:r>
            <w:r w:rsidR="001A3190" w:rsidRPr="00BA0DFC">
              <w:t>02 6203 1605</w:t>
            </w:r>
          </w:p>
          <w:p w14:paraId="7E4E2DDB" w14:textId="77777777" w:rsidR="00C50E5C" w:rsidRPr="00215D48" w:rsidRDefault="00FC2716">
            <w:pPr>
              <w:pStyle w:val="Address"/>
              <w:jc w:val="center"/>
              <w:rPr>
                <w:rStyle w:val="Hyperlink"/>
                <w:b/>
                <w:color w:val="auto"/>
                <w:sz w:val="22"/>
                <w:u w:val="none"/>
              </w:rPr>
            </w:pPr>
            <w:hyperlink r:id="rId16" w:history="1">
              <w:r w:rsidR="00215D48" w:rsidRPr="00C4721A">
                <w:rPr>
                  <w:rStyle w:val="Hyperlink"/>
                  <w:b/>
                </w:rPr>
                <w:t>https://www.tga.gov.au</w:t>
              </w:r>
            </w:hyperlink>
          </w:p>
        </w:tc>
      </w:tr>
    </w:tbl>
    <w:p w14:paraId="238837CD" w14:textId="77777777" w:rsidR="00706634" w:rsidRPr="00215D48" w:rsidRDefault="00706634" w:rsidP="004A3084">
      <w:pPr>
        <w:rPr>
          <w:sz w:val="20"/>
        </w:rPr>
      </w:pPr>
    </w:p>
    <w:sectPr w:rsidR="00706634" w:rsidRPr="00215D48" w:rsidSect="0029069E">
      <w:headerReference w:type="first" r:id="rId17"/>
      <w:footerReference w:type="first" r:id="rId1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86898" w14:textId="77777777" w:rsidR="00736AE8" w:rsidRDefault="00736AE8" w:rsidP="00C40A36">
      <w:pPr>
        <w:spacing w:after="0"/>
      </w:pPr>
      <w:r>
        <w:separator/>
      </w:r>
    </w:p>
  </w:endnote>
  <w:endnote w:type="continuationSeparator" w:id="0">
    <w:p w14:paraId="32091E54" w14:textId="77777777" w:rsidR="00736AE8" w:rsidRDefault="00736AE8"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44C4A5D0" w14:textId="77777777" w:rsidTr="000B30E5">
      <w:trPr>
        <w:trHeight w:val="423"/>
      </w:trPr>
      <w:tc>
        <w:tcPr>
          <w:tcW w:w="4360" w:type="dxa"/>
          <w:tcBorders>
            <w:top w:val="single" w:sz="4" w:space="0" w:color="auto"/>
          </w:tcBorders>
        </w:tcPr>
        <w:p w14:paraId="23F89049" w14:textId="77777777" w:rsidR="00A77452" w:rsidRDefault="00A77452" w:rsidP="000B30E5">
          <w:pPr>
            <w:pStyle w:val="Footer"/>
          </w:pPr>
        </w:p>
        <w:p w14:paraId="11C40515"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2803B1D3" w14:textId="77777777" w:rsidR="00A77452" w:rsidRDefault="00A77452" w:rsidP="000B30E5">
              <w:pPr>
                <w:pStyle w:val="Footer"/>
                <w:jc w:val="right"/>
              </w:pPr>
            </w:p>
            <w:p w14:paraId="30C9B229"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FC2716">
                <w:fldChar w:fldCharType="begin"/>
              </w:r>
              <w:r w:rsidR="00FC2716">
                <w:instrText xml:space="preserve"> NUMPAGES  </w:instrText>
              </w:r>
              <w:r w:rsidR="00FC2716">
                <w:fldChar w:fldCharType="separate"/>
              </w:r>
              <w:r w:rsidR="00EB6CAF">
                <w:rPr>
                  <w:noProof/>
                </w:rPr>
                <w:t>2</w:t>
              </w:r>
              <w:r w:rsidR="00FC2716">
                <w:rPr>
                  <w:noProof/>
                </w:rPr>
                <w:fldChar w:fldCharType="end"/>
              </w:r>
            </w:p>
          </w:sdtContent>
        </w:sdt>
      </w:tc>
    </w:tr>
    <w:tr w:rsidR="00A77452" w:rsidRPr="00257138" w14:paraId="342B2F5D" w14:textId="77777777" w:rsidTr="000B30E5">
      <w:trPr>
        <w:trHeight w:val="263"/>
      </w:trPr>
      <w:tc>
        <w:tcPr>
          <w:tcW w:w="4360" w:type="dxa"/>
        </w:tcPr>
        <w:p w14:paraId="4719EB03"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4859B2BF" w14:textId="77777777" w:rsidR="00A77452" w:rsidRPr="00257138" w:rsidRDefault="00A77452" w:rsidP="000B30E5">
          <w:pPr>
            <w:pStyle w:val="Footer"/>
            <w:jc w:val="right"/>
          </w:pPr>
        </w:p>
      </w:tc>
    </w:tr>
  </w:tbl>
  <w:p w14:paraId="77C4E4CA"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53C13"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12C049C8" w14:textId="77777777" w:rsidTr="00030D34">
      <w:trPr>
        <w:trHeight w:val="423"/>
      </w:trPr>
      <w:tc>
        <w:tcPr>
          <w:tcW w:w="7338" w:type="dxa"/>
          <w:tcBorders>
            <w:top w:val="single" w:sz="4" w:space="0" w:color="auto"/>
          </w:tcBorders>
        </w:tcPr>
        <w:p w14:paraId="020773EF" w14:textId="0077C5D3" w:rsidR="00A77452" w:rsidRPr="00C7784F" w:rsidRDefault="00C7784F" w:rsidP="00F54CA9">
          <w:pPr>
            <w:pStyle w:val="Footer"/>
          </w:pPr>
          <w:r w:rsidRPr="00C7784F">
            <w:t>Test to verify the analytical sensitivity of COVID-19 Rapid Antigen Test Kits</w:t>
          </w:r>
          <w:r w:rsidR="00A77452" w:rsidRPr="00C7784F">
            <w:br/>
            <w:t>V</w:t>
          </w:r>
          <w:r w:rsidR="004F1240" w:rsidRPr="00C7784F">
            <w:t xml:space="preserve">1.0 </w:t>
          </w:r>
          <w:r w:rsidRPr="00C7784F">
            <w:t>June 2022</w:t>
          </w:r>
        </w:p>
      </w:tc>
      <w:tc>
        <w:tcPr>
          <w:tcW w:w="1734" w:type="dxa"/>
          <w:tcBorders>
            <w:top w:val="single" w:sz="4" w:space="0" w:color="auto"/>
          </w:tcBorders>
        </w:tcPr>
        <w:sdt>
          <w:sdtPr>
            <w:id w:val="11571659"/>
            <w:docPartObj>
              <w:docPartGallery w:val="Page Numbers (Top of Page)"/>
              <w:docPartUnique/>
            </w:docPartObj>
          </w:sdtPr>
          <w:sdtEndPr/>
          <w:sdtContent>
            <w:p w14:paraId="72F74288" w14:textId="7777777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r w:rsidR="00FC2716">
                <w:fldChar w:fldCharType="begin"/>
              </w:r>
              <w:r w:rsidR="00FC2716">
                <w:instrText xml:space="preserve"> NUMPAGES  </w:instrText>
              </w:r>
              <w:r w:rsidR="00FC2716">
                <w:fldChar w:fldCharType="separate"/>
              </w:r>
              <w:r w:rsidR="00525165">
                <w:rPr>
                  <w:noProof/>
                </w:rPr>
                <w:t>7</w:t>
              </w:r>
              <w:r w:rsidR="00FC2716">
                <w:rPr>
                  <w:noProof/>
                </w:rPr>
                <w:fldChar w:fldCharType="end"/>
              </w:r>
            </w:p>
          </w:sdtContent>
        </w:sdt>
      </w:tc>
    </w:tr>
  </w:tbl>
  <w:p w14:paraId="75DB3720"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F1AB3"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44DD9" w14:textId="77777777" w:rsidR="00736AE8" w:rsidRDefault="00736AE8" w:rsidP="00C40A36">
      <w:pPr>
        <w:spacing w:after="0"/>
      </w:pPr>
      <w:r>
        <w:separator/>
      </w:r>
    </w:p>
  </w:footnote>
  <w:footnote w:type="continuationSeparator" w:id="0">
    <w:p w14:paraId="6244CD89" w14:textId="77777777" w:rsidR="00736AE8" w:rsidRDefault="00736AE8" w:rsidP="00C40A36">
      <w:pPr>
        <w:spacing w:after="0"/>
      </w:pPr>
      <w:r>
        <w:continuationSeparator/>
      </w:r>
    </w:p>
  </w:footnote>
  <w:footnote w:id="1">
    <w:p w14:paraId="190EF262" w14:textId="03D4B640" w:rsidR="006A65BC" w:rsidRDefault="006A65BC" w:rsidP="006A65BC">
      <w:pPr>
        <w:pStyle w:val="FootnoteText"/>
        <w:rPr>
          <w:szCs w:val="18"/>
        </w:rPr>
      </w:pPr>
      <w:r w:rsidRPr="474B891F">
        <w:rPr>
          <w:rStyle w:val="FootnoteReference"/>
          <w:szCs w:val="18"/>
        </w:rPr>
        <w:footnoteRef/>
      </w:r>
      <w:r w:rsidR="00D014BA">
        <w:t xml:space="preserve"> </w:t>
      </w:r>
      <w:r w:rsidRPr="00D014BA">
        <w:t>World Health Organization. TECHNICAL SPECIFICATIONS FOR SELECTION OF ESSENTIAL IN VITRO DIAGNOSTICS FOR SARS-COV-2 (14 June 2021)</w:t>
      </w:r>
    </w:p>
  </w:footnote>
  <w:footnote w:id="2">
    <w:p w14:paraId="6D75462E" w14:textId="77777777" w:rsidR="006A65BC" w:rsidRDefault="006A65BC" w:rsidP="006A65BC">
      <w:pPr>
        <w:pStyle w:val="FootnoteText"/>
      </w:pPr>
      <w:r>
        <w:rPr>
          <w:rStyle w:val="FootnoteReference"/>
        </w:rPr>
        <w:footnoteRef/>
      </w:r>
      <w:r>
        <w:t xml:space="preserve"> </w:t>
      </w:r>
      <w:hyperlink r:id="rId1" w:history="1">
        <w:r>
          <w:rPr>
            <w:rStyle w:val="Hyperlink"/>
          </w:rPr>
          <w:t>Federal Register of Legislation - Australian Government</w:t>
        </w:r>
      </w:hyperlink>
    </w:p>
  </w:footnote>
  <w:footnote w:id="3">
    <w:p w14:paraId="471255D6" w14:textId="77777777" w:rsidR="006A65BC" w:rsidRDefault="006A65BC" w:rsidP="006A65BC">
      <w:pPr>
        <w:pStyle w:val="FootnoteText"/>
      </w:pPr>
      <w:r>
        <w:rPr>
          <w:rStyle w:val="FootnoteReference"/>
        </w:rPr>
        <w:footnoteRef/>
      </w:r>
      <w:r>
        <w:t xml:space="preserve"> </w:t>
      </w:r>
      <w:hyperlink r:id="rId2" w:history="1">
        <w:r>
          <w:rPr>
            <w:rStyle w:val="Hyperlink"/>
          </w:rPr>
          <w:t>Federal Register of Legislation - Australian Government</w:t>
        </w:r>
      </w:hyperlink>
    </w:p>
  </w:footnote>
  <w:footnote w:id="4">
    <w:p w14:paraId="2573C7CA" w14:textId="77777777" w:rsidR="006A65BC" w:rsidRDefault="006A65BC" w:rsidP="006A65BC">
      <w:pPr>
        <w:pStyle w:val="FootnoteText"/>
      </w:pPr>
      <w:r>
        <w:rPr>
          <w:rStyle w:val="FootnoteReference"/>
        </w:rPr>
        <w:footnoteRef/>
      </w:r>
      <w:r>
        <w:t xml:space="preserve"> </w:t>
      </w:r>
      <w:hyperlink r:id="rId3" w:history="1">
        <w:r>
          <w:rPr>
            <w:rStyle w:val="Hyperlink"/>
          </w:rPr>
          <w:t>Cov-Lineages</w:t>
        </w:r>
      </w:hyperlink>
      <w:r>
        <w:rPr>
          <w:rStyle w:val="Hyperlink"/>
        </w:rPr>
        <w:t xml:space="preserve"> (</w:t>
      </w:r>
      <w:r w:rsidRPr="00F631F3">
        <w:rPr>
          <w:rStyle w:val="Hyperlink"/>
        </w:rPr>
        <w:t>https://cov-lineages.org/</w:t>
      </w:r>
      <w:r>
        <w:rPr>
          <w:rStyle w:val="Hyperlink"/>
        </w:rPr>
        <w:t>)</w:t>
      </w:r>
    </w:p>
  </w:footnote>
  <w:footnote w:id="5">
    <w:p w14:paraId="65C44A13" w14:textId="77777777" w:rsidR="006A65BC" w:rsidRDefault="006A65BC" w:rsidP="006A65BC">
      <w:pPr>
        <w:pStyle w:val="FootnoteText"/>
      </w:pPr>
      <w:r w:rsidRPr="585E04F2">
        <w:rPr>
          <w:rStyle w:val="FootnoteReference"/>
        </w:rPr>
        <w:footnoteRef/>
      </w:r>
      <w:r w:rsidRPr="1C551595">
        <w:t xml:space="preserve"> Chemical and biological reference materials | Department of Industry, Science, Energy and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200C" w14:textId="77777777" w:rsidR="00A77452" w:rsidRDefault="00FC2716" w:rsidP="00C3408D">
    <w:pPr>
      <w:pStyle w:val="Header"/>
    </w:pPr>
    <w:sdt>
      <w:sdtPr>
        <w:id w:val="-203553135"/>
        <w:docPartObj>
          <w:docPartGallery w:val="Watermarks"/>
          <w:docPartUnique/>
        </w:docPartObj>
      </w:sdtPr>
      <w:sdtEndPr/>
      <w:sdtContent>
        <w:r>
          <w:rPr>
            <w:noProof/>
          </w:rPr>
          <w:pict w14:anchorId="3D6C3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38C390B3" w14:textId="77777777" w:rsidTr="00F71E1E">
      <w:trPr>
        <w:trHeight w:hRule="exact" w:val="8845"/>
      </w:trPr>
      <w:tc>
        <w:tcPr>
          <w:tcW w:w="11964" w:type="dxa"/>
          <w:vAlign w:val="center"/>
        </w:tcPr>
        <w:p w14:paraId="65A2FCA7" w14:textId="77777777" w:rsidR="00A77452" w:rsidRPr="002B29B2" w:rsidRDefault="00FC2716"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7B790E7C" wp14:editId="6E2DB43D">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4192EA6F" w14:textId="77777777" w:rsidR="00A77452" w:rsidRDefault="00D55652" w:rsidP="006D03E5">
    <w:pPr>
      <w:rPr>
        <w:noProof/>
      </w:rPr>
    </w:pPr>
    <w:r>
      <w:rPr>
        <w:noProof/>
        <w:lang w:eastAsia="en-AU"/>
      </w:rPr>
      <w:drawing>
        <wp:anchor distT="0" distB="0" distL="114300" distR="114300" simplePos="0" relativeHeight="251664384" behindDoc="0" locked="0" layoutInCell="1" allowOverlap="1" wp14:anchorId="6A68787A" wp14:editId="44E2C4F3">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00A77452" w:rsidRPr="002B29B2">
      <w:rPr>
        <w:noProof/>
        <w:lang w:eastAsia="en-AU"/>
      </w:rPr>
      <w:drawing>
        <wp:anchor distT="0" distB="0" distL="114300" distR="114300" simplePos="0" relativeHeight="251662336" behindDoc="0" locked="0" layoutInCell="0" allowOverlap="1" wp14:anchorId="4AAA75F1" wp14:editId="087B8C53">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31D2B"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351F8"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522FC8"/>
    <w:multiLevelType w:val="hybridMultilevel"/>
    <w:tmpl w:val="705E6A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34334"/>
    <w:multiLevelType w:val="hybridMultilevel"/>
    <w:tmpl w:val="D2A0DE84"/>
    <w:lvl w:ilvl="0" w:tplc="4E8489DE">
      <w:start w:val="1"/>
      <w:numFmt w:val="bullet"/>
      <w:lvlText w:val=""/>
      <w:lvlJc w:val="left"/>
      <w:pPr>
        <w:ind w:left="720" w:hanging="360"/>
      </w:pPr>
      <w:rPr>
        <w:rFonts w:ascii="Symbol" w:hAnsi="Symbol" w:hint="default"/>
      </w:rPr>
    </w:lvl>
    <w:lvl w:ilvl="1" w:tplc="B106CBC6">
      <w:start w:val="1"/>
      <w:numFmt w:val="bullet"/>
      <w:lvlText w:val="o"/>
      <w:lvlJc w:val="left"/>
      <w:pPr>
        <w:ind w:left="1440" w:hanging="360"/>
      </w:pPr>
      <w:rPr>
        <w:rFonts w:ascii="Courier New" w:hAnsi="Courier New" w:cs="Courier New" w:hint="default"/>
      </w:rPr>
    </w:lvl>
    <w:lvl w:ilvl="2" w:tplc="FC6682CA">
      <w:start w:val="1"/>
      <w:numFmt w:val="bullet"/>
      <w:lvlText w:val=""/>
      <w:lvlJc w:val="left"/>
      <w:pPr>
        <w:ind w:left="2160" w:hanging="360"/>
      </w:pPr>
      <w:rPr>
        <w:rFonts w:ascii="Wingdings" w:hAnsi="Wingdings" w:hint="default"/>
      </w:rPr>
    </w:lvl>
    <w:lvl w:ilvl="3" w:tplc="0E3209A0">
      <w:start w:val="1"/>
      <w:numFmt w:val="bullet"/>
      <w:lvlText w:val=""/>
      <w:lvlJc w:val="left"/>
      <w:pPr>
        <w:ind w:left="2880" w:hanging="360"/>
      </w:pPr>
      <w:rPr>
        <w:rFonts w:ascii="Symbol" w:hAnsi="Symbol" w:hint="default"/>
      </w:rPr>
    </w:lvl>
    <w:lvl w:ilvl="4" w:tplc="C2C21C76" w:tentative="1">
      <w:start w:val="1"/>
      <w:numFmt w:val="bullet"/>
      <w:lvlText w:val="o"/>
      <w:lvlJc w:val="left"/>
      <w:pPr>
        <w:ind w:left="3600" w:hanging="360"/>
      </w:pPr>
      <w:rPr>
        <w:rFonts w:ascii="Courier New" w:hAnsi="Courier New" w:cs="Courier New" w:hint="default"/>
      </w:rPr>
    </w:lvl>
    <w:lvl w:ilvl="5" w:tplc="628AD0D4" w:tentative="1">
      <w:start w:val="1"/>
      <w:numFmt w:val="bullet"/>
      <w:lvlText w:val=""/>
      <w:lvlJc w:val="left"/>
      <w:pPr>
        <w:ind w:left="4320" w:hanging="360"/>
      </w:pPr>
      <w:rPr>
        <w:rFonts w:ascii="Wingdings" w:hAnsi="Wingdings" w:hint="default"/>
      </w:rPr>
    </w:lvl>
    <w:lvl w:ilvl="6" w:tplc="08C23F14" w:tentative="1">
      <w:start w:val="1"/>
      <w:numFmt w:val="bullet"/>
      <w:lvlText w:val=""/>
      <w:lvlJc w:val="left"/>
      <w:pPr>
        <w:ind w:left="5040" w:hanging="360"/>
      </w:pPr>
      <w:rPr>
        <w:rFonts w:ascii="Symbol" w:hAnsi="Symbol" w:hint="default"/>
      </w:rPr>
    </w:lvl>
    <w:lvl w:ilvl="7" w:tplc="44DC0B6C" w:tentative="1">
      <w:start w:val="1"/>
      <w:numFmt w:val="bullet"/>
      <w:lvlText w:val="o"/>
      <w:lvlJc w:val="left"/>
      <w:pPr>
        <w:ind w:left="5760" w:hanging="360"/>
      </w:pPr>
      <w:rPr>
        <w:rFonts w:ascii="Courier New" w:hAnsi="Courier New" w:cs="Courier New" w:hint="default"/>
      </w:rPr>
    </w:lvl>
    <w:lvl w:ilvl="8" w:tplc="954CE7C2"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32B7FD8"/>
    <w:multiLevelType w:val="hybridMultilevel"/>
    <w:tmpl w:val="8AB0E41E"/>
    <w:lvl w:ilvl="0" w:tplc="2390C09A">
      <w:start w:val="1"/>
      <w:numFmt w:val="bullet"/>
      <w:lvlText w:val="-"/>
      <w:lvlJc w:val="left"/>
      <w:pPr>
        <w:ind w:left="1080" w:hanging="360"/>
      </w:pPr>
      <w:rPr>
        <w:rFonts w:ascii="Calibri" w:hAnsi="Calibri" w:hint="default"/>
      </w:rPr>
    </w:lvl>
    <w:lvl w:ilvl="1" w:tplc="2390C09A">
      <w:start w:val="1"/>
      <w:numFmt w:val="bullet"/>
      <w:lvlText w:val="-"/>
      <w:lvlJc w:val="left"/>
      <w:pPr>
        <w:ind w:left="1800" w:hanging="360"/>
      </w:pPr>
      <w:rPr>
        <w:rFonts w:ascii="Calibri" w:hAnsi="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54361B3"/>
    <w:multiLevelType w:val="hybridMultilevel"/>
    <w:tmpl w:val="D1567266"/>
    <w:lvl w:ilvl="0" w:tplc="0C090001">
      <w:start w:val="1"/>
      <w:numFmt w:val="bullet"/>
      <w:lvlText w:val=""/>
      <w:lvlJc w:val="left"/>
      <w:pPr>
        <w:ind w:left="1080" w:hanging="360"/>
      </w:pPr>
      <w:rPr>
        <w:rFonts w:ascii="Symbol" w:hAnsi="Symbol" w:hint="default"/>
      </w:rPr>
    </w:lvl>
    <w:lvl w:ilvl="1" w:tplc="2390C09A">
      <w:start w:val="1"/>
      <w:numFmt w:val="bullet"/>
      <w:lvlText w:val="-"/>
      <w:lvlJc w:val="left"/>
      <w:pPr>
        <w:ind w:left="1800" w:hanging="360"/>
      </w:pPr>
      <w:rPr>
        <w:rFonts w:ascii="Calibri" w:hAnsi="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5A74ED8"/>
    <w:multiLevelType w:val="hybridMultilevel"/>
    <w:tmpl w:val="D602A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B705451"/>
    <w:multiLevelType w:val="multilevel"/>
    <w:tmpl w:val="12024C70"/>
    <w:lvl w:ilvl="0">
      <w:start w:val="1"/>
      <w:numFmt w:val="decimal"/>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BAD6DD1"/>
    <w:multiLevelType w:val="hybridMultilevel"/>
    <w:tmpl w:val="7ABC0E3E"/>
    <w:lvl w:ilvl="0" w:tplc="0C090001">
      <w:start w:val="1"/>
      <w:numFmt w:val="bullet"/>
      <w:lvlText w:val=""/>
      <w:lvlJc w:val="left"/>
      <w:pPr>
        <w:ind w:left="938" w:hanging="360"/>
      </w:pPr>
      <w:rPr>
        <w:rFonts w:ascii="Symbol" w:hAnsi="Symbol" w:hint="default"/>
      </w:rPr>
    </w:lvl>
    <w:lvl w:ilvl="1" w:tplc="0C090003" w:tentative="1">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abstractNum w:abstractNumId="13"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2F4115BA"/>
    <w:multiLevelType w:val="hybridMultilevel"/>
    <w:tmpl w:val="7BB65F62"/>
    <w:lvl w:ilvl="0" w:tplc="2390C09A">
      <w:start w:val="1"/>
      <w:numFmt w:val="bullet"/>
      <w:lvlText w:val="-"/>
      <w:lvlJc w:val="left"/>
      <w:pPr>
        <w:ind w:left="1080" w:hanging="360"/>
      </w:pPr>
      <w:rPr>
        <w:rFonts w:ascii="Calibri" w:hAnsi="Calibri" w:hint="default"/>
      </w:rPr>
    </w:lvl>
    <w:lvl w:ilvl="1" w:tplc="2390C09A">
      <w:start w:val="1"/>
      <w:numFmt w:val="bullet"/>
      <w:lvlText w:val="-"/>
      <w:lvlJc w:val="left"/>
      <w:pPr>
        <w:ind w:left="1800" w:hanging="360"/>
      </w:pPr>
      <w:rPr>
        <w:rFonts w:ascii="Calibri" w:hAnsi="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2797B6A"/>
    <w:multiLevelType w:val="hybridMultilevel"/>
    <w:tmpl w:val="C2327CDC"/>
    <w:lvl w:ilvl="0" w:tplc="2390C09A">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413D4D"/>
    <w:multiLevelType w:val="multilevel"/>
    <w:tmpl w:val="93C44E60"/>
    <w:lvl w:ilvl="0">
      <w:start w:val="1"/>
      <w:numFmt w:val="decimal"/>
      <w:lvlText w:val="%1"/>
      <w:lvlJc w:val="left"/>
      <w:pPr>
        <w:ind w:left="432" w:hanging="432"/>
      </w:pPr>
      <w:rPr>
        <w:color w:val="auto"/>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57F0A0A"/>
    <w:multiLevelType w:val="hybridMultilevel"/>
    <w:tmpl w:val="54D6F4BE"/>
    <w:lvl w:ilvl="0" w:tplc="AFC6EB0E">
      <w:start w:val="1"/>
      <w:numFmt w:val="bullet"/>
      <w:lvlText w:val=""/>
      <w:lvlJc w:val="left"/>
      <w:pPr>
        <w:ind w:left="720" w:hanging="360"/>
      </w:pPr>
      <w:rPr>
        <w:rFonts w:ascii="Symbol" w:hAnsi="Symbol" w:hint="default"/>
      </w:rPr>
    </w:lvl>
    <w:lvl w:ilvl="1" w:tplc="0238A01A">
      <w:start w:val="1"/>
      <w:numFmt w:val="upperRoman"/>
      <w:lvlText w:val="%2."/>
      <w:lvlJc w:val="right"/>
      <w:pPr>
        <w:ind w:left="1440" w:hanging="360"/>
      </w:pPr>
      <w:rPr>
        <w:rFonts w:hint="default"/>
      </w:rPr>
    </w:lvl>
    <w:lvl w:ilvl="2" w:tplc="905C82A2">
      <w:start w:val="1"/>
      <w:numFmt w:val="bullet"/>
      <w:lvlText w:val=""/>
      <w:lvlJc w:val="left"/>
      <w:pPr>
        <w:ind w:left="2160" w:hanging="360"/>
      </w:pPr>
      <w:rPr>
        <w:rFonts w:ascii="Wingdings" w:hAnsi="Wingdings" w:hint="default"/>
      </w:rPr>
    </w:lvl>
    <w:lvl w:ilvl="3" w:tplc="15244846">
      <w:start w:val="1"/>
      <w:numFmt w:val="bullet"/>
      <w:lvlText w:val=""/>
      <w:lvlJc w:val="left"/>
      <w:pPr>
        <w:ind w:left="2880" w:hanging="360"/>
      </w:pPr>
      <w:rPr>
        <w:rFonts w:ascii="Symbol" w:hAnsi="Symbol" w:hint="default"/>
      </w:rPr>
    </w:lvl>
    <w:lvl w:ilvl="4" w:tplc="279289FC" w:tentative="1">
      <w:start w:val="1"/>
      <w:numFmt w:val="bullet"/>
      <w:lvlText w:val="o"/>
      <w:lvlJc w:val="left"/>
      <w:pPr>
        <w:ind w:left="3600" w:hanging="360"/>
      </w:pPr>
      <w:rPr>
        <w:rFonts w:ascii="Courier New" w:hAnsi="Courier New" w:cs="Courier New" w:hint="default"/>
      </w:rPr>
    </w:lvl>
    <w:lvl w:ilvl="5" w:tplc="027CA85A" w:tentative="1">
      <w:start w:val="1"/>
      <w:numFmt w:val="bullet"/>
      <w:lvlText w:val=""/>
      <w:lvlJc w:val="left"/>
      <w:pPr>
        <w:ind w:left="4320" w:hanging="360"/>
      </w:pPr>
      <w:rPr>
        <w:rFonts w:ascii="Wingdings" w:hAnsi="Wingdings" w:hint="default"/>
      </w:rPr>
    </w:lvl>
    <w:lvl w:ilvl="6" w:tplc="F49A55CE" w:tentative="1">
      <w:start w:val="1"/>
      <w:numFmt w:val="bullet"/>
      <w:lvlText w:val=""/>
      <w:lvlJc w:val="left"/>
      <w:pPr>
        <w:ind w:left="5040" w:hanging="360"/>
      </w:pPr>
      <w:rPr>
        <w:rFonts w:ascii="Symbol" w:hAnsi="Symbol" w:hint="default"/>
      </w:rPr>
    </w:lvl>
    <w:lvl w:ilvl="7" w:tplc="50C86EC2" w:tentative="1">
      <w:start w:val="1"/>
      <w:numFmt w:val="bullet"/>
      <w:lvlText w:val="o"/>
      <w:lvlJc w:val="left"/>
      <w:pPr>
        <w:ind w:left="5760" w:hanging="360"/>
      </w:pPr>
      <w:rPr>
        <w:rFonts w:ascii="Courier New" w:hAnsi="Courier New" w:cs="Courier New" w:hint="default"/>
      </w:rPr>
    </w:lvl>
    <w:lvl w:ilvl="8" w:tplc="97868380" w:tentative="1">
      <w:start w:val="1"/>
      <w:numFmt w:val="bullet"/>
      <w:lvlText w:val=""/>
      <w:lvlJc w:val="left"/>
      <w:pPr>
        <w:ind w:left="6480" w:hanging="360"/>
      </w:pPr>
      <w:rPr>
        <w:rFonts w:ascii="Wingdings" w:hAnsi="Wingdings" w:hint="default"/>
      </w:rPr>
    </w:lvl>
  </w:abstractNum>
  <w:abstractNum w:abstractNumId="18" w15:restartNumberingAfterBreak="0">
    <w:nsid w:val="3E1B5D02"/>
    <w:multiLevelType w:val="hybridMultilevel"/>
    <w:tmpl w:val="B0AE8CE6"/>
    <w:lvl w:ilvl="0" w:tplc="2390C09A">
      <w:start w:val="1"/>
      <w:numFmt w:val="bullet"/>
      <w:lvlText w:val="-"/>
      <w:lvlJc w:val="left"/>
      <w:pPr>
        <w:ind w:left="1080" w:hanging="360"/>
      </w:pPr>
      <w:rPr>
        <w:rFonts w:ascii="Calibri" w:hAnsi="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39D146A"/>
    <w:multiLevelType w:val="hybridMultilevel"/>
    <w:tmpl w:val="B29EF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205AC3"/>
    <w:multiLevelType w:val="hybridMultilevel"/>
    <w:tmpl w:val="49CC8B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2"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0417D0"/>
    <w:multiLevelType w:val="multilevel"/>
    <w:tmpl w:val="93C44E60"/>
    <w:lvl w:ilvl="0">
      <w:start w:val="1"/>
      <w:numFmt w:val="decimal"/>
      <w:lvlText w:val="%1"/>
      <w:lvlJc w:val="left"/>
      <w:pPr>
        <w:ind w:left="432" w:hanging="432"/>
      </w:pPr>
      <w:rPr>
        <w:color w:val="auto"/>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1803465"/>
    <w:multiLevelType w:val="hybridMultilevel"/>
    <w:tmpl w:val="68F02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086432"/>
    <w:multiLevelType w:val="multilevel"/>
    <w:tmpl w:val="3308207E"/>
    <w:lvl w:ilvl="0">
      <w:start w:val="1"/>
      <w:numFmt w:val="bullet"/>
      <w:lvlText w:val=""/>
      <w:lvlJc w:val="left"/>
      <w:pPr>
        <w:ind w:left="432" w:hanging="432"/>
      </w:pPr>
      <w:rPr>
        <w:rFonts w:ascii="Symbol" w:hAnsi="Symbol" w:hint="default"/>
        <w:color w:val="auto"/>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96D50E2"/>
    <w:multiLevelType w:val="multilevel"/>
    <w:tmpl w:val="3308207E"/>
    <w:lvl w:ilvl="0">
      <w:start w:val="1"/>
      <w:numFmt w:val="bullet"/>
      <w:lvlText w:val=""/>
      <w:lvlJc w:val="left"/>
      <w:pPr>
        <w:ind w:left="432" w:hanging="432"/>
      </w:pPr>
      <w:rPr>
        <w:rFonts w:ascii="Symbol" w:hAnsi="Symbol" w:hint="default"/>
        <w:color w:val="auto"/>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F61224E"/>
    <w:multiLevelType w:val="hybridMultilevel"/>
    <w:tmpl w:val="A1941A66"/>
    <w:lvl w:ilvl="0" w:tplc="0C090001">
      <w:start w:val="1"/>
      <w:numFmt w:val="bullet"/>
      <w:lvlText w:val=""/>
      <w:lvlJc w:val="left"/>
      <w:pPr>
        <w:ind w:left="1080" w:hanging="360"/>
      </w:pPr>
      <w:rPr>
        <w:rFonts w:ascii="Symbol" w:hAnsi="Symbol" w:hint="default"/>
      </w:rPr>
    </w:lvl>
    <w:lvl w:ilvl="1" w:tplc="2390C09A">
      <w:start w:val="1"/>
      <w:numFmt w:val="bullet"/>
      <w:lvlText w:val="-"/>
      <w:lvlJc w:val="left"/>
      <w:pPr>
        <w:ind w:left="1800" w:hanging="360"/>
      </w:pPr>
      <w:rPr>
        <w:rFonts w:ascii="Calibri" w:hAnsi="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6EB74D6"/>
    <w:multiLevelType w:val="multilevel"/>
    <w:tmpl w:val="3132C84A"/>
    <w:lvl w:ilvl="0">
      <w:start w:val="1"/>
      <w:numFmt w:val="lowerLetter"/>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9" w15:restartNumberingAfterBreak="0">
    <w:nsid w:val="7A2B20AE"/>
    <w:multiLevelType w:val="hybridMultilevel"/>
    <w:tmpl w:val="B5EE0BB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10"/>
  </w:num>
  <w:num w:numId="5">
    <w:abstractNumId w:val="0"/>
  </w:num>
  <w:num w:numId="6">
    <w:abstractNumId w:val="10"/>
  </w:num>
  <w:num w:numId="7">
    <w:abstractNumId w:val="10"/>
  </w:num>
  <w:num w:numId="8">
    <w:abstractNumId w:val="5"/>
  </w:num>
  <w:num w:numId="9">
    <w:abstractNumId w:val="5"/>
  </w:num>
  <w:num w:numId="10">
    <w:abstractNumId w:val="5"/>
  </w:num>
  <w:num w:numId="11">
    <w:abstractNumId w:val="5"/>
  </w:num>
  <w:num w:numId="12">
    <w:abstractNumId w:val="10"/>
  </w:num>
  <w:num w:numId="13">
    <w:abstractNumId w:val="10"/>
  </w:num>
  <w:num w:numId="14">
    <w:abstractNumId w:val="10"/>
  </w:num>
  <w:num w:numId="15">
    <w:abstractNumId w:val="5"/>
  </w:num>
  <w:num w:numId="16">
    <w:abstractNumId w:val="5"/>
  </w:num>
  <w:num w:numId="17">
    <w:abstractNumId w:val="5"/>
  </w:num>
  <w:num w:numId="18">
    <w:abstractNumId w:val="9"/>
  </w:num>
  <w:num w:numId="19">
    <w:abstractNumId w:val="22"/>
  </w:num>
  <w:num w:numId="20">
    <w:abstractNumId w:val="13"/>
  </w:num>
  <w:num w:numId="21">
    <w:abstractNumId w:val="21"/>
  </w:num>
  <w:num w:numId="22">
    <w:abstractNumId w:val="11"/>
  </w:num>
  <w:num w:numId="23">
    <w:abstractNumId w:val="12"/>
  </w:num>
  <w:num w:numId="24">
    <w:abstractNumId w:val="4"/>
  </w:num>
  <w:num w:numId="25">
    <w:abstractNumId w:val="17"/>
  </w:num>
  <w:num w:numId="26">
    <w:abstractNumId w:val="8"/>
  </w:num>
  <w:num w:numId="27">
    <w:abstractNumId w:val="3"/>
  </w:num>
  <w:num w:numId="28">
    <w:abstractNumId w:val="18"/>
  </w:num>
  <w:num w:numId="29">
    <w:abstractNumId w:val="27"/>
  </w:num>
  <w:num w:numId="30">
    <w:abstractNumId w:val="6"/>
  </w:num>
  <w:num w:numId="31">
    <w:abstractNumId w:val="15"/>
  </w:num>
  <w:num w:numId="32">
    <w:abstractNumId w:val="24"/>
  </w:num>
  <w:num w:numId="33">
    <w:abstractNumId w:val="7"/>
  </w:num>
  <w:num w:numId="34">
    <w:abstractNumId w:val="14"/>
  </w:num>
  <w:num w:numId="35">
    <w:abstractNumId w:val="19"/>
  </w:num>
  <w:num w:numId="36">
    <w:abstractNumId w:val="23"/>
  </w:num>
  <w:num w:numId="37">
    <w:abstractNumId w:val="16"/>
  </w:num>
  <w:num w:numId="38">
    <w:abstractNumId w:val="25"/>
  </w:num>
  <w:num w:numId="39">
    <w:abstractNumId w:val="26"/>
  </w:num>
  <w:num w:numId="40">
    <w:abstractNumId w:val="20"/>
  </w:num>
  <w:num w:numId="41">
    <w:abstractNumId w:val="29"/>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C5"/>
    <w:rsid w:val="00002031"/>
    <w:rsid w:val="000040BA"/>
    <w:rsid w:val="00004734"/>
    <w:rsid w:val="00006B22"/>
    <w:rsid w:val="00010E4D"/>
    <w:rsid w:val="0001276A"/>
    <w:rsid w:val="00016BEB"/>
    <w:rsid w:val="000246AE"/>
    <w:rsid w:val="00025C67"/>
    <w:rsid w:val="00030D34"/>
    <w:rsid w:val="00032FFB"/>
    <w:rsid w:val="0005559E"/>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7138"/>
    <w:rsid w:val="00257848"/>
    <w:rsid w:val="0027084A"/>
    <w:rsid w:val="00286434"/>
    <w:rsid w:val="00286C59"/>
    <w:rsid w:val="0029069E"/>
    <w:rsid w:val="00290795"/>
    <w:rsid w:val="002942D1"/>
    <w:rsid w:val="002A0556"/>
    <w:rsid w:val="002A592C"/>
    <w:rsid w:val="002A5B3A"/>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31DBB"/>
    <w:rsid w:val="00335C3B"/>
    <w:rsid w:val="003361D1"/>
    <w:rsid w:val="00350236"/>
    <w:rsid w:val="0035146C"/>
    <w:rsid w:val="003521E8"/>
    <w:rsid w:val="00357700"/>
    <w:rsid w:val="0036361E"/>
    <w:rsid w:val="003664BF"/>
    <w:rsid w:val="003728F3"/>
    <w:rsid w:val="00376793"/>
    <w:rsid w:val="003843F6"/>
    <w:rsid w:val="00390900"/>
    <w:rsid w:val="00393398"/>
    <w:rsid w:val="003A2DDF"/>
    <w:rsid w:val="003B362C"/>
    <w:rsid w:val="003B7E39"/>
    <w:rsid w:val="003C58DC"/>
    <w:rsid w:val="003D3B63"/>
    <w:rsid w:val="003D6B56"/>
    <w:rsid w:val="003E0A89"/>
    <w:rsid w:val="003E3208"/>
    <w:rsid w:val="003F0B04"/>
    <w:rsid w:val="003F2E95"/>
    <w:rsid w:val="0040134E"/>
    <w:rsid w:val="00404B57"/>
    <w:rsid w:val="00406DB9"/>
    <w:rsid w:val="00416BCB"/>
    <w:rsid w:val="00440A2D"/>
    <w:rsid w:val="00442DA9"/>
    <w:rsid w:val="0045040C"/>
    <w:rsid w:val="004564A7"/>
    <w:rsid w:val="004617BF"/>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2C7E"/>
    <w:rsid w:val="004F40D8"/>
    <w:rsid w:val="004F484B"/>
    <w:rsid w:val="00501921"/>
    <w:rsid w:val="00523FB1"/>
    <w:rsid w:val="00525165"/>
    <w:rsid w:val="00530354"/>
    <w:rsid w:val="00535D83"/>
    <w:rsid w:val="0054053C"/>
    <w:rsid w:val="00541FD8"/>
    <w:rsid w:val="005423EF"/>
    <w:rsid w:val="005434C6"/>
    <w:rsid w:val="00543B39"/>
    <w:rsid w:val="00550096"/>
    <w:rsid w:val="0055653F"/>
    <w:rsid w:val="00557FF9"/>
    <w:rsid w:val="00560037"/>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074A5"/>
    <w:rsid w:val="00610D73"/>
    <w:rsid w:val="00625015"/>
    <w:rsid w:val="00640FC3"/>
    <w:rsid w:val="00642020"/>
    <w:rsid w:val="0065200D"/>
    <w:rsid w:val="0065337B"/>
    <w:rsid w:val="0065419D"/>
    <w:rsid w:val="006604D8"/>
    <w:rsid w:val="00664A5B"/>
    <w:rsid w:val="00667942"/>
    <w:rsid w:val="00680C08"/>
    <w:rsid w:val="0068741A"/>
    <w:rsid w:val="00691C1C"/>
    <w:rsid w:val="006931B1"/>
    <w:rsid w:val="006A15C0"/>
    <w:rsid w:val="006A2426"/>
    <w:rsid w:val="006A2A31"/>
    <w:rsid w:val="006A38E4"/>
    <w:rsid w:val="006A65BC"/>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23BF8"/>
    <w:rsid w:val="00724E0E"/>
    <w:rsid w:val="00732FEE"/>
    <w:rsid w:val="00736AE8"/>
    <w:rsid w:val="0074253D"/>
    <w:rsid w:val="0074429B"/>
    <w:rsid w:val="007477F8"/>
    <w:rsid w:val="00751EBD"/>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1235B"/>
    <w:rsid w:val="00A14DF7"/>
    <w:rsid w:val="00A26E24"/>
    <w:rsid w:val="00A3246D"/>
    <w:rsid w:val="00A36FA7"/>
    <w:rsid w:val="00A4235C"/>
    <w:rsid w:val="00A475B7"/>
    <w:rsid w:val="00A47AF7"/>
    <w:rsid w:val="00A47C3E"/>
    <w:rsid w:val="00A50226"/>
    <w:rsid w:val="00A60BAD"/>
    <w:rsid w:val="00A644D1"/>
    <w:rsid w:val="00A73A8D"/>
    <w:rsid w:val="00A77452"/>
    <w:rsid w:val="00A87334"/>
    <w:rsid w:val="00AA3EB9"/>
    <w:rsid w:val="00AC2B40"/>
    <w:rsid w:val="00AC2BB2"/>
    <w:rsid w:val="00AC2C3C"/>
    <w:rsid w:val="00AC3BD9"/>
    <w:rsid w:val="00AC3D45"/>
    <w:rsid w:val="00AD5831"/>
    <w:rsid w:val="00AE5AB2"/>
    <w:rsid w:val="00AE65EB"/>
    <w:rsid w:val="00AF1D94"/>
    <w:rsid w:val="00AF60C5"/>
    <w:rsid w:val="00AF69CB"/>
    <w:rsid w:val="00B009C6"/>
    <w:rsid w:val="00B00ACB"/>
    <w:rsid w:val="00B01548"/>
    <w:rsid w:val="00B01551"/>
    <w:rsid w:val="00B121C0"/>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976C5"/>
    <w:rsid w:val="00BA0DFC"/>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7784F"/>
    <w:rsid w:val="00C801AF"/>
    <w:rsid w:val="00C80256"/>
    <w:rsid w:val="00C85953"/>
    <w:rsid w:val="00C87DC4"/>
    <w:rsid w:val="00CA7F9C"/>
    <w:rsid w:val="00CB6BC0"/>
    <w:rsid w:val="00CB73C5"/>
    <w:rsid w:val="00CC1B7C"/>
    <w:rsid w:val="00CC727F"/>
    <w:rsid w:val="00CD1F02"/>
    <w:rsid w:val="00CD30CC"/>
    <w:rsid w:val="00CD6FCC"/>
    <w:rsid w:val="00CE5067"/>
    <w:rsid w:val="00CE5529"/>
    <w:rsid w:val="00CE5BB0"/>
    <w:rsid w:val="00CF15C3"/>
    <w:rsid w:val="00CF2B6F"/>
    <w:rsid w:val="00CF4791"/>
    <w:rsid w:val="00D014BA"/>
    <w:rsid w:val="00D017ED"/>
    <w:rsid w:val="00D11F5C"/>
    <w:rsid w:val="00D153B1"/>
    <w:rsid w:val="00D20C54"/>
    <w:rsid w:val="00D224FE"/>
    <w:rsid w:val="00D229BA"/>
    <w:rsid w:val="00D25F22"/>
    <w:rsid w:val="00D27857"/>
    <w:rsid w:val="00D30526"/>
    <w:rsid w:val="00D3646E"/>
    <w:rsid w:val="00D55652"/>
    <w:rsid w:val="00D64401"/>
    <w:rsid w:val="00D6493E"/>
    <w:rsid w:val="00D85417"/>
    <w:rsid w:val="00D9141E"/>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7774"/>
    <w:rsid w:val="00EA16DE"/>
    <w:rsid w:val="00EA1F09"/>
    <w:rsid w:val="00EA406B"/>
    <w:rsid w:val="00EA7E1D"/>
    <w:rsid w:val="00EB0798"/>
    <w:rsid w:val="00EB40AD"/>
    <w:rsid w:val="00EB5622"/>
    <w:rsid w:val="00EB586E"/>
    <w:rsid w:val="00EB5FC8"/>
    <w:rsid w:val="00EB6CAF"/>
    <w:rsid w:val="00EC4A41"/>
    <w:rsid w:val="00ED555A"/>
    <w:rsid w:val="00ED5A41"/>
    <w:rsid w:val="00ED6A67"/>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A2B8E"/>
    <w:rsid w:val="00FA43E5"/>
    <w:rsid w:val="00FA5B82"/>
    <w:rsid w:val="00FA639E"/>
    <w:rsid w:val="00FB261F"/>
    <w:rsid w:val="00FC03C8"/>
    <w:rsid w:val="00FC1750"/>
    <w:rsid w:val="00FC25E4"/>
    <w:rsid w:val="00FC2716"/>
    <w:rsid w:val="00FC4EF7"/>
    <w:rsid w:val="00FD1EA2"/>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3C319C7F"/>
  <w15:docId w15:val="{1C6AAAEB-6D6C-460D-BEC0-9BF3E12B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uiPriority w:val="9"/>
    <w:qFormat/>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6A65BC"/>
    <w:pPr>
      <w:keepNext/>
      <w:keepLines/>
      <w:spacing w:before="200" w:after="0" w:line="276" w:lineRule="auto"/>
      <w:ind w:left="1440" w:hanging="144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6A65BC"/>
    <w:pPr>
      <w:keepNext/>
      <w:keepLines/>
      <w:spacing w:before="200" w:after="0" w:line="276" w:lineRule="auto"/>
      <w:ind w:left="1584" w:hanging="1584"/>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qFormat/>
    <w:rsid w:val="00F401EF"/>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character" w:customStyle="1" w:styleId="Heading8Char">
    <w:name w:val="Heading 8 Char"/>
    <w:basedOn w:val="DefaultParagraphFont"/>
    <w:link w:val="Heading8"/>
    <w:uiPriority w:val="9"/>
    <w:semiHidden/>
    <w:rsid w:val="006A65BC"/>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6A65BC"/>
    <w:rPr>
      <w:rFonts w:asciiTheme="majorHAnsi" w:eastAsiaTheme="majorEastAsia" w:hAnsiTheme="majorHAnsi" w:cstheme="majorBidi"/>
      <w:i/>
      <w:iCs/>
      <w:color w:val="0070B5" w:themeColor="text1" w:themeTint="BF"/>
      <w:lang w:eastAsia="en-US"/>
    </w:rPr>
  </w:style>
  <w:style w:type="paragraph" w:customStyle="1" w:styleId="Default">
    <w:name w:val="Default"/>
    <w:rsid w:val="006A65BC"/>
    <w:pPr>
      <w:autoSpaceDE w:val="0"/>
      <w:autoSpaceDN w:val="0"/>
      <w:adjustRightInd w:val="0"/>
    </w:pPr>
    <w:rPr>
      <w:rFonts w:ascii="Calibri" w:eastAsiaTheme="minorHAnsi" w:hAnsi="Calibri" w:cs="Calibri"/>
      <w:color w:val="000000"/>
      <w:sz w:val="24"/>
      <w:szCs w:val="24"/>
      <w:lang w:eastAsia="en-US"/>
    </w:rPr>
  </w:style>
  <w:style w:type="paragraph" w:customStyle="1" w:styleId="InstructionLevel2">
    <w:name w:val="Instruction Level 2"/>
    <w:basedOn w:val="Heading2"/>
    <w:link w:val="InstructionLevel2Char"/>
    <w:uiPriority w:val="1"/>
    <w:qFormat/>
    <w:rsid w:val="006A65BC"/>
    <w:pPr>
      <w:numPr>
        <w:ilvl w:val="1"/>
      </w:numPr>
      <w:spacing w:before="240" w:after="240" w:line="240" w:lineRule="auto"/>
      <w:ind w:left="578" w:hanging="578"/>
    </w:pPr>
    <w:rPr>
      <w:rFonts w:asciiTheme="minorHAnsi" w:hAnsiTheme="minorHAnsi"/>
      <w:b w:val="0"/>
      <w:sz w:val="23"/>
    </w:rPr>
  </w:style>
  <w:style w:type="character" w:customStyle="1" w:styleId="InstructionLevel2Char">
    <w:name w:val="Instruction Level 2 Char"/>
    <w:basedOn w:val="Heading2Char"/>
    <w:link w:val="InstructionLevel2"/>
    <w:uiPriority w:val="1"/>
    <w:rsid w:val="006A65BC"/>
    <w:rPr>
      <w:rFonts w:asciiTheme="minorHAnsi" w:eastAsia="Times New Roman" w:hAnsiTheme="minorHAnsi"/>
      <w:b w:val="0"/>
      <w:bCs/>
      <w:sz w:val="23"/>
      <w:szCs w:val="38"/>
      <w:lang w:eastAsia="en-US"/>
    </w:rPr>
  </w:style>
  <w:style w:type="paragraph" w:customStyle="1" w:styleId="InstructionLevel3">
    <w:name w:val="Instruction_Level_3"/>
    <w:basedOn w:val="Heading3"/>
    <w:link w:val="InstructionLevel3Char"/>
    <w:uiPriority w:val="1"/>
    <w:qFormat/>
    <w:rsid w:val="006A65BC"/>
    <w:pPr>
      <w:numPr>
        <w:ilvl w:val="2"/>
      </w:numPr>
      <w:spacing w:before="120" w:line="276" w:lineRule="auto"/>
      <w:ind w:left="720" w:hanging="720"/>
    </w:pPr>
    <w:rPr>
      <w:rFonts w:asciiTheme="minorHAnsi" w:hAnsiTheme="minorHAnsi" w:cs="Arial"/>
      <w:b w:val="0"/>
      <w:sz w:val="23"/>
    </w:rPr>
  </w:style>
  <w:style w:type="character" w:customStyle="1" w:styleId="InstructionLevel3Char">
    <w:name w:val="Instruction_Level_3 Char"/>
    <w:basedOn w:val="Heading3Char"/>
    <w:link w:val="InstructionLevel3"/>
    <w:uiPriority w:val="1"/>
    <w:rsid w:val="006A65BC"/>
    <w:rPr>
      <w:rFonts w:asciiTheme="minorHAnsi" w:eastAsia="Times New Roman" w:hAnsiTheme="minorHAnsi" w:cs="Arial"/>
      <w:b w:val="0"/>
      <w:bCs/>
      <w:sz w:val="23"/>
      <w:szCs w:val="32"/>
      <w:lang w:eastAsia="en-US"/>
    </w:rPr>
  </w:style>
  <w:style w:type="paragraph" w:styleId="ListParagraph">
    <w:name w:val="List Paragraph"/>
    <w:basedOn w:val="Normal"/>
    <w:uiPriority w:val="34"/>
    <w:rsid w:val="006A6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ga.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tga.gov.a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cov-lineages.org/" TargetMode="External"/><Relationship Id="rId2" Type="http://schemas.openxmlformats.org/officeDocument/2006/relationships/hyperlink" Target="https://www.legislation.gov.au/Series/C2004A03952" TargetMode="External"/><Relationship Id="rId1" Type="http://schemas.openxmlformats.org/officeDocument/2006/relationships/hyperlink" Target="https://www.legislation.gov.au/Series/F2002B00237"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77</TotalTime>
  <Pages>11</Pages>
  <Words>2379</Words>
  <Characters>12614</Characters>
  <Application>Microsoft Office Word</Application>
  <DocSecurity>0</DocSecurity>
  <Lines>268</Lines>
  <Paragraphs>168</Paragraphs>
  <ScaleCrop>false</ScaleCrop>
  <HeadingPairs>
    <vt:vector size="2" baseType="variant">
      <vt:variant>
        <vt:lpstr>Title</vt:lpstr>
      </vt:variant>
      <vt:variant>
        <vt:i4>1</vt:i4>
      </vt:variant>
    </vt:vector>
  </HeadingPairs>
  <TitlesOfParts>
    <vt:vector size="1" baseType="lpstr">
      <vt:lpstr>Test to verify the analytical sensitivity of COVID-19 Rapid Antigen Test Kits</vt:lpstr>
    </vt:vector>
  </TitlesOfParts>
  <Company>Department of Health</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to verify the analytical sensitivity of COVID-19 Rapid Antigen Test Kits</dc:title>
  <dc:creator>Therapeutic Goods Administration</dc:creator>
  <cp:lastModifiedBy>PITKIN, Brendan</cp:lastModifiedBy>
  <cp:revision>9</cp:revision>
  <cp:lastPrinted>2010-12-20T22:59:00Z</cp:lastPrinted>
  <dcterms:created xsi:type="dcterms:W3CDTF">2022-06-03T03:28:00Z</dcterms:created>
  <dcterms:modified xsi:type="dcterms:W3CDTF">2022-06-22T02:44:00Z</dcterms:modified>
</cp:coreProperties>
</file>