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45454214" w14:textId="77777777" w:rsidTr="00BF1190">
        <w:trPr>
          <w:trHeight w:val="1863"/>
        </w:trPr>
        <w:tc>
          <w:tcPr>
            <w:tcW w:w="3652" w:type="dxa"/>
            <w:tcBorders>
              <w:top w:val="nil"/>
              <w:left w:val="nil"/>
              <w:bottom w:val="nil"/>
              <w:right w:val="nil"/>
            </w:tcBorders>
          </w:tcPr>
          <w:p w14:paraId="60C01DD4" w14:textId="72F22B4F" w:rsidR="008E7846" w:rsidRPr="00096AA7" w:rsidRDefault="00201E44" w:rsidP="00096AA7">
            <w:pPr>
              <w:rPr>
                <w:rFonts w:ascii="Arial" w:hAnsi="Arial" w:cs="Arial"/>
                <w:b/>
                <w:color w:val="002C47"/>
                <w:sz w:val="36"/>
                <w:szCs w:val="36"/>
              </w:rPr>
            </w:pPr>
            <w:r>
              <w:rPr>
                <w:rFonts w:ascii="Arial" w:hAnsi="Arial" w:cs="Arial"/>
                <w:b/>
                <w:color w:val="002C47"/>
                <w:sz w:val="36"/>
                <w:szCs w:val="36"/>
              </w:rPr>
              <w:t>Ju</w:t>
            </w:r>
            <w:r w:rsidR="00115314">
              <w:rPr>
                <w:rFonts w:ascii="Arial" w:hAnsi="Arial" w:cs="Arial"/>
                <w:b/>
                <w:color w:val="002C47"/>
                <w:sz w:val="36"/>
                <w:szCs w:val="36"/>
              </w:rPr>
              <w:t>ly</w:t>
            </w:r>
            <w:r>
              <w:rPr>
                <w:rFonts w:ascii="Arial" w:hAnsi="Arial" w:cs="Arial"/>
                <w:b/>
                <w:color w:val="002C47"/>
                <w:sz w:val="36"/>
                <w:szCs w:val="36"/>
              </w:rPr>
              <w:t xml:space="preserve"> 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0F374C8F" w14:textId="77777777" w:rsidTr="0032583B">
        <w:trPr>
          <w:trHeight w:val="868"/>
        </w:trPr>
        <w:tc>
          <w:tcPr>
            <w:tcW w:w="9079" w:type="dxa"/>
          </w:tcPr>
          <w:p w14:paraId="0D04E0F8" w14:textId="3F4E020B" w:rsidR="0032583B" w:rsidRPr="00A964D1" w:rsidRDefault="0032583B" w:rsidP="00201E44">
            <w:pPr>
              <w:pStyle w:val="Title"/>
              <w:rPr>
                <w:color w:val="FFFFFF" w:themeColor="background1"/>
              </w:rPr>
            </w:pPr>
            <w:r w:rsidRPr="00A964D1">
              <w:rPr>
                <w:color w:val="FFFFFF" w:themeColor="background1"/>
              </w:rPr>
              <w:t>Australian Public Assessment Report for</w:t>
            </w:r>
            <w:r w:rsidR="00201E44">
              <w:rPr>
                <w:color w:val="FFFFFF" w:themeColor="background1"/>
              </w:rPr>
              <w:t xml:space="preserve"> </w:t>
            </w:r>
            <w:proofErr w:type="spellStart"/>
            <w:r w:rsidR="00201E44">
              <w:rPr>
                <w:color w:val="FFFFFF" w:themeColor="background1"/>
              </w:rPr>
              <w:t>Tivicay</w:t>
            </w:r>
            <w:proofErr w:type="spellEnd"/>
            <w:r w:rsidR="00CE6690">
              <w:rPr>
                <w:color w:val="FFFFFF" w:themeColor="background1"/>
              </w:rPr>
              <w:t xml:space="preserve"> and </w:t>
            </w:r>
            <w:proofErr w:type="spellStart"/>
            <w:r w:rsidR="00CE6690">
              <w:rPr>
                <w:color w:val="FFFFFF" w:themeColor="background1"/>
              </w:rPr>
              <w:t>Tivicay</w:t>
            </w:r>
            <w:proofErr w:type="spellEnd"/>
            <w:r w:rsidR="00CE6690">
              <w:rPr>
                <w:color w:val="FFFFFF" w:themeColor="background1"/>
              </w:rPr>
              <w:t xml:space="preserve"> PD</w:t>
            </w:r>
          </w:p>
        </w:tc>
      </w:tr>
      <w:tr w:rsidR="0032583B" w:rsidRPr="00B64760" w14:paraId="019968A5" w14:textId="77777777" w:rsidTr="0032583B">
        <w:tc>
          <w:tcPr>
            <w:tcW w:w="9079" w:type="dxa"/>
          </w:tcPr>
          <w:p w14:paraId="5780C1D8" w14:textId="404B5033" w:rsidR="0032583B" w:rsidRPr="008E7846" w:rsidRDefault="00CE6690" w:rsidP="00201E44">
            <w:pPr>
              <w:pStyle w:val="Subtitle"/>
              <w:rPr>
                <w:color w:val="FFFFFF" w:themeColor="background1"/>
              </w:rPr>
            </w:pPr>
            <w:r>
              <w:rPr>
                <w:color w:val="FFFFFF" w:themeColor="background1"/>
              </w:rPr>
              <w:t>Active ingredient</w:t>
            </w:r>
            <w:r w:rsidR="00201E44">
              <w:rPr>
                <w:color w:val="FFFFFF" w:themeColor="background1"/>
              </w:rPr>
              <w:t xml:space="preserve">: </w:t>
            </w:r>
            <w:r w:rsidR="00201E44" w:rsidRPr="00201E44">
              <w:rPr>
                <w:color w:val="FFFFFF" w:themeColor="background1"/>
              </w:rPr>
              <w:t>Dolutegravir</w:t>
            </w:r>
            <w:r>
              <w:rPr>
                <w:color w:val="FFFFFF" w:themeColor="background1"/>
              </w:rPr>
              <w:t xml:space="preserve"> (as sodium)</w:t>
            </w:r>
          </w:p>
        </w:tc>
      </w:tr>
      <w:tr w:rsidR="0032583B" w:rsidRPr="00B64760" w14:paraId="1F1B92B2" w14:textId="77777777" w:rsidTr="0032583B">
        <w:trPr>
          <w:trHeight w:val="486"/>
        </w:trPr>
        <w:tc>
          <w:tcPr>
            <w:tcW w:w="9079" w:type="dxa"/>
          </w:tcPr>
          <w:p w14:paraId="75502801" w14:textId="24509A95" w:rsidR="0032583B" w:rsidRPr="008E7846" w:rsidRDefault="00201E44" w:rsidP="0032583B">
            <w:pPr>
              <w:pStyle w:val="Subtitle"/>
              <w:rPr>
                <w:color w:val="FFFFFF" w:themeColor="background1"/>
              </w:rPr>
            </w:pPr>
            <w:r>
              <w:rPr>
                <w:color w:val="FFFFFF" w:themeColor="background1"/>
              </w:rPr>
              <w:t xml:space="preserve">Sponsor: </w:t>
            </w:r>
            <w:proofErr w:type="spellStart"/>
            <w:r w:rsidRPr="00201E44">
              <w:rPr>
                <w:color w:val="FFFFFF" w:themeColor="background1"/>
              </w:rPr>
              <w:t>ViiV</w:t>
            </w:r>
            <w:proofErr w:type="spellEnd"/>
            <w:r w:rsidRPr="00201E44">
              <w:rPr>
                <w:color w:val="FFFFFF" w:themeColor="background1"/>
              </w:rPr>
              <w:t xml:space="preserve"> Healthcare Pty Ltd</w:t>
            </w:r>
          </w:p>
        </w:tc>
      </w:tr>
    </w:tbl>
    <w:p w14:paraId="7FD77E11" w14:textId="77777777" w:rsidR="008E7846" w:rsidRPr="0085156D" w:rsidRDefault="008E7846" w:rsidP="0085156D">
      <w:r w:rsidRPr="0085156D">
        <w:br w:type="page"/>
      </w:r>
    </w:p>
    <w:p w14:paraId="090C565A" w14:textId="77777777" w:rsidR="008E7846" w:rsidRPr="001F6CBA" w:rsidRDefault="008E7846" w:rsidP="008E7846">
      <w:pPr>
        <w:pStyle w:val="NonTOCHeading2"/>
      </w:pPr>
      <w:r w:rsidRPr="001F6CBA">
        <w:lastRenderedPageBreak/>
        <w:t>About the Therapeutic Goods Administration (TGA)</w:t>
      </w:r>
    </w:p>
    <w:p w14:paraId="5C486BCC" w14:textId="77777777" w:rsidR="00AF2313" w:rsidRPr="00391B0C" w:rsidRDefault="00AF2313" w:rsidP="00AF2313">
      <w:pPr>
        <w:pStyle w:val="ListBullet"/>
      </w:pPr>
      <w:r w:rsidRPr="00391B0C">
        <w:t>The Therapeutic Goods Administration (TGA) is part of the Australian Government Department of Health and is responsible for regulating therapeutic goods, including medicines, medical devices, and biologicals.</w:t>
      </w:r>
    </w:p>
    <w:p w14:paraId="615C67DE" w14:textId="3E19FB51" w:rsidR="00AF2313" w:rsidRPr="00391B0C" w:rsidRDefault="00AF2313" w:rsidP="00AF2313">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w:t>
      </w:r>
      <w:r w:rsidR="00CC5044" w:rsidRPr="00391B0C">
        <w:t>safety,</w:t>
      </w:r>
      <w:r w:rsidRPr="00391B0C">
        <w:t xml:space="preserve"> and efficacy.</w:t>
      </w:r>
    </w:p>
    <w:p w14:paraId="3109AC08" w14:textId="77777777" w:rsidR="00AF2313" w:rsidRPr="003C6D1F" w:rsidRDefault="00AF2313" w:rsidP="00AF2313">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5B197676" w14:textId="77777777" w:rsidR="00AF2313" w:rsidRPr="003C6D1F" w:rsidRDefault="00AF2313" w:rsidP="00AF2313">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7AE2789C" w14:textId="6B0E21A1" w:rsidR="00AF2313" w:rsidRDefault="00AF2313" w:rsidP="00AF2313">
      <w:pPr>
        <w:pStyle w:val="ListBullet"/>
      </w:pPr>
      <w:r w:rsidRPr="003C6D1F">
        <w:t xml:space="preserve">To report a problem with a </w:t>
      </w:r>
      <w:r>
        <w:t>therapeutic good</w:t>
      </w:r>
      <w:r w:rsidRPr="003C6D1F">
        <w:t xml:space="preserve">, please see the information on the </w:t>
      </w:r>
      <w:hyperlink r:id="rId8" w:history="1">
        <w:r w:rsidRPr="000F15B4">
          <w:rPr>
            <w:rStyle w:val="Hyperlink"/>
          </w:rPr>
          <w:t>TGA website</w:t>
        </w:r>
      </w:hyperlink>
      <w:r w:rsidRPr="003C6D1F">
        <w:t>.</w:t>
      </w:r>
    </w:p>
    <w:p w14:paraId="24A6ABFB" w14:textId="77777777" w:rsidR="008E7846" w:rsidRDefault="008E7846" w:rsidP="00875A6B">
      <w:pPr>
        <w:pStyle w:val="NonTOCHeading2"/>
      </w:pPr>
      <w:r>
        <w:t xml:space="preserve">About </w:t>
      </w:r>
      <w:proofErr w:type="spellStart"/>
      <w:r>
        <w:t>AusPARs</w:t>
      </w:r>
      <w:proofErr w:type="spellEnd"/>
    </w:p>
    <w:p w14:paraId="3AC51836" w14:textId="182D1706" w:rsidR="00AF2313" w:rsidRPr="003C6D1F" w:rsidRDefault="00AF2313" w:rsidP="00AF2313">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9" w:history="1">
        <w:r w:rsidRPr="005A2EB8">
          <w:rPr>
            <w:rStyle w:val="Hyperlink"/>
          </w:rPr>
          <w:t>Australian Public Assessment Report (AusPAR) guidance</w:t>
        </w:r>
      </w:hyperlink>
      <w:r>
        <w:t>.</w:t>
      </w:r>
    </w:p>
    <w:p w14:paraId="363EABB4" w14:textId="77777777" w:rsidR="00AF2313" w:rsidRPr="003C6D1F" w:rsidRDefault="00AF2313" w:rsidP="00AF2313">
      <w:pPr>
        <w:pStyle w:val="ListBullet"/>
      </w:pPr>
      <w:proofErr w:type="spellStart"/>
      <w:r w:rsidRPr="003C6D1F">
        <w:t>AusPARs</w:t>
      </w:r>
      <w:proofErr w:type="spellEnd"/>
      <w:r w:rsidRPr="003C6D1F">
        <w:t xml:space="preserve"> are prepared and published by the TGA.</w:t>
      </w:r>
    </w:p>
    <w:p w14:paraId="1D4DFB4C" w14:textId="1A1EA017" w:rsidR="00AF2313" w:rsidRPr="003C6D1F" w:rsidRDefault="00AF2313" w:rsidP="00AF2313">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rsidR="008110BC">
        <w:t xml:space="preserve"> The publication of an AusPAR is an important part of the transparency of the TGA’s decision-making process.</w:t>
      </w:r>
    </w:p>
    <w:p w14:paraId="53AE6375" w14:textId="77777777" w:rsidR="00AF2313" w:rsidRPr="003C6D1F" w:rsidRDefault="00AF2313" w:rsidP="00AF2313">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5ADB5B20" w14:textId="77777777" w:rsidR="00924482" w:rsidRPr="00DF1D7F" w:rsidRDefault="00924482" w:rsidP="00F54B65">
      <w:pPr>
        <w:pStyle w:val="LegalSubheading"/>
        <w:spacing w:before="3120"/>
      </w:pPr>
      <w:r w:rsidRPr="00DF1D7F">
        <w:t>Copyright</w:t>
      </w:r>
    </w:p>
    <w:p w14:paraId="2C43B870" w14:textId="14D90CA3"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AF2313">
        <w:rPr>
          <w:rFonts w:cs="Arial"/>
          <w:lang w:val="en-GB"/>
        </w:rPr>
        <w:t>2</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proofErr w:type="gramStart"/>
      <w:r w:rsidRPr="00191B3B">
        <w:rPr>
          <w:rFonts w:cs="Arial"/>
          <w:lang w:val="en-GB"/>
        </w:rPr>
        <w:t>reserved</w:t>
      </w:r>
      <w:proofErr w:type="gramEnd"/>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3D07640C"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5F960583" w14:textId="77777777" w:rsidR="0089635C" w:rsidRPr="0089635C" w:rsidRDefault="0089635C" w:rsidP="0010788A">
          <w:pPr>
            <w:pStyle w:val="Contents"/>
          </w:pPr>
          <w:r w:rsidRPr="0010788A">
            <w:t>Contents</w:t>
          </w:r>
        </w:p>
        <w:p w14:paraId="09E6F118" w14:textId="345FFC3A" w:rsidR="004D0F54"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107925353" w:history="1">
            <w:r w:rsidR="004D0F54" w:rsidRPr="00E45102">
              <w:rPr>
                <w:rStyle w:val="Hyperlink"/>
                <w:noProof/>
              </w:rPr>
              <w:t>List of abbreviations</w:t>
            </w:r>
            <w:r w:rsidR="004D0F54">
              <w:rPr>
                <w:noProof/>
                <w:webHidden/>
              </w:rPr>
              <w:tab/>
            </w:r>
            <w:r w:rsidR="004D0F54">
              <w:rPr>
                <w:noProof/>
                <w:webHidden/>
              </w:rPr>
              <w:fldChar w:fldCharType="begin"/>
            </w:r>
            <w:r w:rsidR="004D0F54">
              <w:rPr>
                <w:noProof/>
                <w:webHidden/>
              </w:rPr>
              <w:instrText xml:space="preserve"> PAGEREF _Toc107925353 \h </w:instrText>
            </w:r>
            <w:r w:rsidR="004D0F54">
              <w:rPr>
                <w:noProof/>
                <w:webHidden/>
              </w:rPr>
            </w:r>
            <w:r w:rsidR="004D0F54">
              <w:rPr>
                <w:noProof/>
                <w:webHidden/>
              </w:rPr>
              <w:fldChar w:fldCharType="separate"/>
            </w:r>
            <w:r w:rsidR="004D0F54">
              <w:rPr>
                <w:noProof/>
                <w:webHidden/>
              </w:rPr>
              <w:t>4</w:t>
            </w:r>
            <w:r w:rsidR="004D0F54">
              <w:rPr>
                <w:noProof/>
                <w:webHidden/>
              </w:rPr>
              <w:fldChar w:fldCharType="end"/>
            </w:r>
          </w:hyperlink>
        </w:p>
        <w:p w14:paraId="7BBBCBDB" w14:textId="0B2F22A6" w:rsidR="004D0F54" w:rsidRDefault="00D174B5">
          <w:pPr>
            <w:pStyle w:val="TOC1"/>
            <w:rPr>
              <w:rFonts w:asciiTheme="minorHAnsi" w:eastAsiaTheme="minorEastAsia" w:hAnsiTheme="minorHAnsi" w:cstheme="minorBidi"/>
              <w:b w:val="0"/>
              <w:noProof/>
              <w:sz w:val="22"/>
              <w:lang w:eastAsia="en-AU"/>
            </w:rPr>
          </w:pPr>
          <w:hyperlink w:anchor="_Toc107925354" w:history="1">
            <w:r w:rsidR="004D0F54" w:rsidRPr="00E45102">
              <w:rPr>
                <w:rStyle w:val="Hyperlink"/>
                <w:noProof/>
              </w:rPr>
              <w:t>Product submission</w:t>
            </w:r>
            <w:r w:rsidR="004D0F54">
              <w:rPr>
                <w:noProof/>
                <w:webHidden/>
              </w:rPr>
              <w:tab/>
            </w:r>
            <w:r w:rsidR="004D0F54">
              <w:rPr>
                <w:noProof/>
                <w:webHidden/>
              </w:rPr>
              <w:fldChar w:fldCharType="begin"/>
            </w:r>
            <w:r w:rsidR="004D0F54">
              <w:rPr>
                <w:noProof/>
                <w:webHidden/>
              </w:rPr>
              <w:instrText xml:space="preserve"> PAGEREF _Toc107925354 \h </w:instrText>
            </w:r>
            <w:r w:rsidR="004D0F54">
              <w:rPr>
                <w:noProof/>
                <w:webHidden/>
              </w:rPr>
            </w:r>
            <w:r w:rsidR="004D0F54">
              <w:rPr>
                <w:noProof/>
                <w:webHidden/>
              </w:rPr>
              <w:fldChar w:fldCharType="separate"/>
            </w:r>
            <w:r w:rsidR="004D0F54">
              <w:rPr>
                <w:noProof/>
                <w:webHidden/>
              </w:rPr>
              <w:t>5</w:t>
            </w:r>
            <w:r w:rsidR="004D0F54">
              <w:rPr>
                <w:noProof/>
                <w:webHidden/>
              </w:rPr>
              <w:fldChar w:fldCharType="end"/>
            </w:r>
          </w:hyperlink>
        </w:p>
        <w:p w14:paraId="6E887BDA" w14:textId="5E4BEB76" w:rsidR="004D0F54" w:rsidRDefault="00D174B5">
          <w:pPr>
            <w:pStyle w:val="TOC2"/>
            <w:rPr>
              <w:rFonts w:asciiTheme="minorHAnsi" w:eastAsiaTheme="minorEastAsia" w:hAnsiTheme="minorHAnsi" w:cstheme="minorBidi"/>
              <w:b w:val="0"/>
              <w:noProof/>
              <w:sz w:val="22"/>
              <w:lang w:eastAsia="en-AU"/>
            </w:rPr>
          </w:pPr>
          <w:hyperlink w:anchor="_Toc107925355" w:history="1">
            <w:r w:rsidR="004D0F54" w:rsidRPr="00E45102">
              <w:rPr>
                <w:rStyle w:val="Hyperlink"/>
                <w:noProof/>
                <w:lang w:eastAsia="en-AU"/>
              </w:rPr>
              <w:t>Submission details</w:t>
            </w:r>
            <w:r w:rsidR="004D0F54">
              <w:rPr>
                <w:noProof/>
                <w:webHidden/>
              </w:rPr>
              <w:tab/>
            </w:r>
            <w:r w:rsidR="004D0F54">
              <w:rPr>
                <w:noProof/>
                <w:webHidden/>
              </w:rPr>
              <w:fldChar w:fldCharType="begin"/>
            </w:r>
            <w:r w:rsidR="004D0F54">
              <w:rPr>
                <w:noProof/>
                <w:webHidden/>
              </w:rPr>
              <w:instrText xml:space="preserve"> PAGEREF _Toc107925355 \h </w:instrText>
            </w:r>
            <w:r w:rsidR="004D0F54">
              <w:rPr>
                <w:noProof/>
                <w:webHidden/>
              </w:rPr>
            </w:r>
            <w:r w:rsidR="004D0F54">
              <w:rPr>
                <w:noProof/>
                <w:webHidden/>
              </w:rPr>
              <w:fldChar w:fldCharType="separate"/>
            </w:r>
            <w:r w:rsidR="004D0F54">
              <w:rPr>
                <w:noProof/>
                <w:webHidden/>
              </w:rPr>
              <w:t>5</w:t>
            </w:r>
            <w:r w:rsidR="004D0F54">
              <w:rPr>
                <w:noProof/>
                <w:webHidden/>
              </w:rPr>
              <w:fldChar w:fldCharType="end"/>
            </w:r>
          </w:hyperlink>
        </w:p>
        <w:p w14:paraId="05045E99" w14:textId="7747A633" w:rsidR="004D0F54" w:rsidRDefault="00D174B5">
          <w:pPr>
            <w:pStyle w:val="TOC2"/>
            <w:rPr>
              <w:rFonts w:asciiTheme="minorHAnsi" w:eastAsiaTheme="minorEastAsia" w:hAnsiTheme="minorHAnsi" w:cstheme="minorBidi"/>
              <w:b w:val="0"/>
              <w:noProof/>
              <w:sz w:val="22"/>
              <w:lang w:eastAsia="en-AU"/>
            </w:rPr>
          </w:pPr>
          <w:hyperlink w:anchor="_Toc107925356" w:history="1">
            <w:r w:rsidR="004D0F54" w:rsidRPr="00E45102">
              <w:rPr>
                <w:rStyle w:val="Hyperlink"/>
                <w:noProof/>
              </w:rPr>
              <w:t>Product background</w:t>
            </w:r>
            <w:r w:rsidR="004D0F54">
              <w:rPr>
                <w:noProof/>
                <w:webHidden/>
              </w:rPr>
              <w:tab/>
            </w:r>
            <w:r w:rsidR="004D0F54">
              <w:rPr>
                <w:noProof/>
                <w:webHidden/>
              </w:rPr>
              <w:fldChar w:fldCharType="begin"/>
            </w:r>
            <w:r w:rsidR="004D0F54">
              <w:rPr>
                <w:noProof/>
                <w:webHidden/>
              </w:rPr>
              <w:instrText xml:space="preserve"> PAGEREF _Toc107925356 \h </w:instrText>
            </w:r>
            <w:r w:rsidR="004D0F54">
              <w:rPr>
                <w:noProof/>
                <w:webHidden/>
              </w:rPr>
            </w:r>
            <w:r w:rsidR="004D0F54">
              <w:rPr>
                <w:noProof/>
                <w:webHidden/>
              </w:rPr>
              <w:fldChar w:fldCharType="separate"/>
            </w:r>
            <w:r w:rsidR="004D0F54">
              <w:rPr>
                <w:noProof/>
                <w:webHidden/>
              </w:rPr>
              <w:t>6</w:t>
            </w:r>
            <w:r w:rsidR="004D0F54">
              <w:rPr>
                <w:noProof/>
                <w:webHidden/>
              </w:rPr>
              <w:fldChar w:fldCharType="end"/>
            </w:r>
          </w:hyperlink>
        </w:p>
        <w:p w14:paraId="13ADC590" w14:textId="12C4A0F1" w:rsidR="004D0F54" w:rsidRDefault="00D174B5">
          <w:pPr>
            <w:pStyle w:val="TOC2"/>
            <w:rPr>
              <w:rFonts w:asciiTheme="minorHAnsi" w:eastAsiaTheme="minorEastAsia" w:hAnsiTheme="minorHAnsi" w:cstheme="minorBidi"/>
              <w:b w:val="0"/>
              <w:noProof/>
              <w:sz w:val="22"/>
              <w:lang w:eastAsia="en-AU"/>
            </w:rPr>
          </w:pPr>
          <w:hyperlink w:anchor="_Toc107925357" w:history="1">
            <w:r w:rsidR="004D0F54" w:rsidRPr="00E45102">
              <w:rPr>
                <w:rStyle w:val="Hyperlink"/>
                <w:noProof/>
              </w:rPr>
              <w:t>Regulatory status</w:t>
            </w:r>
            <w:r w:rsidR="004D0F54">
              <w:rPr>
                <w:noProof/>
                <w:webHidden/>
              </w:rPr>
              <w:tab/>
            </w:r>
            <w:r w:rsidR="004D0F54">
              <w:rPr>
                <w:noProof/>
                <w:webHidden/>
              </w:rPr>
              <w:fldChar w:fldCharType="begin"/>
            </w:r>
            <w:r w:rsidR="004D0F54">
              <w:rPr>
                <w:noProof/>
                <w:webHidden/>
              </w:rPr>
              <w:instrText xml:space="preserve"> PAGEREF _Toc107925357 \h </w:instrText>
            </w:r>
            <w:r w:rsidR="004D0F54">
              <w:rPr>
                <w:noProof/>
                <w:webHidden/>
              </w:rPr>
            </w:r>
            <w:r w:rsidR="004D0F54">
              <w:rPr>
                <w:noProof/>
                <w:webHidden/>
              </w:rPr>
              <w:fldChar w:fldCharType="separate"/>
            </w:r>
            <w:r w:rsidR="004D0F54">
              <w:rPr>
                <w:noProof/>
                <w:webHidden/>
              </w:rPr>
              <w:t>8</w:t>
            </w:r>
            <w:r w:rsidR="004D0F54">
              <w:rPr>
                <w:noProof/>
                <w:webHidden/>
              </w:rPr>
              <w:fldChar w:fldCharType="end"/>
            </w:r>
          </w:hyperlink>
        </w:p>
        <w:p w14:paraId="0C80DEB6" w14:textId="4744D771" w:rsidR="004D0F54" w:rsidRDefault="00D174B5">
          <w:pPr>
            <w:pStyle w:val="TOC2"/>
            <w:rPr>
              <w:rFonts w:asciiTheme="minorHAnsi" w:eastAsiaTheme="minorEastAsia" w:hAnsiTheme="minorHAnsi" w:cstheme="minorBidi"/>
              <w:b w:val="0"/>
              <w:noProof/>
              <w:sz w:val="22"/>
              <w:lang w:eastAsia="en-AU"/>
            </w:rPr>
          </w:pPr>
          <w:hyperlink w:anchor="_Toc107925358" w:history="1">
            <w:r w:rsidR="004D0F54" w:rsidRPr="00E45102">
              <w:rPr>
                <w:rStyle w:val="Hyperlink"/>
                <w:noProof/>
              </w:rPr>
              <w:t>Product Information</w:t>
            </w:r>
            <w:r w:rsidR="004D0F54">
              <w:rPr>
                <w:noProof/>
                <w:webHidden/>
              </w:rPr>
              <w:tab/>
            </w:r>
            <w:r w:rsidR="004D0F54">
              <w:rPr>
                <w:noProof/>
                <w:webHidden/>
              </w:rPr>
              <w:fldChar w:fldCharType="begin"/>
            </w:r>
            <w:r w:rsidR="004D0F54">
              <w:rPr>
                <w:noProof/>
                <w:webHidden/>
              </w:rPr>
              <w:instrText xml:space="preserve"> PAGEREF _Toc107925358 \h </w:instrText>
            </w:r>
            <w:r w:rsidR="004D0F54">
              <w:rPr>
                <w:noProof/>
                <w:webHidden/>
              </w:rPr>
            </w:r>
            <w:r w:rsidR="004D0F54">
              <w:rPr>
                <w:noProof/>
                <w:webHidden/>
              </w:rPr>
              <w:fldChar w:fldCharType="separate"/>
            </w:r>
            <w:r w:rsidR="004D0F54">
              <w:rPr>
                <w:noProof/>
                <w:webHidden/>
              </w:rPr>
              <w:t>9</w:t>
            </w:r>
            <w:r w:rsidR="004D0F54">
              <w:rPr>
                <w:noProof/>
                <w:webHidden/>
              </w:rPr>
              <w:fldChar w:fldCharType="end"/>
            </w:r>
          </w:hyperlink>
        </w:p>
        <w:p w14:paraId="46ECA4D6" w14:textId="08C12908" w:rsidR="004D0F54" w:rsidRDefault="00D174B5">
          <w:pPr>
            <w:pStyle w:val="TOC1"/>
            <w:rPr>
              <w:rFonts w:asciiTheme="minorHAnsi" w:eastAsiaTheme="minorEastAsia" w:hAnsiTheme="minorHAnsi" w:cstheme="minorBidi"/>
              <w:b w:val="0"/>
              <w:noProof/>
              <w:sz w:val="22"/>
              <w:lang w:eastAsia="en-AU"/>
            </w:rPr>
          </w:pPr>
          <w:hyperlink w:anchor="_Toc107925359" w:history="1">
            <w:r w:rsidR="004D0F54" w:rsidRPr="00E45102">
              <w:rPr>
                <w:rStyle w:val="Hyperlink"/>
                <w:noProof/>
              </w:rPr>
              <w:t>Registration timeline</w:t>
            </w:r>
            <w:r w:rsidR="004D0F54">
              <w:rPr>
                <w:noProof/>
                <w:webHidden/>
              </w:rPr>
              <w:tab/>
            </w:r>
            <w:r w:rsidR="004D0F54">
              <w:rPr>
                <w:noProof/>
                <w:webHidden/>
              </w:rPr>
              <w:fldChar w:fldCharType="begin"/>
            </w:r>
            <w:r w:rsidR="004D0F54">
              <w:rPr>
                <w:noProof/>
                <w:webHidden/>
              </w:rPr>
              <w:instrText xml:space="preserve"> PAGEREF _Toc107925359 \h </w:instrText>
            </w:r>
            <w:r w:rsidR="004D0F54">
              <w:rPr>
                <w:noProof/>
                <w:webHidden/>
              </w:rPr>
            </w:r>
            <w:r w:rsidR="004D0F54">
              <w:rPr>
                <w:noProof/>
                <w:webHidden/>
              </w:rPr>
              <w:fldChar w:fldCharType="separate"/>
            </w:r>
            <w:r w:rsidR="004D0F54">
              <w:rPr>
                <w:noProof/>
                <w:webHidden/>
              </w:rPr>
              <w:t>10</w:t>
            </w:r>
            <w:r w:rsidR="004D0F54">
              <w:rPr>
                <w:noProof/>
                <w:webHidden/>
              </w:rPr>
              <w:fldChar w:fldCharType="end"/>
            </w:r>
          </w:hyperlink>
        </w:p>
        <w:p w14:paraId="7F7C92D6" w14:textId="6141E0C6" w:rsidR="004D0F54" w:rsidRDefault="00D174B5">
          <w:pPr>
            <w:pStyle w:val="TOC1"/>
            <w:rPr>
              <w:rFonts w:asciiTheme="minorHAnsi" w:eastAsiaTheme="minorEastAsia" w:hAnsiTheme="minorHAnsi" w:cstheme="minorBidi"/>
              <w:b w:val="0"/>
              <w:noProof/>
              <w:sz w:val="22"/>
              <w:lang w:eastAsia="en-AU"/>
            </w:rPr>
          </w:pPr>
          <w:hyperlink w:anchor="_Toc107925360" w:history="1">
            <w:r w:rsidR="004D0F54" w:rsidRPr="00E45102">
              <w:rPr>
                <w:rStyle w:val="Hyperlink"/>
                <w:noProof/>
              </w:rPr>
              <w:t>Submission overview and risk/benefit assessment</w:t>
            </w:r>
            <w:r w:rsidR="004D0F54">
              <w:rPr>
                <w:noProof/>
                <w:webHidden/>
              </w:rPr>
              <w:tab/>
            </w:r>
            <w:r w:rsidR="004D0F54">
              <w:rPr>
                <w:noProof/>
                <w:webHidden/>
              </w:rPr>
              <w:fldChar w:fldCharType="begin"/>
            </w:r>
            <w:r w:rsidR="004D0F54">
              <w:rPr>
                <w:noProof/>
                <w:webHidden/>
              </w:rPr>
              <w:instrText xml:space="preserve"> PAGEREF _Toc107925360 \h </w:instrText>
            </w:r>
            <w:r w:rsidR="004D0F54">
              <w:rPr>
                <w:noProof/>
                <w:webHidden/>
              </w:rPr>
            </w:r>
            <w:r w:rsidR="004D0F54">
              <w:rPr>
                <w:noProof/>
                <w:webHidden/>
              </w:rPr>
              <w:fldChar w:fldCharType="separate"/>
            </w:r>
            <w:r w:rsidR="004D0F54">
              <w:rPr>
                <w:noProof/>
                <w:webHidden/>
              </w:rPr>
              <w:t>10</w:t>
            </w:r>
            <w:r w:rsidR="004D0F54">
              <w:rPr>
                <w:noProof/>
                <w:webHidden/>
              </w:rPr>
              <w:fldChar w:fldCharType="end"/>
            </w:r>
          </w:hyperlink>
        </w:p>
        <w:p w14:paraId="691A0790" w14:textId="5B794A2F" w:rsidR="004D0F54" w:rsidRDefault="00D174B5">
          <w:pPr>
            <w:pStyle w:val="TOC2"/>
            <w:rPr>
              <w:rFonts w:asciiTheme="minorHAnsi" w:eastAsiaTheme="minorEastAsia" w:hAnsiTheme="minorHAnsi" w:cstheme="minorBidi"/>
              <w:b w:val="0"/>
              <w:noProof/>
              <w:sz w:val="22"/>
              <w:lang w:eastAsia="en-AU"/>
            </w:rPr>
          </w:pPr>
          <w:hyperlink w:anchor="_Toc107925361" w:history="1">
            <w:r w:rsidR="004D0F54" w:rsidRPr="00E45102">
              <w:rPr>
                <w:rStyle w:val="Hyperlink"/>
                <w:noProof/>
              </w:rPr>
              <w:t>Quality</w:t>
            </w:r>
            <w:r w:rsidR="004D0F54">
              <w:rPr>
                <w:noProof/>
                <w:webHidden/>
              </w:rPr>
              <w:tab/>
            </w:r>
            <w:r w:rsidR="004D0F54">
              <w:rPr>
                <w:noProof/>
                <w:webHidden/>
              </w:rPr>
              <w:fldChar w:fldCharType="begin"/>
            </w:r>
            <w:r w:rsidR="004D0F54">
              <w:rPr>
                <w:noProof/>
                <w:webHidden/>
              </w:rPr>
              <w:instrText xml:space="preserve"> PAGEREF _Toc107925361 \h </w:instrText>
            </w:r>
            <w:r w:rsidR="004D0F54">
              <w:rPr>
                <w:noProof/>
                <w:webHidden/>
              </w:rPr>
            </w:r>
            <w:r w:rsidR="004D0F54">
              <w:rPr>
                <w:noProof/>
                <w:webHidden/>
              </w:rPr>
              <w:fldChar w:fldCharType="separate"/>
            </w:r>
            <w:r w:rsidR="004D0F54">
              <w:rPr>
                <w:noProof/>
                <w:webHidden/>
              </w:rPr>
              <w:t>10</w:t>
            </w:r>
            <w:r w:rsidR="004D0F54">
              <w:rPr>
                <w:noProof/>
                <w:webHidden/>
              </w:rPr>
              <w:fldChar w:fldCharType="end"/>
            </w:r>
          </w:hyperlink>
        </w:p>
        <w:p w14:paraId="26A107D7" w14:textId="585724C7" w:rsidR="004D0F54" w:rsidRDefault="00D174B5">
          <w:pPr>
            <w:pStyle w:val="TOC2"/>
            <w:rPr>
              <w:rFonts w:asciiTheme="minorHAnsi" w:eastAsiaTheme="minorEastAsia" w:hAnsiTheme="minorHAnsi" w:cstheme="minorBidi"/>
              <w:b w:val="0"/>
              <w:noProof/>
              <w:sz w:val="22"/>
              <w:lang w:eastAsia="en-AU"/>
            </w:rPr>
          </w:pPr>
          <w:hyperlink w:anchor="_Toc107925362" w:history="1">
            <w:r w:rsidR="004D0F54" w:rsidRPr="00E45102">
              <w:rPr>
                <w:rStyle w:val="Hyperlink"/>
                <w:noProof/>
              </w:rPr>
              <w:t>Nonclinical</w:t>
            </w:r>
            <w:r w:rsidR="004D0F54">
              <w:rPr>
                <w:noProof/>
                <w:webHidden/>
              </w:rPr>
              <w:tab/>
            </w:r>
            <w:r w:rsidR="004D0F54">
              <w:rPr>
                <w:noProof/>
                <w:webHidden/>
              </w:rPr>
              <w:fldChar w:fldCharType="begin"/>
            </w:r>
            <w:r w:rsidR="004D0F54">
              <w:rPr>
                <w:noProof/>
                <w:webHidden/>
              </w:rPr>
              <w:instrText xml:space="preserve"> PAGEREF _Toc107925362 \h </w:instrText>
            </w:r>
            <w:r w:rsidR="004D0F54">
              <w:rPr>
                <w:noProof/>
                <w:webHidden/>
              </w:rPr>
            </w:r>
            <w:r w:rsidR="004D0F54">
              <w:rPr>
                <w:noProof/>
                <w:webHidden/>
              </w:rPr>
              <w:fldChar w:fldCharType="separate"/>
            </w:r>
            <w:r w:rsidR="004D0F54">
              <w:rPr>
                <w:noProof/>
                <w:webHidden/>
              </w:rPr>
              <w:t>12</w:t>
            </w:r>
            <w:r w:rsidR="004D0F54">
              <w:rPr>
                <w:noProof/>
                <w:webHidden/>
              </w:rPr>
              <w:fldChar w:fldCharType="end"/>
            </w:r>
          </w:hyperlink>
        </w:p>
        <w:p w14:paraId="0AB6857F" w14:textId="40820D8C" w:rsidR="004D0F54" w:rsidRDefault="00D174B5">
          <w:pPr>
            <w:pStyle w:val="TOC2"/>
            <w:rPr>
              <w:rFonts w:asciiTheme="minorHAnsi" w:eastAsiaTheme="minorEastAsia" w:hAnsiTheme="minorHAnsi" w:cstheme="minorBidi"/>
              <w:b w:val="0"/>
              <w:noProof/>
              <w:sz w:val="22"/>
              <w:lang w:eastAsia="en-AU"/>
            </w:rPr>
          </w:pPr>
          <w:hyperlink w:anchor="_Toc107925363" w:history="1">
            <w:r w:rsidR="004D0F54" w:rsidRPr="00E45102">
              <w:rPr>
                <w:rStyle w:val="Hyperlink"/>
                <w:noProof/>
              </w:rPr>
              <w:t>Clinical</w:t>
            </w:r>
            <w:r w:rsidR="004D0F54">
              <w:rPr>
                <w:noProof/>
                <w:webHidden/>
              </w:rPr>
              <w:tab/>
            </w:r>
            <w:r w:rsidR="004D0F54">
              <w:rPr>
                <w:noProof/>
                <w:webHidden/>
              </w:rPr>
              <w:fldChar w:fldCharType="begin"/>
            </w:r>
            <w:r w:rsidR="004D0F54">
              <w:rPr>
                <w:noProof/>
                <w:webHidden/>
              </w:rPr>
              <w:instrText xml:space="preserve"> PAGEREF _Toc107925363 \h </w:instrText>
            </w:r>
            <w:r w:rsidR="004D0F54">
              <w:rPr>
                <w:noProof/>
                <w:webHidden/>
              </w:rPr>
            </w:r>
            <w:r w:rsidR="004D0F54">
              <w:rPr>
                <w:noProof/>
                <w:webHidden/>
              </w:rPr>
              <w:fldChar w:fldCharType="separate"/>
            </w:r>
            <w:r w:rsidR="004D0F54">
              <w:rPr>
                <w:noProof/>
                <w:webHidden/>
              </w:rPr>
              <w:t>12</w:t>
            </w:r>
            <w:r w:rsidR="004D0F54">
              <w:rPr>
                <w:noProof/>
                <w:webHidden/>
              </w:rPr>
              <w:fldChar w:fldCharType="end"/>
            </w:r>
          </w:hyperlink>
        </w:p>
        <w:p w14:paraId="172C0A11" w14:textId="326AA59B" w:rsidR="004D0F54" w:rsidRDefault="00D174B5">
          <w:pPr>
            <w:pStyle w:val="TOC2"/>
            <w:rPr>
              <w:rFonts w:asciiTheme="minorHAnsi" w:eastAsiaTheme="minorEastAsia" w:hAnsiTheme="minorHAnsi" w:cstheme="minorBidi"/>
              <w:b w:val="0"/>
              <w:noProof/>
              <w:sz w:val="22"/>
              <w:lang w:eastAsia="en-AU"/>
            </w:rPr>
          </w:pPr>
          <w:hyperlink w:anchor="_Toc107925364" w:history="1">
            <w:r w:rsidR="004D0F54" w:rsidRPr="00E45102">
              <w:rPr>
                <w:rStyle w:val="Hyperlink"/>
                <w:noProof/>
                <w:lang w:eastAsia="en-AU"/>
              </w:rPr>
              <w:t>Risk management plan</w:t>
            </w:r>
            <w:r w:rsidR="004D0F54">
              <w:rPr>
                <w:noProof/>
                <w:webHidden/>
              </w:rPr>
              <w:tab/>
            </w:r>
            <w:r w:rsidR="004D0F54">
              <w:rPr>
                <w:noProof/>
                <w:webHidden/>
              </w:rPr>
              <w:fldChar w:fldCharType="begin"/>
            </w:r>
            <w:r w:rsidR="004D0F54">
              <w:rPr>
                <w:noProof/>
                <w:webHidden/>
              </w:rPr>
              <w:instrText xml:space="preserve"> PAGEREF _Toc107925364 \h </w:instrText>
            </w:r>
            <w:r w:rsidR="004D0F54">
              <w:rPr>
                <w:noProof/>
                <w:webHidden/>
              </w:rPr>
            </w:r>
            <w:r w:rsidR="004D0F54">
              <w:rPr>
                <w:noProof/>
                <w:webHidden/>
              </w:rPr>
              <w:fldChar w:fldCharType="separate"/>
            </w:r>
            <w:r w:rsidR="004D0F54">
              <w:rPr>
                <w:noProof/>
                <w:webHidden/>
              </w:rPr>
              <w:t>20</w:t>
            </w:r>
            <w:r w:rsidR="004D0F54">
              <w:rPr>
                <w:noProof/>
                <w:webHidden/>
              </w:rPr>
              <w:fldChar w:fldCharType="end"/>
            </w:r>
          </w:hyperlink>
        </w:p>
        <w:p w14:paraId="0F8AF91B" w14:textId="6C34ED20" w:rsidR="004D0F54" w:rsidRDefault="00D174B5">
          <w:pPr>
            <w:pStyle w:val="TOC2"/>
            <w:rPr>
              <w:rFonts w:asciiTheme="minorHAnsi" w:eastAsiaTheme="minorEastAsia" w:hAnsiTheme="minorHAnsi" w:cstheme="minorBidi"/>
              <w:b w:val="0"/>
              <w:noProof/>
              <w:sz w:val="22"/>
              <w:lang w:eastAsia="en-AU"/>
            </w:rPr>
          </w:pPr>
          <w:hyperlink w:anchor="_Toc107925365" w:history="1">
            <w:r w:rsidR="004D0F54" w:rsidRPr="00E45102">
              <w:rPr>
                <w:rStyle w:val="Hyperlink"/>
                <w:noProof/>
              </w:rPr>
              <w:t>Risk-benefit analysis</w:t>
            </w:r>
            <w:r w:rsidR="004D0F54">
              <w:rPr>
                <w:noProof/>
                <w:webHidden/>
              </w:rPr>
              <w:tab/>
            </w:r>
            <w:r w:rsidR="004D0F54">
              <w:rPr>
                <w:noProof/>
                <w:webHidden/>
              </w:rPr>
              <w:fldChar w:fldCharType="begin"/>
            </w:r>
            <w:r w:rsidR="004D0F54">
              <w:rPr>
                <w:noProof/>
                <w:webHidden/>
              </w:rPr>
              <w:instrText xml:space="preserve"> PAGEREF _Toc107925365 \h </w:instrText>
            </w:r>
            <w:r w:rsidR="004D0F54">
              <w:rPr>
                <w:noProof/>
                <w:webHidden/>
              </w:rPr>
            </w:r>
            <w:r w:rsidR="004D0F54">
              <w:rPr>
                <w:noProof/>
                <w:webHidden/>
              </w:rPr>
              <w:fldChar w:fldCharType="separate"/>
            </w:r>
            <w:r w:rsidR="004D0F54">
              <w:rPr>
                <w:noProof/>
                <w:webHidden/>
              </w:rPr>
              <w:t>24</w:t>
            </w:r>
            <w:r w:rsidR="004D0F54">
              <w:rPr>
                <w:noProof/>
                <w:webHidden/>
              </w:rPr>
              <w:fldChar w:fldCharType="end"/>
            </w:r>
          </w:hyperlink>
        </w:p>
        <w:p w14:paraId="61834CDC" w14:textId="06E4639D" w:rsidR="004D0F54" w:rsidRDefault="00D174B5">
          <w:pPr>
            <w:pStyle w:val="TOC1"/>
            <w:rPr>
              <w:rFonts w:asciiTheme="minorHAnsi" w:eastAsiaTheme="minorEastAsia" w:hAnsiTheme="minorHAnsi" w:cstheme="minorBidi"/>
              <w:b w:val="0"/>
              <w:noProof/>
              <w:sz w:val="22"/>
              <w:lang w:eastAsia="en-AU"/>
            </w:rPr>
          </w:pPr>
          <w:hyperlink w:anchor="_Toc107925366" w:history="1">
            <w:r w:rsidR="004D0F54" w:rsidRPr="00E45102">
              <w:rPr>
                <w:rStyle w:val="Hyperlink"/>
                <w:noProof/>
              </w:rPr>
              <w:t>Outcome</w:t>
            </w:r>
            <w:r w:rsidR="004D0F54">
              <w:rPr>
                <w:noProof/>
                <w:webHidden/>
              </w:rPr>
              <w:tab/>
            </w:r>
            <w:r w:rsidR="004D0F54">
              <w:rPr>
                <w:noProof/>
                <w:webHidden/>
              </w:rPr>
              <w:fldChar w:fldCharType="begin"/>
            </w:r>
            <w:r w:rsidR="004D0F54">
              <w:rPr>
                <w:noProof/>
                <w:webHidden/>
              </w:rPr>
              <w:instrText xml:space="preserve"> PAGEREF _Toc107925366 \h </w:instrText>
            </w:r>
            <w:r w:rsidR="004D0F54">
              <w:rPr>
                <w:noProof/>
                <w:webHidden/>
              </w:rPr>
            </w:r>
            <w:r w:rsidR="004D0F54">
              <w:rPr>
                <w:noProof/>
                <w:webHidden/>
              </w:rPr>
              <w:fldChar w:fldCharType="separate"/>
            </w:r>
            <w:r w:rsidR="004D0F54">
              <w:rPr>
                <w:noProof/>
                <w:webHidden/>
              </w:rPr>
              <w:t>26</w:t>
            </w:r>
            <w:r w:rsidR="004D0F54">
              <w:rPr>
                <w:noProof/>
                <w:webHidden/>
              </w:rPr>
              <w:fldChar w:fldCharType="end"/>
            </w:r>
          </w:hyperlink>
        </w:p>
        <w:p w14:paraId="05287BC7" w14:textId="2CEDC44A" w:rsidR="004D0F54" w:rsidRDefault="00D174B5">
          <w:pPr>
            <w:pStyle w:val="TOC2"/>
            <w:rPr>
              <w:rFonts w:asciiTheme="minorHAnsi" w:eastAsiaTheme="minorEastAsia" w:hAnsiTheme="minorHAnsi" w:cstheme="minorBidi"/>
              <w:b w:val="0"/>
              <w:noProof/>
              <w:sz w:val="22"/>
              <w:lang w:eastAsia="en-AU"/>
            </w:rPr>
          </w:pPr>
          <w:hyperlink w:anchor="_Toc107925367" w:history="1">
            <w:r w:rsidR="004D0F54" w:rsidRPr="00E45102">
              <w:rPr>
                <w:rStyle w:val="Hyperlink"/>
                <w:noProof/>
              </w:rPr>
              <w:t>Specific conditions of registration applying to these goods</w:t>
            </w:r>
            <w:r w:rsidR="004D0F54">
              <w:rPr>
                <w:noProof/>
                <w:webHidden/>
              </w:rPr>
              <w:tab/>
            </w:r>
            <w:r w:rsidR="004D0F54">
              <w:rPr>
                <w:noProof/>
                <w:webHidden/>
              </w:rPr>
              <w:fldChar w:fldCharType="begin"/>
            </w:r>
            <w:r w:rsidR="004D0F54">
              <w:rPr>
                <w:noProof/>
                <w:webHidden/>
              </w:rPr>
              <w:instrText xml:space="preserve"> PAGEREF _Toc107925367 \h </w:instrText>
            </w:r>
            <w:r w:rsidR="004D0F54">
              <w:rPr>
                <w:noProof/>
                <w:webHidden/>
              </w:rPr>
            </w:r>
            <w:r w:rsidR="004D0F54">
              <w:rPr>
                <w:noProof/>
                <w:webHidden/>
              </w:rPr>
              <w:fldChar w:fldCharType="separate"/>
            </w:r>
            <w:r w:rsidR="004D0F54">
              <w:rPr>
                <w:noProof/>
                <w:webHidden/>
              </w:rPr>
              <w:t>26</w:t>
            </w:r>
            <w:r w:rsidR="004D0F54">
              <w:rPr>
                <w:noProof/>
                <w:webHidden/>
              </w:rPr>
              <w:fldChar w:fldCharType="end"/>
            </w:r>
          </w:hyperlink>
        </w:p>
        <w:p w14:paraId="7D212B53" w14:textId="48DEA04F" w:rsidR="004D0F54" w:rsidRDefault="00D174B5">
          <w:pPr>
            <w:pStyle w:val="TOC1"/>
            <w:rPr>
              <w:rFonts w:asciiTheme="minorHAnsi" w:eastAsiaTheme="minorEastAsia" w:hAnsiTheme="minorHAnsi" w:cstheme="minorBidi"/>
              <w:b w:val="0"/>
              <w:noProof/>
              <w:sz w:val="22"/>
              <w:lang w:eastAsia="en-AU"/>
            </w:rPr>
          </w:pPr>
          <w:hyperlink w:anchor="_Toc107925368" w:history="1">
            <w:r w:rsidR="004D0F54" w:rsidRPr="00E45102">
              <w:rPr>
                <w:rStyle w:val="Hyperlink"/>
                <w:noProof/>
              </w:rPr>
              <w:t>Attachment 1. Product Information</w:t>
            </w:r>
            <w:r w:rsidR="004D0F54">
              <w:rPr>
                <w:noProof/>
                <w:webHidden/>
              </w:rPr>
              <w:tab/>
            </w:r>
            <w:r w:rsidR="004D0F54">
              <w:rPr>
                <w:noProof/>
                <w:webHidden/>
              </w:rPr>
              <w:fldChar w:fldCharType="begin"/>
            </w:r>
            <w:r w:rsidR="004D0F54">
              <w:rPr>
                <w:noProof/>
                <w:webHidden/>
              </w:rPr>
              <w:instrText xml:space="preserve"> PAGEREF _Toc107925368 \h </w:instrText>
            </w:r>
            <w:r w:rsidR="004D0F54">
              <w:rPr>
                <w:noProof/>
                <w:webHidden/>
              </w:rPr>
            </w:r>
            <w:r w:rsidR="004D0F54">
              <w:rPr>
                <w:noProof/>
                <w:webHidden/>
              </w:rPr>
              <w:fldChar w:fldCharType="separate"/>
            </w:r>
            <w:r w:rsidR="004D0F54">
              <w:rPr>
                <w:noProof/>
                <w:webHidden/>
              </w:rPr>
              <w:t>27</w:t>
            </w:r>
            <w:r w:rsidR="004D0F54">
              <w:rPr>
                <w:noProof/>
                <w:webHidden/>
              </w:rPr>
              <w:fldChar w:fldCharType="end"/>
            </w:r>
          </w:hyperlink>
        </w:p>
        <w:p w14:paraId="736E019D" w14:textId="7C880B88" w:rsidR="003A7F6C" w:rsidRPr="00B811C6" w:rsidRDefault="00C525A2" w:rsidP="00B811C6">
          <w:pPr>
            <w:pStyle w:val="TOC2"/>
          </w:pPr>
          <w:r>
            <w:fldChar w:fldCharType="end"/>
          </w:r>
        </w:p>
      </w:sdtContent>
    </w:sdt>
    <w:bookmarkStart w:id="2" w:name="_Toc314842482" w:displacedByCustomXml="prev"/>
    <w:p w14:paraId="5E40D720" w14:textId="77777777" w:rsidR="00FD119B" w:rsidRDefault="00FD119B">
      <w:pPr>
        <w:spacing w:before="0" w:after="200" w:line="0" w:lineRule="auto"/>
      </w:pPr>
      <w:r>
        <w:br w:type="page"/>
      </w:r>
    </w:p>
    <w:p w14:paraId="642E4DE7" w14:textId="5F5049E7" w:rsidR="00833ED8" w:rsidRPr="009074F9" w:rsidRDefault="00AF2313" w:rsidP="009074F9">
      <w:pPr>
        <w:pStyle w:val="Heading2"/>
      </w:pPr>
      <w:bookmarkStart w:id="3" w:name="_Toc98931917"/>
      <w:bookmarkStart w:id="4" w:name="_Toc107925353"/>
      <w:r>
        <w:lastRenderedPageBreak/>
        <w:t>List of abbreviations</w:t>
      </w:r>
      <w:bookmarkEnd w:id="3"/>
      <w:bookmarkEnd w:id="4"/>
    </w:p>
    <w:tbl>
      <w:tblPr>
        <w:tblStyle w:val="TableTGAblue"/>
        <w:tblW w:w="5000" w:type="pct"/>
        <w:tblLook w:val="04A0" w:firstRow="1" w:lastRow="0" w:firstColumn="1" w:lastColumn="0" w:noHBand="0" w:noVBand="1"/>
      </w:tblPr>
      <w:tblGrid>
        <w:gridCol w:w="1719"/>
        <w:gridCol w:w="1196"/>
        <w:gridCol w:w="5569"/>
      </w:tblGrid>
      <w:tr w:rsidR="00F94A4E" w14:paraId="6D10F93E" w14:textId="77777777" w:rsidTr="00AF2313">
        <w:trPr>
          <w:cnfStyle w:val="100000000000" w:firstRow="1" w:lastRow="0" w:firstColumn="0" w:lastColumn="0" w:oddVBand="0" w:evenVBand="0" w:oddHBand="0" w:evenHBand="0" w:firstRowFirstColumn="0" w:firstRowLastColumn="0" w:lastRowFirstColumn="0" w:lastRowLastColumn="0"/>
          <w:cantSplit/>
        </w:trPr>
        <w:tc>
          <w:tcPr>
            <w:tcW w:w="1718" w:type="pct"/>
            <w:gridSpan w:val="2"/>
            <w:hideMark/>
          </w:tcPr>
          <w:p w14:paraId="32813559" w14:textId="77777777" w:rsidR="00F94A4E" w:rsidRDefault="00F94A4E">
            <w:pPr>
              <w:rPr>
                <w:color w:val="FFFFFF"/>
              </w:rPr>
            </w:pPr>
            <w:r>
              <w:t>Abbreviation</w:t>
            </w:r>
          </w:p>
        </w:tc>
        <w:tc>
          <w:tcPr>
            <w:tcW w:w="3282" w:type="pct"/>
            <w:hideMark/>
          </w:tcPr>
          <w:p w14:paraId="21E86FAD" w14:textId="77777777" w:rsidR="00F94A4E" w:rsidRDefault="00F94A4E">
            <w:r>
              <w:t>Meaning</w:t>
            </w:r>
          </w:p>
        </w:tc>
      </w:tr>
      <w:tr w:rsidR="00F94A4E" w14:paraId="2B93741D"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3F369E9C" w14:textId="77777777" w:rsidR="00F94A4E" w:rsidRDefault="00F94A4E">
            <w:r>
              <w:t>ACM</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2D6F8D7B" w14:textId="77777777" w:rsidR="00F94A4E" w:rsidRDefault="00F94A4E">
            <w:r>
              <w:t>Advisory Committee on Medicines</w:t>
            </w:r>
          </w:p>
        </w:tc>
      </w:tr>
      <w:tr w:rsidR="00F94A4E" w14:paraId="28555EED"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52DA3A80" w14:textId="77777777" w:rsidR="00F94A4E" w:rsidRDefault="00F94A4E">
            <w:r>
              <w:t>ARTG</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190322A9" w14:textId="77777777" w:rsidR="00F94A4E" w:rsidRDefault="00F94A4E">
            <w:r>
              <w:t>Australian Register of Therapeutic Goods</w:t>
            </w:r>
          </w:p>
        </w:tc>
      </w:tr>
      <w:tr w:rsidR="00F94A4E" w14:paraId="499332C2"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6E27600B" w14:textId="77777777" w:rsidR="00F94A4E" w:rsidRDefault="00F94A4E">
            <w:r>
              <w:t>ASA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779C7DCE" w14:textId="77777777" w:rsidR="00F94A4E" w:rsidRDefault="00F94A4E">
            <w:r>
              <w:t>Australia specific annex</w:t>
            </w:r>
          </w:p>
        </w:tc>
      </w:tr>
      <w:tr w:rsidR="00F94A4E" w14:paraId="7430E419"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2F0F1E1C" w14:textId="77777777" w:rsidR="00F94A4E" w:rsidRDefault="00F94A4E">
            <w:pPr>
              <w:rPr>
                <w:color w:val="000000"/>
              </w:rPr>
            </w:pPr>
            <w:r>
              <w:rPr>
                <w:color w:val="000000"/>
              </w:rPr>
              <w:t>AUC</w:t>
            </w:r>
          </w:p>
        </w:tc>
        <w:tc>
          <w:tcPr>
            <w:tcW w:w="3987" w:type="pct"/>
            <w:gridSpan w:val="2"/>
            <w:tcBorders>
              <w:top w:val="single" w:sz="8" w:space="0" w:color="002C47"/>
              <w:left w:val="single" w:sz="8" w:space="0" w:color="002C47"/>
              <w:bottom w:val="single" w:sz="8" w:space="0" w:color="002C47"/>
              <w:right w:val="single" w:sz="8" w:space="0" w:color="002C47"/>
            </w:tcBorders>
          </w:tcPr>
          <w:p w14:paraId="7202E5A5" w14:textId="77777777" w:rsidR="00F94A4E" w:rsidRDefault="00F94A4E">
            <w:pPr>
              <w:rPr>
                <w:color w:val="000000"/>
              </w:rPr>
            </w:pPr>
            <w:r>
              <w:rPr>
                <w:color w:val="000000"/>
              </w:rPr>
              <w:t>Area under the curve</w:t>
            </w:r>
          </w:p>
        </w:tc>
      </w:tr>
      <w:tr w:rsidR="00F94A4E" w14:paraId="16999207"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2AB8859" w14:textId="77777777" w:rsidR="00F94A4E" w:rsidRDefault="00F94A4E">
            <w:pPr>
              <w:rPr>
                <w:color w:val="000000"/>
              </w:rPr>
            </w:pPr>
            <w:r w:rsidRPr="009A6BAB">
              <w:t>AUC</w:t>
            </w:r>
            <w:r w:rsidRPr="009A6BAB">
              <w:rPr>
                <w:vertAlign w:val="subscript"/>
              </w:rPr>
              <w:t>0-24</w:t>
            </w:r>
            <w:r>
              <w:rPr>
                <w:vertAlign w:val="subscript"/>
              </w:rPr>
              <w:t>h</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599A7C26" w14:textId="77777777" w:rsidR="00F94A4E" w:rsidRDefault="00F94A4E">
            <w:r>
              <w:rPr>
                <w:szCs w:val="22"/>
              </w:rPr>
              <w:t>Area under the curve from time zero to 24 hours</w:t>
            </w:r>
          </w:p>
        </w:tc>
      </w:tr>
      <w:tr w:rsidR="00F94A4E" w14:paraId="07499A9E"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C83D051" w14:textId="77777777" w:rsidR="00F94A4E" w:rsidRPr="009847A0" w:rsidRDefault="00F94A4E">
            <w:pPr>
              <w:rPr>
                <w:color w:val="000000"/>
                <w:vertAlign w:val="subscript"/>
              </w:rPr>
            </w:pPr>
            <w:r>
              <w:rPr>
                <w:color w:val="000000"/>
              </w:rPr>
              <w:t>AUC</w:t>
            </w:r>
            <w:r>
              <w:rPr>
                <w:color w:val="000000"/>
                <w:vertAlign w:val="subscript"/>
              </w:rPr>
              <w:t>0-∞</w:t>
            </w:r>
          </w:p>
        </w:tc>
        <w:tc>
          <w:tcPr>
            <w:tcW w:w="3987" w:type="pct"/>
            <w:gridSpan w:val="2"/>
            <w:tcBorders>
              <w:top w:val="single" w:sz="8" w:space="0" w:color="002C47"/>
              <w:left w:val="single" w:sz="8" w:space="0" w:color="002C47"/>
              <w:bottom w:val="single" w:sz="8" w:space="0" w:color="002C47"/>
              <w:right w:val="single" w:sz="8" w:space="0" w:color="002C47"/>
            </w:tcBorders>
          </w:tcPr>
          <w:p w14:paraId="07DB68A1" w14:textId="77777777" w:rsidR="00F94A4E" w:rsidRDefault="00F94A4E">
            <w:pPr>
              <w:rPr>
                <w:color w:val="000000"/>
              </w:rPr>
            </w:pPr>
            <w:r>
              <w:rPr>
                <w:color w:val="000000"/>
              </w:rPr>
              <w:t>Area under the curve from time zero extrapolated to infinity</w:t>
            </w:r>
          </w:p>
        </w:tc>
      </w:tr>
      <w:tr w:rsidR="00F94A4E" w14:paraId="61AD9BC6"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2DBD66BB" w14:textId="77777777" w:rsidR="00F94A4E" w:rsidRPr="005B286F" w:rsidRDefault="00F94A4E">
            <w:pPr>
              <w:rPr>
                <w:color w:val="000000"/>
                <w:vertAlign w:val="subscript"/>
              </w:rPr>
            </w:pPr>
            <w:r>
              <w:rPr>
                <w:color w:val="000000"/>
              </w:rPr>
              <w:t>AUC</w:t>
            </w:r>
            <w:r>
              <w:rPr>
                <w:color w:val="000000"/>
                <w:vertAlign w:val="subscript"/>
              </w:rPr>
              <w:t>0-t</w:t>
            </w:r>
          </w:p>
        </w:tc>
        <w:tc>
          <w:tcPr>
            <w:tcW w:w="3987" w:type="pct"/>
            <w:gridSpan w:val="2"/>
            <w:tcBorders>
              <w:top w:val="single" w:sz="8" w:space="0" w:color="002C47"/>
              <w:left w:val="single" w:sz="8" w:space="0" w:color="002C47"/>
              <w:bottom w:val="single" w:sz="8" w:space="0" w:color="002C47"/>
              <w:right w:val="single" w:sz="8" w:space="0" w:color="002C47"/>
            </w:tcBorders>
          </w:tcPr>
          <w:p w14:paraId="561AEAC6" w14:textId="77777777" w:rsidR="00F94A4E" w:rsidRDefault="00F94A4E">
            <w:pPr>
              <w:rPr>
                <w:color w:val="000000"/>
              </w:rPr>
            </w:pPr>
            <w:r>
              <w:rPr>
                <w:color w:val="000000"/>
              </w:rPr>
              <w:t>Area under the curve from time zero to last measurable concentration</w:t>
            </w:r>
          </w:p>
        </w:tc>
      </w:tr>
      <w:tr w:rsidR="00F94A4E" w14:paraId="64997096"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5C3DDFB5" w14:textId="77777777" w:rsidR="00F94A4E" w:rsidRPr="005B286F" w:rsidRDefault="00F94A4E">
            <w:pPr>
              <w:rPr>
                <w:color w:val="000000"/>
                <w:vertAlign w:val="subscript"/>
              </w:rPr>
            </w:pPr>
            <w:r>
              <w:rPr>
                <w:color w:val="000000"/>
              </w:rPr>
              <w:t>C</w:t>
            </w:r>
            <w:r>
              <w:rPr>
                <w:color w:val="000000"/>
                <w:vertAlign w:val="subscript"/>
              </w:rPr>
              <w:t>0</w:t>
            </w:r>
          </w:p>
        </w:tc>
        <w:tc>
          <w:tcPr>
            <w:tcW w:w="3987" w:type="pct"/>
            <w:gridSpan w:val="2"/>
            <w:tcBorders>
              <w:top w:val="single" w:sz="8" w:space="0" w:color="002C47"/>
              <w:left w:val="single" w:sz="8" w:space="0" w:color="002C47"/>
              <w:bottom w:val="single" w:sz="8" w:space="0" w:color="002C47"/>
              <w:right w:val="single" w:sz="8" w:space="0" w:color="002C47"/>
            </w:tcBorders>
          </w:tcPr>
          <w:p w14:paraId="4CBC085B" w14:textId="77777777" w:rsidR="00F94A4E" w:rsidRDefault="00F94A4E">
            <w:pPr>
              <w:rPr>
                <w:color w:val="000000"/>
              </w:rPr>
            </w:pPr>
            <w:r>
              <w:rPr>
                <w:color w:val="000000"/>
              </w:rPr>
              <w:t>Concentration at time zero (dosing)</w:t>
            </w:r>
          </w:p>
        </w:tc>
      </w:tr>
      <w:tr w:rsidR="00F94A4E" w14:paraId="1812C3CD"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6D81090D" w14:textId="77777777" w:rsidR="00F94A4E" w:rsidRPr="005B286F" w:rsidRDefault="00F94A4E">
            <w:pPr>
              <w:rPr>
                <w:color w:val="000000"/>
                <w:vertAlign w:val="subscript"/>
              </w:rPr>
            </w:pPr>
            <w:r>
              <w:rPr>
                <w:color w:val="000000"/>
              </w:rPr>
              <w:t>C</w:t>
            </w:r>
            <w:r>
              <w:rPr>
                <w:color w:val="000000"/>
                <w:vertAlign w:val="subscript"/>
              </w:rPr>
              <w:t>24h</w:t>
            </w:r>
          </w:p>
        </w:tc>
        <w:tc>
          <w:tcPr>
            <w:tcW w:w="3987" w:type="pct"/>
            <w:gridSpan w:val="2"/>
            <w:tcBorders>
              <w:top w:val="single" w:sz="8" w:space="0" w:color="002C47"/>
              <w:left w:val="single" w:sz="8" w:space="0" w:color="002C47"/>
              <w:bottom w:val="single" w:sz="8" w:space="0" w:color="002C47"/>
              <w:right w:val="single" w:sz="8" w:space="0" w:color="002C47"/>
            </w:tcBorders>
          </w:tcPr>
          <w:p w14:paraId="0A451A68" w14:textId="77777777" w:rsidR="00F94A4E" w:rsidRDefault="00F94A4E">
            <w:pPr>
              <w:rPr>
                <w:color w:val="000000"/>
              </w:rPr>
            </w:pPr>
            <w:r>
              <w:rPr>
                <w:color w:val="000000"/>
              </w:rPr>
              <w:t>Concentration at 24 hours</w:t>
            </w:r>
          </w:p>
        </w:tc>
      </w:tr>
      <w:tr w:rsidR="00F94A4E" w14:paraId="58382B01"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22EE55E8" w14:textId="77777777" w:rsidR="00F94A4E" w:rsidRDefault="00F94A4E">
            <w:pPr>
              <w:rPr>
                <w:color w:val="000000"/>
              </w:rPr>
            </w:pPr>
            <w:r>
              <w:rPr>
                <w:color w:val="000000"/>
              </w:rPr>
              <w:t>C</w:t>
            </w:r>
            <w:r w:rsidRPr="005B286F">
              <w:rPr>
                <w:color w:val="000000"/>
                <w:vertAlign w:val="subscript"/>
              </w:rPr>
              <w:t>max</w:t>
            </w:r>
          </w:p>
        </w:tc>
        <w:tc>
          <w:tcPr>
            <w:tcW w:w="3987" w:type="pct"/>
            <w:gridSpan w:val="2"/>
            <w:tcBorders>
              <w:top w:val="single" w:sz="8" w:space="0" w:color="002C47"/>
              <w:left w:val="single" w:sz="8" w:space="0" w:color="002C47"/>
              <w:bottom w:val="single" w:sz="8" w:space="0" w:color="002C47"/>
              <w:right w:val="single" w:sz="8" w:space="0" w:color="002C47"/>
            </w:tcBorders>
          </w:tcPr>
          <w:p w14:paraId="2C62753B" w14:textId="77777777" w:rsidR="00F94A4E" w:rsidRDefault="00F94A4E">
            <w:pPr>
              <w:rPr>
                <w:color w:val="000000"/>
              </w:rPr>
            </w:pPr>
            <w:r>
              <w:rPr>
                <w:color w:val="000000"/>
              </w:rPr>
              <w:t>Maximum concentration</w:t>
            </w:r>
          </w:p>
        </w:tc>
      </w:tr>
      <w:tr w:rsidR="00F94A4E" w14:paraId="6E54834C"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DD6A5A5" w14:textId="77777777" w:rsidR="00F94A4E" w:rsidRDefault="00F94A4E">
            <w:pPr>
              <w:rPr>
                <w:color w:val="000000"/>
              </w:rPr>
            </w:pPr>
            <w:proofErr w:type="spellStart"/>
            <w:r>
              <w:rPr>
                <w:color w:val="000000"/>
              </w:rPr>
              <w:t>C</w:t>
            </w:r>
            <w:r w:rsidRPr="005B286F">
              <w:rPr>
                <w:color w:val="000000"/>
                <w:vertAlign w:val="subscript"/>
              </w:rPr>
              <w:t>min</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2E9D9471" w14:textId="77777777" w:rsidR="00F94A4E" w:rsidRDefault="00F94A4E">
            <w:pPr>
              <w:rPr>
                <w:color w:val="000000"/>
              </w:rPr>
            </w:pPr>
            <w:r>
              <w:rPr>
                <w:color w:val="000000"/>
              </w:rPr>
              <w:t>Minimum concentration</w:t>
            </w:r>
          </w:p>
        </w:tc>
      </w:tr>
      <w:tr w:rsidR="00F94A4E" w14:paraId="35AFC1D7"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3B3DE90E" w14:textId="77777777" w:rsidR="00F94A4E" w:rsidRDefault="00F94A4E">
            <w:r>
              <w:t>DLP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51228E09" w14:textId="77777777" w:rsidR="00F94A4E" w:rsidRDefault="00F94A4E">
            <w:r>
              <w:t>Data lock point</w:t>
            </w:r>
          </w:p>
        </w:tc>
      </w:tr>
      <w:tr w:rsidR="00F94A4E" w14:paraId="09E3A57B"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32AC3564" w14:textId="77777777" w:rsidR="00F94A4E" w:rsidRDefault="00F94A4E">
            <w:pPr>
              <w:rPr>
                <w:color w:val="000000"/>
              </w:rPr>
            </w:pPr>
            <w:r>
              <w:rPr>
                <w:color w:val="000000"/>
              </w:rPr>
              <w:t>EMA</w:t>
            </w:r>
          </w:p>
        </w:tc>
        <w:tc>
          <w:tcPr>
            <w:tcW w:w="3987" w:type="pct"/>
            <w:gridSpan w:val="2"/>
            <w:tcBorders>
              <w:top w:val="single" w:sz="8" w:space="0" w:color="002C47"/>
              <w:left w:val="single" w:sz="8" w:space="0" w:color="002C47"/>
              <w:bottom w:val="single" w:sz="8" w:space="0" w:color="002C47"/>
              <w:right w:val="single" w:sz="8" w:space="0" w:color="002C47"/>
            </w:tcBorders>
          </w:tcPr>
          <w:p w14:paraId="13890078" w14:textId="77777777" w:rsidR="00F94A4E" w:rsidRDefault="00F94A4E" w:rsidP="001C0237">
            <w:pPr>
              <w:rPr>
                <w:color w:val="000000"/>
              </w:rPr>
            </w:pPr>
            <w:r>
              <w:rPr>
                <w:color w:val="000000"/>
              </w:rPr>
              <w:t>European Medicines Agency (European Union)</w:t>
            </w:r>
          </w:p>
        </w:tc>
      </w:tr>
      <w:tr w:rsidR="00F94A4E" w14:paraId="66139D12"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D5027C3" w14:textId="77777777" w:rsidR="00F94A4E" w:rsidRDefault="00F94A4E">
            <w:pPr>
              <w:rPr>
                <w:color w:val="000000"/>
              </w:rPr>
            </w:pPr>
            <w:r>
              <w:rPr>
                <w:color w:val="000000"/>
              </w:rPr>
              <w:t>FDA</w:t>
            </w:r>
          </w:p>
        </w:tc>
        <w:tc>
          <w:tcPr>
            <w:tcW w:w="3987" w:type="pct"/>
            <w:gridSpan w:val="2"/>
            <w:tcBorders>
              <w:top w:val="single" w:sz="8" w:space="0" w:color="002C47"/>
              <w:left w:val="single" w:sz="8" w:space="0" w:color="002C47"/>
              <w:bottom w:val="single" w:sz="8" w:space="0" w:color="002C47"/>
              <w:right w:val="single" w:sz="8" w:space="0" w:color="002C47"/>
            </w:tcBorders>
          </w:tcPr>
          <w:p w14:paraId="07125A01" w14:textId="77777777" w:rsidR="00F94A4E" w:rsidRDefault="00F94A4E">
            <w:pPr>
              <w:rPr>
                <w:color w:val="000000"/>
              </w:rPr>
            </w:pPr>
            <w:r>
              <w:rPr>
                <w:color w:val="000000"/>
              </w:rPr>
              <w:t>Food and Drug Administration (United States of America)</w:t>
            </w:r>
          </w:p>
        </w:tc>
      </w:tr>
      <w:tr w:rsidR="00F94A4E" w14:paraId="6693FD6F"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97DAB09" w14:textId="77777777" w:rsidR="00F94A4E" w:rsidRDefault="00F94A4E">
            <w:r>
              <w:t>GMP</w:t>
            </w:r>
          </w:p>
        </w:tc>
        <w:tc>
          <w:tcPr>
            <w:tcW w:w="3987" w:type="pct"/>
            <w:gridSpan w:val="2"/>
            <w:tcBorders>
              <w:top w:val="single" w:sz="8" w:space="0" w:color="002C47"/>
              <w:left w:val="single" w:sz="8" w:space="0" w:color="002C47"/>
              <w:bottom w:val="single" w:sz="8" w:space="0" w:color="002C47"/>
              <w:right w:val="single" w:sz="8" w:space="0" w:color="002C47"/>
            </w:tcBorders>
          </w:tcPr>
          <w:p w14:paraId="0517368A" w14:textId="77777777" w:rsidR="00F94A4E" w:rsidRDefault="00F94A4E">
            <w:r>
              <w:t>Good Manufacturing Practices</w:t>
            </w:r>
          </w:p>
        </w:tc>
      </w:tr>
      <w:tr w:rsidR="00F94A4E" w14:paraId="14B203C5"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566E7918" w14:textId="77777777" w:rsidR="00F94A4E" w:rsidRDefault="00F94A4E">
            <w:pPr>
              <w:rPr>
                <w:color w:val="000000"/>
              </w:rPr>
            </w:pPr>
            <w:r>
              <w:rPr>
                <w:color w:val="000000"/>
              </w:rPr>
              <w:t>PK</w:t>
            </w:r>
          </w:p>
        </w:tc>
        <w:tc>
          <w:tcPr>
            <w:tcW w:w="3987" w:type="pct"/>
            <w:gridSpan w:val="2"/>
            <w:tcBorders>
              <w:top w:val="single" w:sz="8" w:space="0" w:color="002C47"/>
              <w:left w:val="single" w:sz="8" w:space="0" w:color="002C47"/>
              <w:bottom w:val="single" w:sz="8" w:space="0" w:color="002C47"/>
              <w:right w:val="single" w:sz="8" w:space="0" w:color="002C47"/>
            </w:tcBorders>
          </w:tcPr>
          <w:p w14:paraId="67286B87" w14:textId="77777777" w:rsidR="00F94A4E" w:rsidRDefault="00F94A4E">
            <w:pPr>
              <w:rPr>
                <w:color w:val="000000"/>
              </w:rPr>
            </w:pPr>
            <w:r>
              <w:rPr>
                <w:color w:val="000000"/>
              </w:rPr>
              <w:t>Pharmacokinetics</w:t>
            </w:r>
          </w:p>
        </w:tc>
      </w:tr>
      <w:tr w:rsidR="00F94A4E" w14:paraId="1AA7FA01"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0C475B5C" w14:textId="77777777" w:rsidR="00F94A4E" w:rsidRDefault="00F94A4E">
            <w:r>
              <w:rPr>
                <w:szCs w:val="22"/>
              </w:rPr>
              <w:t>Pop PK</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28889424" w14:textId="77777777" w:rsidR="00F94A4E" w:rsidRDefault="00F94A4E">
            <w:r>
              <w:rPr>
                <w:szCs w:val="22"/>
              </w:rPr>
              <w:t>Population pharmacokinetics</w:t>
            </w:r>
          </w:p>
        </w:tc>
      </w:tr>
      <w:tr w:rsidR="00F94A4E" w14:paraId="00F49A11"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392EB26F" w14:textId="77777777" w:rsidR="00F94A4E" w:rsidRDefault="00F94A4E">
            <w:r>
              <w:t>RMP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4F801D65" w14:textId="77777777" w:rsidR="00F94A4E" w:rsidRDefault="00F94A4E">
            <w:r>
              <w:t>Risk management plan</w:t>
            </w:r>
          </w:p>
        </w:tc>
      </w:tr>
      <w:tr w:rsidR="00F94A4E" w14:paraId="5A0BFA47"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42C720A5" w14:textId="77777777" w:rsidR="00F94A4E" w:rsidRDefault="00F94A4E">
            <w:pPr>
              <w:rPr>
                <w:color w:val="000000"/>
              </w:rPr>
            </w:pPr>
            <w:r>
              <w:rPr>
                <w:color w:val="000000"/>
              </w:rPr>
              <w:t>SmPC</w:t>
            </w:r>
          </w:p>
        </w:tc>
        <w:tc>
          <w:tcPr>
            <w:tcW w:w="3987" w:type="pct"/>
            <w:gridSpan w:val="2"/>
            <w:tcBorders>
              <w:top w:val="single" w:sz="8" w:space="0" w:color="002C47"/>
              <w:left w:val="single" w:sz="8" w:space="0" w:color="002C47"/>
              <w:bottom w:val="single" w:sz="8" w:space="0" w:color="002C47"/>
              <w:right w:val="single" w:sz="8" w:space="0" w:color="002C47"/>
            </w:tcBorders>
          </w:tcPr>
          <w:p w14:paraId="6C3C22B2" w14:textId="77777777" w:rsidR="00F94A4E" w:rsidRDefault="00F94A4E">
            <w:pPr>
              <w:rPr>
                <w:color w:val="000000"/>
              </w:rPr>
            </w:pPr>
            <w:r>
              <w:rPr>
                <w:color w:val="000000"/>
              </w:rPr>
              <w:t>Summary of Product Characteristic (European Union)</w:t>
            </w:r>
          </w:p>
        </w:tc>
      </w:tr>
      <w:tr w:rsidR="00F94A4E" w14:paraId="52F295C3"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188D5A20" w14:textId="77777777" w:rsidR="00F94A4E" w:rsidRDefault="00F94A4E">
            <w:r>
              <w:t>TGA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01C7396C" w14:textId="77777777" w:rsidR="00F94A4E" w:rsidRDefault="00F94A4E">
            <w:r>
              <w:t>Therapeutic Goods Administration</w:t>
            </w:r>
          </w:p>
        </w:tc>
      </w:tr>
      <w:tr w:rsidR="00F94A4E" w14:paraId="3C24B52E"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3F683627" w14:textId="77777777" w:rsidR="00F94A4E" w:rsidRPr="009A6BAB" w:rsidRDefault="00F94A4E">
            <w:r>
              <w:t>US(A)</w:t>
            </w:r>
          </w:p>
        </w:tc>
        <w:tc>
          <w:tcPr>
            <w:tcW w:w="3987" w:type="pct"/>
            <w:gridSpan w:val="2"/>
            <w:tcBorders>
              <w:top w:val="single" w:sz="8" w:space="0" w:color="002C47"/>
              <w:left w:val="single" w:sz="8" w:space="0" w:color="002C47"/>
              <w:bottom w:val="single" w:sz="8" w:space="0" w:color="002C47"/>
              <w:right w:val="single" w:sz="8" w:space="0" w:color="002C47"/>
            </w:tcBorders>
          </w:tcPr>
          <w:p w14:paraId="1BF25E9F" w14:textId="77777777" w:rsidR="00F94A4E" w:rsidRDefault="00F94A4E">
            <w:r>
              <w:t>United States (of America)</w:t>
            </w:r>
          </w:p>
        </w:tc>
      </w:tr>
    </w:tbl>
    <w:p w14:paraId="144FB044" w14:textId="77777777" w:rsidR="00AF2313" w:rsidRDefault="00AF2313" w:rsidP="00AF2313">
      <w:pPr>
        <w:rPr>
          <w:szCs w:val="20"/>
        </w:rPr>
      </w:pPr>
    </w:p>
    <w:p w14:paraId="7EB96142" w14:textId="77777777" w:rsidR="00FD119B" w:rsidRPr="00FD119B" w:rsidRDefault="00FD119B" w:rsidP="00FD119B">
      <w:pPr>
        <w:spacing w:before="0" w:after="200" w:line="0" w:lineRule="auto"/>
        <w:rPr>
          <w:b/>
          <w:i/>
          <w:sz w:val="24"/>
          <w:szCs w:val="24"/>
        </w:rPr>
      </w:pPr>
      <w:r w:rsidRPr="00FD119B">
        <w:rPr>
          <w:b/>
          <w:i/>
          <w:sz w:val="24"/>
          <w:szCs w:val="24"/>
        </w:rPr>
        <w:br w:type="page"/>
      </w:r>
    </w:p>
    <w:p w14:paraId="11C8C615" w14:textId="1E2E5DD7" w:rsidR="008E7846" w:rsidRDefault="009F2673" w:rsidP="008E7846">
      <w:pPr>
        <w:pStyle w:val="Heading2"/>
      </w:pPr>
      <w:bookmarkStart w:id="5" w:name="_Toc107925354"/>
      <w:r>
        <w:lastRenderedPageBreak/>
        <w:t>Pr</w:t>
      </w:r>
      <w:r w:rsidR="008E7846">
        <w:t>oduct submission</w:t>
      </w:r>
      <w:bookmarkEnd w:id="5"/>
      <w:bookmarkEnd w:id="0"/>
      <w:bookmarkEnd w:id="2"/>
    </w:p>
    <w:p w14:paraId="5E63DF9B" w14:textId="495B8611" w:rsidR="008E7846" w:rsidRDefault="008E7846" w:rsidP="009E5A87">
      <w:pPr>
        <w:pStyle w:val="Heading3"/>
        <w:rPr>
          <w:lang w:eastAsia="en-AU"/>
        </w:rPr>
      </w:pPr>
      <w:bookmarkStart w:id="6" w:name="_Toc247691502"/>
      <w:bookmarkStart w:id="7" w:name="_Toc314842483"/>
      <w:bookmarkStart w:id="8" w:name="_Toc107925355"/>
      <w:r>
        <w:rPr>
          <w:lang w:eastAsia="en-AU"/>
        </w:rPr>
        <w:t>Submission details</w:t>
      </w:r>
      <w:bookmarkEnd w:id="6"/>
      <w:bookmarkEnd w:id="7"/>
      <w:bookmarkEnd w:id="8"/>
    </w:p>
    <w:tbl>
      <w:tblPr>
        <w:tblW w:w="5000" w:type="pct"/>
        <w:tblLook w:val="01E0" w:firstRow="1" w:lastRow="1" w:firstColumn="1" w:lastColumn="1" w:noHBand="0" w:noVBand="0"/>
      </w:tblPr>
      <w:tblGrid>
        <w:gridCol w:w="2682"/>
        <w:gridCol w:w="5822"/>
      </w:tblGrid>
      <w:tr w:rsidR="009F2673" w:rsidRPr="003D1E62" w14:paraId="5442EC4D" w14:textId="77777777" w:rsidTr="00E92C2D">
        <w:tc>
          <w:tcPr>
            <w:tcW w:w="1577" w:type="pct"/>
          </w:tcPr>
          <w:p w14:paraId="7C7D2B4D" w14:textId="77777777" w:rsidR="009F2673" w:rsidRPr="003D1E62" w:rsidRDefault="009F2673" w:rsidP="009E5A87">
            <w:pPr>
              <w:rPr>
                <w:i/>
              </w:rPr>
            </w:pPr>
            <w:r>
              <w:rPr>
                <w:i/>
              </w:rPr>
              <w:t>Type of s</w:t>
            </w:r>
            <w:r w:rsidRPr="003D1E62">
              <w:rPr>
                <w:i/>
              </w:rPr>
              <w:t>ubmission</w:t>
            </w:r>
            <w:r>
              <w:rPr>
                <w:i/>
              </w:rPr>
              <w:t>:</w:t>
            </w:r>
          </w:p>
        </w:tc>
        <w:tc>
          <w:tcPr>
            <w:tcW w:w="3423" w:type="pct"/>
          </w:tcPr>
          <w:p w14:paraId="68F32E45" w14:textId="7D658436" w:rsidR="009F2673" w:rsidRPr="003D1E62" w:rsidRDefault="009074F9" w:rsidP="009074F9">
            <w:bookmarkStart w:id="9" w:name="_Hlk110253361"/>
            <w:r>
              <w:t>Extension of indications</w:t>
            </w:r>
            <w:r w:rsidR="00C008F0">
              <w:t>, and new dose form</w:t>
            </w:r>
            <w:bookmarkEnd w:id="9"/>
          </w:p>
        </w:tc>
      </w:tr>
      <w:tr w:rsidR="009F2673" w:rsidRPr="003D1E62" w14:paraId="5E8F8CBB" w14:textId="77777777" w:rsidTr="00E92C2D">
        <w:tc>
          <w:tcPr>
            <w:tcW w:w="1577" w:type="pct"/>
          </w:tcPr>
          <w:p w14:paraId="26701AA5" w14:textId="3B1592FB" w:rsidR="009F2673" w:rsidRPr="003D1E62" w:rsidRDefault="009074F9" w:rsidP="009E5A87">
            <w:pPr>
              <w:rPr>
                <w:i/>
              </w:rPr>
            </w:pPr>
            <w:r>
              <w:rPr>
                <w:i/>
              </w:rPr>
              <w:t>Product name</w:t>
            </w:r>
            <w:r w:rsidR="009F2673" w:rsidRPr="00460036">
              <w:rPr>
                <w:i/>
              </w:rPr>
              <w:t>:</w:t>
            </w:r>
          </w:p>
        </w:tc>
        <w:tc>
          <w:tcPr>
            <w:tcW w:w="3423" w:type="pct"/>
          </w:tcPr>
          <w:p w14:paraId="35BAE929" w14:textId="0F461B86" w:rsidR="009F2673" w:rsidRPr="003D1E62" w:rsidRDefault="009074F9" w:rsidP="009E5A87">
            <w:proofErr w:type="spellStart"/>
            <w:r>
              <w:t>Tivicay</w:t>
            </w:r>
            <w:proofErr w:type="spellEnd"/>
            <w:r w:rsidR="001B4991">
              <w:t xml:space="preserve">, and </w:t>
            </w:r>
            <w:proofErr w:type="spellStart"/>
            <w:r w:rsidR="001B4991">
              <w:t>Tivicay</w:t>
            </w:r>
            <w:proofErr w:type="spellEnd"/>
            <w:r w:rsidR="001B4991">
              <w:t xml:space="preserve"> PD</w:t>
            </w:r>
          </w:p>
        </w:tc>
      </w:tr>
      <w:tr w:rsidR="009F2673" w:rsidRPr="003D1E62" w14:paraId="36562006" w14:textId="77777777" w:rsidTr="00E92C2D">
        <w:tc>
          <w:tcPr>
            <w:tcW w:w="1577" w:type="pct"/>
          </w:tcPr>
          <w:p w14:paraId="4416BCAC" w14:textId="777100F7" w:rsidR="009F2673" w:rsidRPr="003D1E62" w:rsidRDefault="009074F9" w:rsidP="009E5A87">
            <w:pPr>
              <w:rPr>
                <w:i/>
              </w:rPr>
            </w:pPr>
            <w:r>
              <w:rPr>
                <w:i/>
              </w:rPr>
              <w:t>Active ingredient</w:t>
            </w:r>
            <w:r w:rsidR="009F2673" w:rsidRPr="00460036">
              <w:rPr>
                <w:i/>
              </w:rPr>
              <w:t>:</w:t>
            </w:r>
          </w:p>
        </w:tc>
        <w:tc>
          <w:tcPr>
            <w:tcW w:w="3423" w:type="pct"/>
          </w:tcPr>
          <w:p w14:paraId="3750EB0D" w14:textId="7921E0B6" w:rsidR="009F2673" w:rsidRPr="003D1E62" w:rsidRDefault="009074F9" w:rsidP="009074F9">
            <w:r>
              <w:t>Dolutegravir</w:t>
            </w:r>
            <w:r w:rsidR="001B4991">
              <w:t xml:space="preserve"> (as sodium)</w:t>
            </w:r>
          </w:p>
        </w:tc>
      </w:tr>
      <w:tr w:rsidR="009F2673" w:rsidRPr="003D1E62" w14:paraId="63AC562F" w14:textId="77777777" w:rsidTr="00E92C2D">
        <w:tc>
          <w:tcPr>
            <w:tcW w:w="1577" w:type="pct"/>
          </w:tcPr>
          <w:p w14:paraId="211758E7" w14:textId="77777777" w:rsidR="009F2673" w:rsidRPr="009F2673" w:rsidRDefault="009F2673" w:rsidP="009E5A87">
            <w:pPr>
              <w:rPr>
                <w:i/>
              </w:rPr>
            </w:pPr>
            <w:r w:rsidRPr="003D1E62">
              <w:rPr>
                <w:i/>
              </w:rPr>
              <w:t>Decision</w:t>
            </w:r>
            <w:r w:rsidRPr="009F2673">
              <w:rPr>
                <w:i/>
              </w:rPr>
              <w:t>:</w:t>
            </w:r>
          </w:p>
        </w:tc>
        <w:tc>
          <w:tcPr>
            <w:tcW w:w="3423" w:type="pct"/>
          </w:tcPr>
          <w:p w14:paraId="17BA5DC7" w14:textId="4DE1267D" w:rsidR="009F2673" w:rsidRPr="003D1E62" w:rsidRDefault="009074F9" w:rsidP="009074F9">
            <w:r>
              <w:t>Approved</w:t>
            </w:r>
          </w:p>
        </w:tc>
      </w:tr>
      <w:tr w:rsidR="009F2673" w:rsidRPr="003D1E62" w14:paraId="54F6B185" w14:textId="77777777" w:rsidTr="00E92C2D">
        <w:tc>
          <w:tcPr>
            <w:tcW w:w="1577" w:type="pct"/>
          </w:tcPr>
          <w:p w14:paraId="6573406F" w14:textId="77777777" w:rsidR="009F2673" w:rsidRPr="003D1E62" w:rsidRDefault="009F2673" w:rsidP="009E5A87">
            <w:pPr>
              <w:rPr>
                <w:i/>
              </w:rPr>
            </w:pPr>
            <w:r w:rsidRPr="003D1E62">
              <w:rPr>
                <w:i/>
              </w:rPr>
              <w:t xml:space="preserve">Date of </w:t>
            </w:r>
            <w:r>
              <w:rPr>
                <w:i/>
              </w:rPr>
              <w:t>d</w:t>
            </w:r>
            <w:r w:rsidRPr="003D1E62">
              <w:rPr>
                <w:i/>
              </w:rPr>
              <w:t>ecision:</w:t>
            </w:r>
          </w:p>
        </w:tc>
        <w:tc>
          <w:tcPr>
            <w:tcW w:w="3423" w:type="pct"/>
          </w:tcPr>
          <w:p w14:paraId="117BC9BA" w14:textId="579E2A08" w:rsidR="009F2673" w:rsidRPr="003D1E62" w:rsidRDefault="00F94A4E" w:rsidP="009E5A87">
            <w:r>
              <w:t>15 September 2021</w:t>
            </w:r>
          </w:p>
        </w:tc>
      </w:tr>
      <w:tr w:rsidR="009F2673" w:rsidRPr="003D1E62" w14:paraId="690618C6" w14:textId="77777777" w:rsidTr="00E92C2D">
        <w:tc>
          <w:tcPr>
            <w:tcW w:w="1577" w:type="pct"/>
          </w:tcPr>
          <w:p w14:paraId="17052A10" w14:textId="77777777" w:rsidR="009F2673" w:rsidRPr="00441C3F" w:rsidRDefault="009F2673" w:rsidP="009E5A87">
            <w:pPr>
              <w:rPr>
                <w:i/>
              </w:rPr>
            </w:pPr>
            <w:r w:rsidRPr="00441C3F">
              <w:rPr>
                <w:i/>
              </w:rPr>
              <w:t>Date of entry onto ARTG</w:t>
            </w:r>
            <w:r>
              <w:rPr>
                <w:i/>
              </w:rPr>
              <w:t>:</w:t>
            </w:r>
          </w:p>
        </w:tc>
        <w:tc>
          <w:tcPr>
            <w:tcW w:w="3423" w:type="pct"/>
          </w:tcPr>
          <w:p w14:paraId="3C2B6D1F" w14:textId="3E2330DE" w:rsidR="009F2673" w:rsidRPr="009F2673" w:rsidRDefault="00A6696F" w:rsidP="009E5A87">
            <w:r>
              <w:t>20 September 2021</w:t>
            </w:r>
            <w:r w:rsidR="009F2673" w:rsidRPr="009F2673">
              <w:t xml:space="preserve"> </w:t>
            </w:r>
          </w:p>
        </w:tc>
      </w:tr>
      <w:tr w:rsidR="009F2673" w:rsidRPr="003D1E62" w14:paraId="593CD5EE" w14:textId="77777777" w:rsidTr="00E92C2D">
        <w:tc>
          <w:tcPr>
            <w:tcW w:w="1577" w:type="pct"/>
          </w:tcPr>
          <w:p w14:paraId="29F14DF4" w14:textId="0AA870B9" w:rsidR="009F2673" w:rsidRPr="00441C3F" w:rsidRDefault="006D1EEA" w:rsidP="009E5A87">
            <w:pPr>
              <w:rPr>
                <w:i/>
              </w:rPr>
            </w:pPr>
            <w:r>
              <w:rPr>
                <w:i/>
              </w:rPr>
              <w:t>ARTG numbers</w:t>
            </w:r>
            <w:r w:rsidR="009F2673">
              <w:rPr>
                <w:i/>
              </w:rPr>
              <w:t>:</w:t>
            </w:r>
          </w:p>
        </w:tc>
        <w:tc>
          <w:tcPr>
            <w:tcW w:w="3423" w:type="pct"/>
          </w:tcPr>
          <w:p w14:paraId="2948644E" w14:textId="1934BE03" w:rsidR="006D1EEA" w:rsidRPr="00441C3F" w:rsidRDefault="006D1EEA" w:rsidP="009E5A87">
            <w:r>
              <w:t>205212, 312781, 312782, and 340591</w:t>
            </w:r>
          </w:p>
        </w:tc>
      </w:tr>
      <w:tr w:rsidR="009F2673" w:rsidRPr="003D1E62" w14:paraId="3DC29985" w14:textId="77777777" w:rsidTr="00E92C2D">
        <w:tc>
          <w:tcPr>
            <w:tcW w:w="1577" w:type="pct"/>
          </w:tcPr>
          <w:p w14:paraId="0DE80440" w14:textId="1FB8C467" w:rsidR="009F2673" w:rsidRDefault="001B1DA4" w:rsidP="009E5A87">
            <w:pPr>
              <w:rPr>
                <w:i/>
              </w:rPr>
            </w:pPr>
            <w:r>
              <w:rPr>
                <w:rFonts w:ascii="Wingdings 3" w:hAnsi="Wingdings 3"/>
                <w:sz w:val="34"/>
                <w:szCs w:val="34"/>
                <w:lang w:eastAsia="en-AU"/>
              </w:rPr>
              <w:t></w:t>
            </w:r>
            <w:hyperlink r:id="rId14" w:history="1">
              <w:r w:rsidR="009F2673" w:rsidRPr="009F2673">
                <w:rPr>
                  <w:rStyle w:val="Hyperlink"/>
                  <w:i/>
                </w:rPr>
                <w:t>Black Triangle Scheme</w:t>
              </w:r>
            </w:hyperlink>
            <w:r w:rsidR="009F2673">
              <w:rPr>
                <w:i/>
              </w:rPr>
              <w:t>:</w:t>
            </w:r>
          </w:p>
        </w:tc>
        <w:tc>
          <w:tcPr>
            <w:tcW w:w="3423" w:type="pct"/>
          </w:tcPr>
          <w:p w14:paraId="18F7B73C" w14:textId="13514645" w:rsidR="009F2673" w:rsidRDefault="006D1EEA" w:rsidP="009E5A87">
            <w:r>
              <w:t>Yes</w:t>
            </w:r>
          </w:p>
          <w:p w14:paraId="0183F109" w14:textId="0DDA000C" w:rsidR="009F2673" w:rsidRPr="00487162" w:rsidRDefault="009F2673" w:rsidP="009E5A87">
            <w:r>
              <w:t>This product will remain in the scheme for 5 years, starting on the date the new indication was approved</w:t>
            </w:r>
          </w:p>
        </w:tc>
      </w:tr>
      <w:tr w:rsidR="009F2673" w:rsidRPr="003D1E62" w14:paraId="37575003" w14:textId="77777777" w:rsidTr="00E92C2D">
        <w:tc>
          <w:tcPr>
            <w:tcW w:w="1577" w:type="pct"/>
          </w:tcPr>
          <w:p w14:paraId="6D886672" w14:textId="77777777" w:rsidR="009F2673" w:rsidRPr="009F2673" w:rsidRDefault="009F2673" w:rsidP="009E5A87">
            <w:pPr>
              <w:rPr>
                <w:i/>
              </w:rPr>
            </w:pPr>
            <w:r w:rsidRPr="00487162">
              <w:rPr>
                <w:i/>
              </w:rPr>
              <w:t xml:space="preserve">Sponsor’s </w:t>
            </w:r>
            <w:r>
              <w:rPr>
                <w:i/>
              </w:rPr>
              <w:t>n</w:t>
            </w:r>
            <w:r w:rsidRPr="00487162">
              <w:rPr>
                <w:i/>
              </w:rPr>
              <w:t xml:space="preserve">ame and </w:t>
            </w:r>
            <w:r>
              <w:rPr>
                <w:i/>
              </w:rPr>
              <w:t>a</w:t>
            </w:r>
            <w:r w:rsidRPr="00487162">
              <w:rPr>
                <w:i/>
              </w:rPr>
              <w:t>ddress:</w:t>
            </w:r>
          </w:p>
        </w:tc>
        <w:tc>
          <w:tcPr>
            <w:tcW w:w="3423" w:type="pct"/>
          </w:tcPr>
          <w:p w14:paraId="423A3E4D" w14:textId="77777777" w:rsidR="009F2673" w:rsidRDefault="006D1EEA" w:rsidP="009E5A87">
            <w:proofErr w:type="spellStart"/>
            <w:r>
              <w:t>ViiV</w:t>
            </w:r>
            <w:proofErr w:type="spellEnd"/>
            <w:r>
              <w:t xml:space="preserve"> Healthcare Pty Ltd</w:t>
            </w:r>
          </w:p>
          <w:p w14:paraId="5836199A" w14:textId="77777777" w:rsidR="006D1EEA" w:rsidRDefault="006D1EEA" w:rsidP="009E5A87">
            <w:r>
              <w:t>Level 4, 436 Johnston Street</w:t>
            </w:r>
          </w:p>
          <w:p w14:paraId="24CF14A2" w14:textId="159189D6" w:rsidR="006D1EEA" w:rsidRDefault="006D1EEA" w:rsidP="009E5A87">
            <w:r>
              <w:t>Abbotsford, VIC 3067</w:t>
            </w:r>
          </w:p>
        </w:tc>
      </w:tr>
      <w:tr w:rsidR="009F2673" w:rsidRPr="003D1E62" w14:paraId="6D290317" w14:textId="77777777" w:rsidTr="00E92C2D">
        <w:tc>
          <w:tcPr>
            <w:tcW w:w="1577" w:type="pct"/>
          </w:tcPr>
          <w:p w14:paraId="2BA54FAB" w14:textId="2E50E40E" w:rsidR="009F2673" w:rsidRPr="00487162" w:rsidRDefault="006D1EEA" w:rsidP="009E5A87">
            <w:pPr>
              <w:rPr>
                <w:i/>
              </w:rPr>
            </w:pPr>
            <w:r>
              <w:rPr>
                <w:i/>
              </w:rPr>
              <w:t>Dose forms</w:t>
            </w:r>
            <w:r w:rsidR="009F2673">
              <w:rPr>
                <w:i/>
              </w:rPr>
              <w:t>:</w:t>
            </w:r>
          </w:p>
        </w:tc>
        <w:tc>
          <w:tcPr>
            <w:tcW w:w="3423" w:type="pct"/>
          </w:tcPr>
          <w:p w14:paraId="336808AA" w14:textId="77777777" w:rsidR="001B4991" w:rsidRDefault="001B4991" w:rsidP="009E5A87">
            <w:proofErr w:type="spellStart"/>
            <w:r>
              <w:t>Tivicay</w:t>
            </w:r>
            <w:proofErr w:type="spellEnd"/>
            <w:r>
              <w:t>: f</w:t>
            </w:r>
            <w:r w:rsidR="006D1EEA">
              <w:t>ilm-coated tablet</w:t>
            </w:r>
          </w:p>
          <w:p w14:paraId="7FEE1F05" w14:textId="52A6EBE7" w:rsidR="009F2673" w:rsidRDefault="001B4991" w:rsidP="009E5A87">
            <w:proofErr w:type="spellStart"/>
            <w:r>
              <w:t>Tivicay</w:t>
            </w:r>
            <w:proofErr w:type="spellEnd"/>
            <w:r>
              <w:t xml:space="preserve"> PD: </w:t>
            </w:r>
            <w:r w:rsidR="006D1EEA">
              <w:t>dispersible tablet</w:t>
            </w:r>
          </w:p>
        </w:tc>
      </w:tr>
      <w:tr w:rsidR="009F2673" w:rsidRPr="003D1E62" w14:paraId="3EC462C6" w14:textId="77777777" w:rsidTr="00E92C2D">
        <w:tc>
          <w:tcPr>
            <w:tcW w:w="1577" w:type="pct"/>
          </w:tcPr>
          <w:p w14:paraId="5968885C" w14:textId="4FD94AC1" w:rsidR="009F2673" w:rsidRPr="00487162" w:rsidRDefault="001B4991" w:rsidP="009E5A87">
            <w:pPr>
              <w:rPr>
                <w:i/>
              </w:rPr>
            </w:pPr>
            <w:r>
              <w:rPr>
                <w:i/>
              </w:rPr>
              <w:t>Strengths</w:t>
            </w:r>
            <w:r w:rsidR="009F2673" w:rsidRPr="00487162">
              <w:rPr>
                <w:i/>
              </w:rPr>
              <w:t>:</w:t>
            </w:r>
          </w:p>
        </w:tc>
        <w:tc>
          <w:tcPr>
            <w:tcW w:w="3423" w:type="pct"/>
          </w:tcPr>
          <w:p w14:paraId="4A0C3969" w14:textId="77777777" w:rsidR="009F2673" w:rsidRDefault="001B4991" w:rsidP="009E5A87">
            <w:proofErr w:type="spellStart"/>
            <w:r>
              <w:t>Tivicay</w:t>
            </w:r>
            <w:proofErr w:type="spellEnd"/>
            <w:r>
              <w:t xml:space="preserve">: 10 mg, 25 </w:t>
            </w:r>
            <w:proofErr w:type="gramStart"/>
            <w:r>
              <w:t>mg</w:t>
            </w:r>
            <w:proofErr w:type="gramEnd"/>
            <w:r>
              <w:t xml:space="preserve"> and 50 mg</w:t>
            </w:r>
          </w:p>
          <w:p w14:paraId="1A4406C5" w14:textId="2381658C" w:rsidR="001B4991" w:rsidRDefault="001B4991" w:rsidP="009E5A87">
            <w:proofErr w:type="spellStart"/>
            <w:r>
              <w:t>Tiv</w:t>
            </w:r>
            <w:r w:rsidR="00C008F0">
              <w:t>i</w:t>
            </w:r>
            <w:r>
              <w:t>cay</w:t>
            </w:r>
            <w:proofErr w:type="spellEnd"/>
            <w:r>
              <w:t xml:space="preserve"> PD: 5 mg</w:t>
            </w:r>
          </w:p>
        </w:tc>
      </w:tr>
      <w:tr w:rsidR="009F2673" w:rsidRPr="003D1E62" w14:paraId="3696FB42" w14:textId="77777777" w:rsidTr="00E92C2D">
        <w:tc>
          <w:tcPr>
            <w:tcW w:w="1577" w:type="pct"/>
          </w:tcPr>
          <w:p w14:paraId="0F0E0A0B" w14:textId="53F1ADF3" w:rsidR="009F2673" w:rsidRPr="00487162" w:rsidRDefault="001B4991" w:rsidP="009E5A87">
            <w:pPr>
              <w:rPr>
                <w:i/>
              </w:rPr>
            </w:pPr>
            <w:r>
              <w:rPr>
                <w:i/>
              </w:rPr>
              <w:t>Container</w:t>
            </w:r>
            <w:r w:rsidR="009F2673" w:rsidRPr="00487162">
              <w:rPr>
                <w:i/>
              </w:rPr>
              <w:t>:</w:t>
            </w:r>
          </w:p>
        </w:tc>
        <w:tc>
          <w:tcPr>
            <w:tcW w:w="3423" w:type="pct"/>
          </w:tcPr>
          <w:p w14:paraId="28A3FFBF" w14:textId="399BF2F1" w:rsidR="009F2673" w:rsidRDefault="001B4991" w:rsidP="009E5A87">
            <w:r>
              <w:t>Bottle</w:t>
            </w:r>
          </w:p>
        </w:tc>
      </w:tr>
      <w:tr w:rsidR="009F2673" w:rsidRPr="003D1E62" w14:paraId="45D23F84" w14:textId="77777777" w:rsidTr="00E92C2D">
        <w:tc>
          <w:tcPr>
            <w:tcW w:w="1577" w:type="pct"/>
          </w:tcPr>
          <w:p w14:paraId="5931E7A5" w14:textId="62E2C78C" w:rsidR="009F2673" w:rsidRPr="00487162" w:rsidRDefault="00C008F0" w:rsidP="009E5A87">
            <w:pPr>
              <w:rPr>
                <w:i/>
              </w:rPr>
            </w:pPr>
            <w:r>
              <w:rPr>
                <w:i/>
              </w:rPr>
              <w:t>Pack sizes</w:t>
            </w:r>
            <w:r w:rsidR="009F2673" w:rsidRPr="00487162">
              <w:rPr>
                <w:i/>
              </w:rPr>
              <w:t>:</w:t>
            </w:r>
          </w:p>
        </w:tc>
        <w:tc>
          <w:tcPr>
            <w:tcW w:w="3423" w:type="pct"/>
          </w:tcPr>
          <w:p w14:paraId="7CC4E814" w14:textId="05444369" w:rsidR="009F2673" w:rsidRDefault="00C008F0" w:rsidP="009E5A87">
            <w:proofErr w:type="spellStart"/>
            <w:r>
              <w:t>Tivicay</w:t>
            </w:r>
            <w:proofErr w:type="spellEnd"/>
            <w:r>
              <w:t xml:space="preserve"> 10 mg, 25 </w:t>
            </w:r>
            <w:proofErr w:type="gramStart"/>
            <w:r>
              <w:t>mg</w:t>
            </w:r>
            <w:proofErr w:type="gramEnd"/>
            <w:r>
              <w:t xml:space="preserve"> and 50 mg</w:t>
            </w:r>
            <w:r w:rsidR="00600D70">
              <w:t>: 3</w:t>
            </w:r>
            <w:r>
              <w:t>0 tablets</w:t>
            </w:r>
          </w:p>
          <w:p w14:paraId="6A908885" w14:textId="79DE54E8" w:rsidR="00C008F0" w:rsidRDefault="00C008F0" w:rsidP="009E5A87">
            <w:proofErr w:type="spellStart"/>
            <w:r>
              <w:t>Tivicay</w:t>
            </w:r>
            <w:proofErr w:type="spellEnd"/>
            <w:r>
              <w:t xml:space="preserve"> PD 5 mg: 60 tablets</w:t>
            </w:r>
          </w:p>
        </w:tc>
      </w:tr>
      <w:tr w:rsidR="009F2673" w:rsidRPr="003D1E62" w14:paraId="1DFBA5F3" w14:textId="77777777" w:rsidTr="00E92C2D">
        <w:tc>
          <w:tcPr>
            <w:tcW w:w="1577" w:type="pct"/>
          </w:tcPr>
          <w:p w14:paraId="2DDB85B1" w14:textId="77777777" w:rsidR="009F2673" w:rsidRPr="00487162" w:rsidRDefault="009F2673" w:rsidP="009E5A87">
            <w:pPr>
              <w:rPr>
                <w:i/>
              </w:rPr>
            </w:pPr>
            <w:r w:rsidRPr="00487162">
              <w:rPr>
                <w:i/>
              </w:rPr>
              <w:t xml:space="preserve">Approved </w:t>
            </w:r>
            <w:r>
              <w:rPr>
                <w:i/>
              </w:rPr>
              <w:t>t</w:t>
            </w:r>
            <w:r w:rsidRPr="00487162">
              <w:rPr>
                <w:i/>
              </w:rPr>
              <w:t>herapeutic use:</w:t>
            </w:r>
          </w:p>
        </w:tc>
        <w:tc>
          <w:tcPr>
            <w:tcW w:w="3423" w:type="pct"/>
          </w:tcPr>
          <w:p w14:paraId="59A4AFDD" w14:textId="6A4A6D41" w:rsidR="009F2673" w:rsidRPr="00C008F0" w:rsidRDefault="00C008F0" w:rsidP="00C008F0">
            <w:pPr>
              <w:rPr>
                <w:i/>
              </w:rPr>
            </w:pPr>
            <w:proofErr w:type="spellStart"/>
            <w:r w:rsidRPr="00C008F0">
              <w:rPr>
                <w:i/>
              </w:rPr>
              <w:t>Tivicay</w:t>
            </w:r>
            <w:proofErr w:type="spellEnd"/>
            <w:r w:rsidRPr="00C008F0">
              <w:rPr>
                <w:i/>
              </w:rPr>
              <w:t xml:space="preserve"> and </w:t>
            </w:r>
            <w:proofErr w:type="spellStart"/>
            <w:r w:rsidRPr="00C008F0">
              <w:rPr>
                <w:i/>
              </w:rPr>
              <w:t>Tivicay</w:t>
            </w:r>
            <w:proofErr w:type="spellEnd"/>
            <w:r w:rsidRPr="00C008F0">
              <w:rPr>
                <w:i/>
              </w:rPr>
              <w:t xml:space="preserve"> PD are indicated for the treatment of human immunodeficiency virus (HIV) infection in combination with other antiretroviral agents in adults and children of at least 4 weeks in age or older and weighing 3 kg or more (see Section 4.4 Special Warnings </w:t>
            </w:r>
            <w:proofErr w:type="gramStart"/>
            <w:r w:rsidRPr="00C008F0">
              <w:rPr>
                <w:i/>
              </w:rPr>
              <w:t>And</w:t>
            </w:r>
            <w:proofErr w:type="gramEnd"/>
            <w:r w:rsidRPr="00C008F0">
              <w:rPr>
                <w:i/>
              </w:rPr>
              <w:t xml:space="preserve"> Precautions For Use, Dual regimens).</w:t>
            </w:r>
          </w:p>
        </w:tc>
      </w:tr>
      <w:tr w:rsidR="009F2673" w:rsidRPr="003D1E62" w14:paraId="38E01BD1" w14:textId="77777777" w:rsidTr="00E92C2D">
        <w:tc>
          <w:tcPr>
            <w:tcW w:w="1577" w:type="pct"/>
          </w:tcPr>
          <w:p w14:paraId="5A1A2DFF" w14:textId="08DD5501" w:rsidR="009F2673" w:rsidRPr="00487162" w:rsidRDefault="001B4991" w:rsidP="009E5A87">
            <w:pPr>
              <w:rPr>
                <w:i/>
              </w:rPr>
            </w:pPr>
            <w:r>
              <w:rPr>
                <w:i/>
              </w:rPr>
              <w:t>Route</w:t>
            </w:r>
            <w:r w:rsidR="009F2673" w:rsidRPr="00487162">
              <w:rPr>
                <w:i/>
              </w:rPr>
              <w:t xml:space="preserve"> of administration:</w:t>
            </w:r>
          </w:p>
        </w:tc>
        <w:tc>
          <w:tcPr>
            <w:tcW w:w="3423" w:type="pct"/>
          </w:tcPr>
          <w:p w14:paraId="39637DDB" w14:textId="6D9BB0D0" w:rsidR="009F2673" w:rsidRPr="00487162" w:rsidRDefault="001B4991" w:rsidP="009E5A87">
            <w:r>
              <w:t>Oral</w:t>
            </w:r>
          </w:p>
        </w:tc>
      </w:tr>
      <w:tr w:rsidR="009F2673" w:rsidRPr="003D1E62" w14:paraId="176D4981" w14:textId="77777777" w:rsidTr="00E92C2D">
        <w:tc>
          <w:tcPr>
            <w:tcW w:w="1577" w:type="pct"/>
          </w:tcPr>
          <w:p w14:paraId="0897F1ED" w14:textId="77777777" w:rsidR="009F2673" w:rsidRPr="00487162" w:rsidRDefault="009F2673" w:rsidP="009E5A87">
            <w:pPr>
              <w:rPr>
                <w:i/>
              </w:rPr>
            </w:pPr>
            <w:r w:rsidRPr="00487162">
              <w:rPr>
                <w:i/>
              </w:rPr>
              <w:t>Dosage:</w:t>
            </w:r>
          </w:p>
        </w:tc>
        <w:tc>
          <w:tcPr>
            <w:tcW w:w="3423" w:type="pct"/>
          </w:tcPr>
          <w:p w14:paraId="4828D223" w14:textId="6DAC3D5B" w:rsidR="009F2673" w:rsidRDefault="001B4991" w:rsidP="001B4991">
            <w:proofErr w:type="spellStart"/>
            <w:r>
              <w:t>Tivicay</w:t>
            </w:r>
            <w:proofErr w:type="spellEnd"/>
            <w:r>
              <w:t xml:space="preserve"> and </w:t>
            </w:r>
            <w:proofErr w:type="spellStart"/>
            <w:r>
              <w:t>Tivicay</w:t>
            </w:r>
            <w:proofErr w:type="spellEnd"/>
            <w:r>
              <w:t xml:space="preserve"> PD therapy should be initiated by a physician experienced in the management of HIV infection.</w:t>
            </w:r>
          </w:p>
          <w:p w14:paraId="42616EF5" w14:textId="2C5624C9" w:rsidR="001B4991" w:rsidRDefault="001B4991" w:rsidP="001B4991">
            <w:r>
              <w:t xml:space="preserve">Dolutegravir is available as film-coated tablets for patients aged at least 6 years and weighing at least 14 kg. Dolutegravir is also available as dispersible tablets for </w:t>
            </w:r>
            <w:r>
              <w:lastRenderedPageBreak/>
              <w:t>patients aged at least 4 weeks and weighing at least 3 kg, or for patients i</w:t>
            </w:r>
            <w:r w:rsidR="00A6696F">
              <w:t xml:space="preserve">n whom film-coated tablets are </w:t>
            </w:r>
            <w:r>
              <w:t xml:space="preserve">not appropriate. The bioavailability of film-coated tablets </w:t>
            </w:r>
            <w:r w:rsidR="00A6696F">
              <w:t xml:space="preserve">and dispersible tablets is not </w:t>
            </w:r>
            <w:r>
              <w:t>comparable therefore they must not be used as direct</w:t>
            </w:r>
            <w:r w:rsidR="00A6696F">
              <w:t xml:space="preserve"> replacements (see Section 5.2 </w:t>
            </w:r>
            <w:r>
              <w:t>Pharmacokinetic Properties</w:t>
            </w:r>
            <w:r w:rsidR="00A6696F">
              <w:t>, of the Product Information</w:t>
            </w:r>
            <w:r>
              <w:t>). For example, the recommen</w:t>
            </w:r>
            <w:r w:rsidR="00A6696F">
              <w:t xml:space="preserve">ded adult dose for film-coated </w:t>
            </w:r>
            <w:r>
              <w:t>tablets is 50 mg versus 30 mg for dispersible tablets. Patient</w:t>
            </w:r>
            <w:r w:rsidR="00A6696F">
              <w:t xml:space="preserve">s changing between film-coated </w:t>
            </w:r>
            <w:r>
              <w:t>and dispersible tablets should follow the dosing recommendat</w:t>
            </w:r>
            <w:r w:rsidR="00A6696F">
              <w:t xml:space="preserve">ions that are specific for the </w:t>
            </w:r>
            <w:r>
              <w:t>formulation.</w:t>
            </w:r>
          </w:p>
          <w:p w14:paraId="03BAC1B3" w14:textId="067454C3" w:rsidR="001B4991" w:rsidRDefault="00A6696F" w:rsidP="001B4991">
            <w:proofErr w:type="spellStart"/>
            <w:r>
              <w:t>Tivicay</w:t>
            </w:r>
            <w:proofErr w:type="spellEnd"/>
            <w:r>
              <w:t xml:space="preserve"> </w:t>
            </w:r>
            <w:r w:rsidR="001B4991">
              <w:t xml:space="preserve">and </w:t>
            </w:r>
            <w:proofErr w:type="spellStart"/>
            <w:r>
              <w:t>Tivicay</w:t>
            </w:r>
            <w:proofErr w:type="spellEnd"/>
            <w:r>
              <w:t xml:space="preserve"> </w:t>
            </w:r>
            <w:r w:rsidR="001B4991">
              <w:t>PD can be taken with or without food.</w:t>
            </w:r>
          </w:p>
          <w:p w14:paraId="611255AA" w14:textId="77777777" w:rsidR="009F2673" w:rsidRPr="00487162" w:rsidRDefault="009F2673" w:rsidP="009E5A87">
            <w:r w:rsidRPr="00460036">
              <w:t>For further information regarding dosage, refer to the Product Information.</w:t>
            </w:r>
          </w:p>
        </w:tc>
      </w:tr>
      <w:tr w:rsidR="009F2673" w:rsidRPr="003D1E62" w14:paraId="14B62A81" w14:textId="77777777" w:rsidTr="00E92C2D">
        <w:tc>
          <w:tcPr>
            <w:tcW w:w="1577" w:type="pct"/>
          </w:tcPr>
          <w:p w14:paraId="56A99F2C" w14:textId="77777777" w:rsidR="009F2673" w:rsidRPr="00487162" w:rsidRDefault="009F2673" w:rsidP="009E5A87">
            <w:pPr>
              <w:rPr>
                <w:i/>
              </w:rPr>
            </w:pPr>
            <w:r w:rsidRPr="00460036">
              <w:rPr>
                <w:i/>
              </w:rPr>
              <w:lastRenderedPageBreak/>
              <w:t>Pregnancy category</w:t>
            </w:r>
            <w:r>
              <w:rPr>
                <w:i/>
              </w:rPr>
              <w:t>:</w:t>
            </w:r>
          </w:p>
        </w:tc>
        <w:tc>
          <w:tcPr>
            <w:tcW w:w="3423" w:type="pct"/>
          </w:tcPr>
          <w:p w14:paraId="2E170AEE" w14:textId="6578DA10" w:rsidR="00C008F0" w:rsidRDefault="00C008F0" w:rsidP="00C008F0">
            <w:r>
              <w:t>B1</w:t>
            </w:r>
          </w:p>
          <w:p w14:paraId="450B13A5" w14:textId="77777777" w:rsidR="00C008F0" w:rsidRDefault="00C008F0" w:rsidP="00C008F0">
            <w:r>
              <w:t xml:space="preserve">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w:t>
            </w:r>
          </w:p>
          <w:p w14:paraId="1353E649" w14:textId="19DE5FFC" w:rsidR="009F2673" w:rsidRPr="00487162" w:rsidRDefault="00C008F0" w:rsidP="009E5A87">
            <w:r>
              <w:t>Studies in animals have not shown evidence of an increased occurrence of fetal damage.</w:t>
            </w:r>
          </w:p>
        </w:tc>
      </w:tr>
    </w:tbl>
    <w:p w14:paraId="3386E3DA" w14:textId="77777777" w:rsidR="008E7846" w:rsidRDefault="008E7846" w:rsidP="008E7846">
      <w:pPr>
        <w:pStyle w:val="Heading3"/>
      </w:pPr>
      <w:bookmarkStart w:id="10" w:name="_Toc247691503"/>
      <w:bookmarkStart w:id="11" w:name="_Toc314842484"/>
      <w:bookmarkStart w:id="12" w:name="_Toc107925356"/>
      <w:r>
        <w:t>Product background</w:t>
      </w:r>
      <w:bookmarkEnd w:id="10"/>
      <w:bookmarkEnd w:id="11"/>
      <w:bookmarkEnd w:id="12"/>
    </w:p>
    <w:p w14:paraId="4B80A940" w14:textId="6C042BC3" w:rsidR="009F2673" w:rsidRDefault="009F2673" w:rsidP="009F2673">
      <w:r w:rsidRPr="000A4A42">
        <w:t xml:space="preserve">This AusPAR describes the </w:t>
      </w:r>
      <w:r w:rsidR="001E359E">
        <w:t>submission</w:t>
      </w:r>
      <w:r w:rsidR="007D284D">
        <w:t xml:space="preserve"> by </w:t>
      </w:r>
      <w:proofErr w:type="spellStart"/>
      <w:r w:rsidR="007D284D">
        <w:t>ViiV</w:t>
      </w:r>
      <w:proofErr w:type="spellEnd"/>
      <w:r w:rsidR="007D284D">
        <w:t xml:space="preserve"> Healthcare Pty Ltd</w:t>
      </w:r>
      <w:r w:rsidRPr="000A4A42">
        <w:t xml:space="preserve"> (the sponsor) to register </w:t>
      </w:r>
      <w:proofErr w:type="spellStart"/>
      <w:r w:rsidR="007D284D">
        <w:t>Tivicay</w:t>
      </w:r>
      <w:proofErr w:type="spellEnd"/>
      <w:r w:rsidR="007D284D">
        <w:t xml:space="preserve"> (dolutegravir</w:t>
      </w:r>
      <w:r w:rsidRPr="000A4A42">
        <w:t>)</w:t>
      </w:r>
      <w:r w:rsidR="003907F3">
        <w:t xml:space="preserve"> 10, 25 and 50 mg film-coated tablets (bottle); and </w:t>
      </w:r>
      <w:proofErr w:type="spellStart"/>
      <w:r w:rsidR="003907F3">
        <w:t>Tivicay</w:t>
      </w:r>
      <w:proofErr w:type="spellEnd"/>
      <w:r w:rsidR="003907F3">
        <w:t xml:space="preserve"> PD (dolutegravir) </w:t>
      </w:r>
      <w:r w:rsidR="00F64AB2">
        <w:t>dispersible</w:t>
      </w:r>
      <w:r w:rsidR="003907F3">
        <w:t xml:space="preserve"> 5 mg tablets (bottle)</w:t>
      </w:r>
      <w:r w:rsidRPr="000A4A42">
        <w:t xml:space="preserve"> for the following proposed extension of indications:</w:t>
      </w:r>
    </w:p>
    <w:p w14:paraId="0C7FF628" w14:textId="61DDBC06" w:rsidR="00F64AB2" w:rsidRPr="00F64AB2" w:rsidRDefault="003907F3" w:rsidP="00F64AB2">
      <w:pPr>
        <w:ind w:left="720"/>
        <w:rPr>
          <w:i/>
        </w:rPr>
      </w:pPr>
      <w:proofErr w:type="spellStart"/>
      <w:r w:rsidRPr="003907F3">
        <w:rPr>
          <w:i/>
        </w:rPr>
        <w:t>Tivicay</w:t>
      </w:r>
      <w:proofErr w:type="spellEnd"/>
      <w:r w:rsidRPr="003907F3">
        <w:rPr>
          <w:i/>
        </w:rPr>
        <w:t xml:space="preserve"> and </w:t>
      </w:r>
      <w:proofErr w:type="spellStart"/>
      <w:r w:rsidRPr="003907F3">
        <w:rPr>
          <w:i/>
        </w:rPr>
        <w:t>Tivicay</w:t>
      </w:r>
      <w:proofErr w:type="spellEnd"/>
      <w:r w:rsidRPr="003907F3">
        <w:rPr>
          <w:i/>
        </w:rPr>
        <w:t xml:space="preserve"> PD are indicated for the treatment of human immunodeficiency virus (HIV) infection in combination with other antiretroviral agents in adults and children of at least 4 weeks in age or older and weighing 3 kg or more over 6 years of age</w:t>
      </w:r>
    </w:p>
    <w:p w14:paraId="7079D5EC" w14:textId="124C6466" w:rsidR="00731725" w:rsidRPr="00703924" w:rsidRDefault="00731725" w:rsidP="00703924">
      <w:r>
        <w:rPr>
          <w:lang w:eastAsia="ja-JP"/>
        </w:rPr>
        <w:t xml:space="preserve">At the time of submission, dolutegravir had been approved for use in Australia for the </w:t>
      </w:r>
      <w:r w:rsidRPr="00703924">
        <w:t>indication below:</w:t>
      </w:r>
    </w:p>
    <w:p w14:paraId="565F5CAF" w14:textId="0A53F564" w:rsidR="00731725" w:rsidRPr="00703924" w:rsidRDefault="00731725" w:rsidP="00703924">
      <w:pPr>
        <w:ind w:left="720"/>
        <w:rPr>
          <w:i/>
        </w:rPr>
      </w:pPr>
      <w:proofErr w:type="spellStart"/>
      <w:r w:rsidRPr="00703924">
        <w:rPr>
          <w:i/>
        </w:rPr>
        <w:t>Tivicay</w:t>
      </w:r>
      <w:proofErr w:type="spellEnd"/>
      <w:r w:rsidRPr="00703924">
        <w:rPr>
          <w:i/>
        </w:rPr>
        <w:t xml:space="preserve"> is indicated for the treatment of human immunodeficiency virus (HIV) infection in combination with other antiretroviral agents in adults and children over 6 years of age (see Section 4.4 Special Warnings </w:t>
      </w:r>
      <w:proofErr w:type="gramStart"/>
      <w:r w:rsidRPr="00703924">
        <w:rPr>
          <w:i/>
        </w:rPr>
        <w:t>And</w:t>
      </w:r>
      <w:proofErr w:type="gramEnd"/>
      <w:r w:rsidRPr="00703924">
        <w:rPr>
          <w:i/>
        </w:rPr>
        <w:t xml:space="preserve"> Precautions For Use, Dual regimens).</w:t>
      </w:r>
    </w:p>
    <w:p w14:paraId="758C03D0" w14:textId="2687589E" w:rsidR="00E94AFB" w:rsidRDefault="00731725" w:rsidP="00731725">
      <w:pPr>
        <w:rPr>
          <w:lang w:eastAsia="ja-JP"/>
        </w:rPr>
      </w:pPr>
      <w:r>
        <w:rPr>
          <w:lang w:eastAsia="ja-JP"/>
        </w:rPr>
        <w:t xml:space="preserve">The sponsor proposed to modify this indication to include a new patient population by extending the usage of dolutegravir to include children </w:t>
      </w:r>
      <w:r w:rsidR="001B6A58">
        <w:rPr>
          <w:lang w:eastAsia="ja-JP"/>
        </w:rPr>
        <w:t xml:space="preserve">aged </w:t>
      </w:r>
      <w:r>
        <w:rPr>
          <w:lang w:eastAsia="ja-JP"/>
        </w:rPr>
        <w:t>less than 6 years old.</w:t>
      </w:r>
    </w:p>
    <w:p w14:paraId="1994AB90" w14:textId="1E3B89E0" w:rsidR="00471CC1" w:rsidRPr="00726D51" w:rsidRDefault="00731725" w:rsidP="00731725">
      <w:r>
        <w:t>In addition, the sponsor proposed to r</w:t>
      </w:r>
      <w:r w:rsidR="00471CC1" w:rsidRPr="00726D51">
        <w:t>egister a new dose form</w:t>
      </w:r>
      <w:r w:rsidR="00471CC1">
        <w:t xml:space="preserve"> and strength</w:t>
      </w:r>
      <w:r w:rsidR="00471CC1" w:rsidRPr="00726D51">
        <w:t xml:space="preserve"> of the previously approved active substance</w:t>
      </w:r>
      <w:r w:rsidR="00471CC1">
        <w:t xml:space="preserve"> dolutegravir</w:t>
      </w:r>
      <w:r w:rsidR="00FF1A93">
        <w:t xml:space="preserve"> in the form of </w:t>
      </w:r>
      <w:proofErr w:type="spellStart"/>
      <w:r w:rsidR="00FF1A93">
        <w:t>Tivicay</w:t>
      </w:r>
      <w:proofErr w:type="spellEnd"/>
      <w:r w:rsidR="00FF1A93">
        <w:t xml:space="preserve"> P</w:t>
      </w:r>
      <w:r>
        <w:t>D, a dispersible tablet containing 5 mg dolutegravir.</w:t>
      </w:r>
    </w:p>
    <w:p w14:paraId="682DDB4E" w14:textId="0CDE15D2" w:rsidR="001B6A58" w:rsidRDefault="001B6A58" w:rsidP="00742806">
      <w:r>
        <w:t>The sponsor also proposed to a</w:t>
      </w:r>
      <w:r w:rsidR="00471CC1">
        <w:t>mend the existing dosing recommendations for children</w:t>
      </w:r>
      <w:r>
        <w:t xml:space="preserve"> </w:t>
      </w:r>
      <w:r w:rsidR="00471CC1">
        <w:t xml:space="preserve">to align the dosing recommendations to the </w:t>
      </w:r>
      <w:r>
        <w:t>World Health Organization</w:t>
      </w:r>
      <w:r w:rsidR="00471CC1">
        <w:t xml:space="preserve"> defined weight bands and to extend the 50 mg </w:t>
      </w:r>
      <w:r>
        <w:t>film-coated tablet</w:t>
      </w:r>
      <w:r w:rsidR="00471CC1">
        <w:t xml:space="preserve"> to</w:t>
      </w:r>
      <w:r>
        <w:t xml:space="preserve"> include</w:t>
      </w:r>
      <w:r w:rsidR="00471CC1">
        <w:t xml:space="preserve"> children weighing ≥</w:t>
      </w:r>
      <w:r>
        <w:t xml:space="preserve"> </w:t>
      </w:r>
      <w:r w:rsidR="00471CC1">
        <w:t>20 kg</w:t>
      </w:r>
      <w:r>
        <w:t>.</w:t>
      </w:r>
    </w:p>
    <w:p w14:paraId="7500E34A" w14:textId="3A112861" w:rsidR="001B6A58" w:rsidRDefault="001B6A58" w:rsidP="001B6A58">
      <w:pPr>
        <w:pStyle w:val="Heading4"/>
      </w:pPr>
      <w:r>
        <w:lastRenderedPageBreak/>
        <w:t>Treatment of HIV infection in children</w:t>
      </w:r>
    </w:p>
    <w:p w14:paraId="7D157334" w14:textId="6727980C" w:rsidR="00742806" w:rsidRDefault="00742806" w:rsidP="00742806">
      <w:r w:rsidRPr="00A6344D">
        <w:t>The predominant mode of transmission</w:t>
      </w:r>
      <w:r>
        <w:t xml:space="preserve"> of HIV infection in children in Australia is mother</w:t>
      </w:r>
      <w:r>
        <w:noBreakHyphen/>
      </w:r>
      <w:r w:rsidRPr="00A6344D">
        <w:t>to-child-transmission. The natural history of HIV infection in peri</w:t>
      </w:r>
      <w:r>
        <w:t>natally infected children is characteris</w:t>
      </w:r>
      <w:r w:rsidRPr="00A6344D">
        <w:t>ed by rapid disease progression in a significant proportion of neonates</w:t>
      </w:r>
      <w:r>
        <w:t xml:space="preserve">. </w:t>
      </w:r>
      <w:r w:rsidRPr="00A6344D">
        <w:t xml:space="preserve"> </w:t>
      </w:r>
      <w:r>
        <w:t>E</w:t>
      </w:r>
      <w:r w:rsidRPr="00DC76DA">
        <w:t>arly treatment initiation is associated with immune, growth, and neurodevelopmental bene</w:t>
      </w:r>
      <w:r>
        <w:t>fits. Rapid initiation of antiretroviral treatment is</w:t>
      </w:r>
      <w:r w:rsidRPr="00DC76DA">
        <w:t xml:space="preserve"> critical for </w:t>
      </w:r>
      <w:r>
        <w:t xml:space="preserve">infants and </w:t>
      </w:r>
      <w:r w:rsidRPr="00DC76DA">
        <w:t>children aged &lt;</w:t>
      </w:r>
      <w:r>
        <w:t> </w:t>
      </w:r>
      <w:r w:rsidRPr="00DC76DA">
        <w:t>1 year who carry the highest risk of rapid disease progression and mortality.</w:t>
      </w:r>
      <w:r>
        <w:rPr>
          <w:rStyle w:val="FootnoteReference"/>
        </w:rPr>
        <w:footnoteReference w:id="1"/>
      </w:r>
    </w:p>
    <w:p w14:paraId="3AF17D0A" w14:textId="07991456" w:rsidR="00742806" w:rsidRPr="00A6344D" w:rsidRDefault="00742806" w:rsidP="00742806">
      <w:r>
        <w:t>In Australia, the number of new HIV diagnoses has remained &lt;</w:t>
      </w:r>
      <w:r w:rsidR="00FF1A93">
        <w:t xml:space="preserve"> </w:t>
      </w:r>
      <w:r>
        <w:t>10</w:t>
      </w:r>
      <w:r w:rsidRPr="00A6344D">
        <w:t xml:space="preserve"> per year in patients less than 14 years of age.</w:t>
      </w:r>
      <w:r>
        <w:rPr>
          <w:rStyle w:val="FootnoteReference"/>
        </w:rPr>
        <w:footnoteReference w:id="2"/>
      </w:r>
    </w:p>
    <w:p w14:paraId="35FE64B9" w14:textId="303F0B4D" w:rsidR="00433B35" w:rsidRDefault="00433B35" w:rsidP="00433B35">
      <w:bookmarkStart w:id="13" w:name="_Toc314842485"/>
      <w:bookmarkStart w:id="14" w:name="_Toc247691504"/>
      <w:r>
        <w:t>Unique issues for HIV-infected children include the potential for perinatal transmission of viruses resistant to antiretro</w:t>
      </w:r>
      <w:r w:rsidR="001B6A58">
        <w:t xml:space="preserve">viral therapy </w:t>
      </w:r>
      <w:r>
        <w:t xml:space="preserve">regimens taken by mothers during pregnancy and breastfeeding; special consideration of </w:t>
      </w:r>
      <w:r w:rsidR="001B6A58">
        <w:t>adverse events</w:t>
      </w:r>
      <w:r>
        <w:t xml:space="preserve"> as children take drugs during growth and development and will be required to take </w:t>
      </w:r>
      <w:r w:rsidR="001B6A58">
        <w:t>antiretroviral therapy</w:t>
      </w:r>
      <w:r>
        <w:t xml:space="preserve"> for much longer than adults, and the need for age appropriate once daily formulations, preferably fixed dose (scored) dispersible combinations but which can be dosed flexibly in growing children, or may require different ratios of drugs from those used in adults.</w:t>
      </w:r>
    </w:p>
    <w:p w14:paraId="274D2601" w14:textId="77777777" w:rsidR="00433B35" w:rsidRDefault="00433B35" w:rsidP="00433B35">
      <w:pPr>
        <w:pStyle w:val="Heading4"/>
      </w:pPr>
      <w:bookmarkStart w:id="15" w:name="_Toc57644367"/>
      <w:r>
        <w:t>Current treatment options</w:t>
      </w:r>
      <w:bookmarkEnd w:id="15"/>
    </w:p>
    <w:p w14:paraId="55B7BA92" w14:textId="31261E41" w:rsidR="00433B35" w:rsidRDefault="00433B35" w:rsidP="001B6A58">
      <w:pPr>
        <w:rPr>
          <w:lang w:eastAsia="ja-JP"/>
        </w:rPr>
      </w:pPr>
      <w:r w:rsidRPr="004D346D">
        <w:rPr>
          <w:lang w:eastAsia="ja-JP"/>
        </w:rPr>
        <w:t>Combination antiviral therapy with HIV-1 protease and reverse transcriptase inhibitors</w:t>
      </w:r>
      <w:r>
        <w:rPr>
          <w:lang w:eastAsia="ja-JP"/>
        </w:rPr>
        <w:t xml:space="preserve"> </w:t>
      </w:r>
      <w:r w:rsidRPr="004D346D">
        <w:rPr>
          <w:lang w:eastAsia="ja-JP"/>
        </w:rPr>
        <w:t>has significantly reduced AIDS-related morbidity and mortality. However, emerging</w:t>
      </w:r>
      <w:r>
        <w:rPr>
          <w:lang w:eastAsia="ja-JP"/>
        </w:rPr>
        <w:t xml:space="preserve"> </w:t>
      </w:r>
      <w:r w:rsidR="001B6A58">
        <w:rPr>
          <w:lang w:eastAsia="ja-JP"/>
        </w:rPr>
        <w:t>multi</w:t>
      </w:r>
      <w:r w:rsidR="001B6A58">
        <w:rPr>
          <w:lang w:eastAsia="ja-JP"/>
        </w:rPr>
        <w:noBreakHyphen/>
      </w:r>
      <w:r w:rsidRPr="004D346D">
        <w:rPr>
          <w:lang w:eastAsia="ja-JP"/>
        </w:rPr>
        <w:t>class drug-resistant HIV strains and long-term toxicities warrant development of</w:t>
      </w:r>
      <w:r>
        <w:rPr>
          <w:lang w:eastAsia="ja-JP"/>
        </w:rPr>
        <w:t xml:space="preserve"> </w:t>
      </w:r>
      <w:r w:rsidRPr="004D346D">
        <w:rPr>
          <w:lang w:eastAsia="ja-JP"/>
        </w:rPr>
        <w:t xml:space="preserve">new classes of </w:t>
      </w:r>
      <w:r w:rsidR="001B6A58">
        <w:rPr>
          <w:lang w:eastAsia="ja-JP"/>
        </w:rPr>
        <w:t>antiretroviral therapy. I</w:t>
      </w:r>
      <w:r w:rsidR="001B6A58" w:rsidRPr="001B6A58">
        <w:rPr>
          <w:lang w:eastAsia="ja-JP"/>
        </w:rPr>
        <w:t>ntegrase strand transfer inhibitors (INSTIs)</w:t>
      </w:r>
      <w:r w:rsidRPr="004D346D">
        <w:rPr>
          <w:lang w:eastAsia="ja-JP"/>
        </w:rPr>
        <w:t xml:space="preserve"> are a newer class of </w:t>
      </w:r>
      <w:r w:rsidR="001B6A58">
        <w:rPr>
          <w:lang w:eastAsia="ja-JP"/>
        </w:rPr>
        <w:t>antiretroviral</w:t>
      </w:r>
      <w:r w:rsidRPr="004D346D">
        <w:rPr>
          <w:lang w:eastAsia="ja-JP"/>
        </w:rPr>
        <w:t xml:space="preserve"> drugs designed to block the</w:t>
      </w:r>
      <w:r>
        <w:rPr>
          <w:lang w:eastAsia="ja-JP"/>
        </w:rPr>
        <w:t xml:space="preserve"> </w:t>
      </w:r>
      <w:r w:rsidRPr="004D346D">
        <w:rPr>
          <w:lang w:eastAsia="ja-JP"/>
        </w:rPr>
        <w:t>action of the integrase viral enzyme, which cataly</w:t>
      </w:r>
      <w:r>
        <w:rPr>
          <w:lang w:eastAsia="ja-JP"/>
        </w:rPr>
        <w:t>s</w:t>
      </w:r>
      <w:r w:rsidRPr="004D346D">
        <w:rPr>
          <w:lang w:eastAsia="ja-JP"/>
        </w:rPr>
        <w:t xml:space="preserve">es </w:t>
      </w:r>
      <w:r>
        <w:rPr>
          <w:lang w:eastAsia="ja-JP"/>
        </w:rPr>
        <w:t>two</w:t>
      </w:r>
      <w:r w:rsidRPr="004D346D">
        <w:rPr>
          <w:lang w:eastAsia="ja-JP"/>
        </w:rPr>
        <w:t xml:space="preserve"> key steps in the HIV life cycle</w:t>
      </w:r>
      <w:r>
        <w:rPr>
          <w:lang w:eastAsia="ja-JP"/>
        </w:rPr>
        <w:t xml:space="preserve"> </w:t>
      </w:r>
      <w:r w:rsidRPr="004D346D">
        <w:rPr>
          <w:lang w:eastAsia="ja-JP"/>
        </w:rPr>
        <w:t>and is responsible for insertion of the viral genome into the DNA of the host cell. Since</w:t>
      </w:r>
      <w:r>
        <w:rPr>
          <w:lang w:eastAsia="ja-JP"/>
        </w:rPr>
        <w:t xml:space="preserve"> </w:t>
      </w:r>
      <w:r w:rsidRPr="004D346D">
        <w:rPr>
          <w:lang w:eastAsia="ja-JP"/>
        </w:rPr>
        <w:t>genome integration is a vital step in retroviral replication, it is an attractive target for HIV</w:t>
      </w:r>
      <w:r>
        <w:rPr>
          <w:lang w:eastAsia="ja-JP"/>
        </w:rPr>
        <w:t xml:space="preserve"> </w:t>
      </w:r>
      <w:r w:rsidRPr="004D346D">
        <w:rPr>
          <w:lang w:eastAsia="ja-JP"/>
        </w:rPr>
        <w:t>therapy.</w:t>
      </w:r>
    </w:p>
    <w:p w14:paraId="047D5473" w14:textId="2C19146A" w:rsidR="00433B35" w:rsidRPr="00DD2A29" w:rsidRDefault="00433B35" w:rsidP="001B6A58">
      <w:pPr>
        <w:rPr>
          <w:lang w:eastAsia="ja-JP"/>
        </w:rPr>
      </w:pPr>
      <w:r w:rsidRPr="00DD2A29">
        <w:rPr>
          <w:lang w:eastAsia="ja-JP"/>
        </w:rPr>
        <w:t>Although</w:t>
      </w:r>
      <w:r>
        <w:rPr>
          <w:lang w:eastAsia="ja-JP"/>
        </w:rPr>
        <w:t xml:space="preserve"> </w:t>
      </w:r>
      <w:r w:rsidRPr="00DD2A29">
        <w:rPr>
          <w:lang w:eastAsia="ja-JP"/>
        </w:rPr>
        <w:t xml:space="preserve">there has been substantial improvement in </w:t>
      </w:r>
      <w:r w:rsidR="001B6A58">
        <w:t xml:space="preserve">antiretroviral therapy </w:t>
      </w:r>
      <w:r w:rsidRPr="00DD2A29">
        <w:rPr>
          <w:lang w:eastAsia="ja-JP"/>
        </w:rPr>
        <w:t>coverage over the last few years, only</w:t>
      </w:r>
      <w:r>
        <w:rPr>
          <w:lang w:eastAsia="ja-JP"/>
        </w:rPr>
        <w:t xml:space="preserve"> </w:t>
      </w:r>
      <w:r w:rsidRPr="00DD2A29">
        <w:rPr>
          <w:lang w:eastAsia="ja-JP"/>
        </w:rPr>
        <w:t xml:space="preserve">half of children have access to </w:t>
      </w:r>
      <w:r w:rsidR="001B6A58">
        <w:t>antiretroviral therapy</w:t>
      </w:r>
      <w:r>
        <w:rPr>
          <w:lang w:eastAsia="ja-JP"/>
        </w:rPr>
        <w:t xml:space="preserve">. </w:t>
      </w:r>
      <w:r w:rsidRPr="00DD2A29">
        <w:rPr>
          <w:lang w:eastAsia="ja-JP"/>
        </w:rPr>
        <w:t xml:space="preserve">Rapid disease progression and high early mortality require that </w:t>
      </w:r>
      <w:r w:rsidR="001B6A58">
        <w:t xml:space="preserve">antiretroviral therapy </w:t>
      </w:r>
      <w:r w:rsidRPr="00DD2A29">
        <w:rPr>
          <w:lang w:eastAsia="ja-JP"/>
        </w:rPr>
        <w:t>is</w:t>
      </w:r>
      <w:r>
        <w:rPr>
          <w:lang w:eastAsia="ja-JP"/>
        </w:rPr>
        <w:t xml:space="preserve"> </w:t>
      </w:r>
      <w:r w:rsidRPr="00DD2A29">
        <w:rPr>
          <w:lang w:eastAsia="ja-JP"/>
        </w:rPr>
        <w:t>started early in life and many children still die before they are diagnosed. In both</w:t>
      </w:r>
      <w:r>
        <w:rPr>
          <w:lang w:eastAsia="ja-JP"/>
        </w:rPr>
        <w:t xml:space="preserve"> </w:t>
      </w:r>
      <w:r w:rsidRPr="00DD2A29">
        <w:rPr>
          <w:lang w:eastAsia="ja-JP"/>
        </w:rPr>
        <w:t xml:space="preserve">well-resourced and resource-limited settings, there is a need for alternative </w:t>
      </w:r>
      <w:proofErr w:type="gramStart"/>
      <w:r w:rsidRPr="00DD2A29">
        <w:rPr>
          <w:lang w:eastAsia="ja-JP"/>
        </w:rPr>
        <w:t>first</w:t>
      </w:r>
      <w:r>
        <w:rPr>
          <w:lang w:eastAsia="ja-JP"/>
        </w:rPr>
        <w:t xml:space="preserve"> </w:t>
      </w:r>
      <w:r w:rsidRPr="00DD2A29">
        <w:rPr>
          <w:lang w:eastAsia="ja-JP"/>
        </w:rPr>
        <w:t>and</w:t>
      </w:r>
      <w:r>
        <w:rPr>
          <w:lang w:eastAsia="ja-JP"/>
        </w:rPr>
        <w:t xml:space="preserve"> </w:t>
      </w:r>
      <w:r w:rsidRPr="00DD2A29">
        <w:rPr>
          <w:lang w:eastAsia="ja-JP"/>
        </w:rPr>
        <w:t>second</w:t>
      </w:r>
      <w:r>
        <w:rPr>
          <w:lang w:eastAsia="ja-JP"/>
        </w:rPr>
        <w:t xml:space="preserve"> </w:t>
      </w:r>
      <w:r w:rsidRPr="00DD2A29">
        <w:rPr>
          <w:lang w:eastAsia="ja-JP"/>
        </w:rPr>
        <w:t>line</w:t>
      </w:r>
      <w:proofErr w:type="gramEnd"/>
      <w:r w:rsidRPr="00DD2A29">
        <w:rPr>
          <w:lang w:eastAsia="ja-JP"/>
        </w:rPr>
        <w:t xml:space="preserve"> regimens which can be given in the face of possible transmitted resistance</w:t>
      </w:r>
      <w:r>
        <w:rPr>
          <w:lang w:eastAsia="ja-JP"/>
        </w:rPr>
        <w:t xml:space="preserve"> </w:t>
      </w:r>
      <w:r w:rsidRPr="00DD2A29">
        <w:rPr>
          <w:lang w:eastAsia="ja-JP"/>
        </w:rPr>
        <w:t xml:space="preserve">(from </w:t>
      </w:r>
      <w:r>
        <w:rPr>
          <w:lang w:eastAsia="ja-JP"/>
        </w:rPr>
        <w:t>p</w:t>
      </w:r>
      <w:r w:rsidRPr="00DD2A29">
        <w:rPr>
          <w:lang w:eastAsia="ja-JP"/>
        </w:rPr>
        <w:t xml:space="preserve">revention of mother to child transmission) or resistance arising from first-line </w:t>
      </w:r>
      <w:r w:rsidR="001B6A58">
        <w:t>antiretroviral therapy</w:t>
      </w:r>
      <w:r w:rsidRPr="00DD2A29">
        <w:rPr>
          <w:lang w:eastAsia="ja-JP"/>
        </w:rPr>
        <w:t xml:space="preserve">, whether </w:t>
      </w:r>
      <w:r>
        <w:rPr>
          <w:lang w:eastAsia="ja-JP"/>
        </w:rPr>
        <w:t>boosted protease inhibitor</w:t>
      </w:r>
      <w:r w:rsidRPr="00DD2A29">
        <w:rPr>
          <w:lang w:eastAsia="ja-JP"/>
        </w:rPr>
        <w:t xml:space="preserve"> </w:t>
      </w:r>
      <w:r>
        <w:rPr>
          <w:lang w:eastAsia="ja-JP"/>
        </w:rPr>
        <w:t>(</w:t>
      </w:r>
      <w:proofErr w:type="spellStart"/>
      <w:r>
        <w:rPr>
          <w:lang w:eastAsia="ja-JP"/>
        </w:rPr>
        <w:t>bPI</w:t>
      </w:r>
      <w:proofErr w:type="spellEnd"/>
      <w:r>
        <w:rPr>
          <w:lang w:eastAsia="ja-JP"/>
        </w:rPr>
        <w:t xml:space="preserve">) </w:t>
      </w:r>
      <w:r w:rsidRPr="00DD2A29">
        <w:rPr>
          <w:lang w:eastAsia="ja-JP"/>
        </w:rPr>
        <w:t xml:space="preserve">or </w:t>
      </w:r>
      <w:r>
        <w:rPr>
          <w:lang w:eastAsia="ja-JP"/>
        </w:rPr>
        <w:t>n</w:t>
      </w:r>
      <w:r w:rsidRPr="00DD2A29">
        <w:rPr>
          <w:lang w:eastAsia="ja-JP"/>
        </w:rPr>
        <w:t>on-nucleoside reverse transcriptase inhibitor</w:t>
      </w:r>
      <w:r>
        <w:rPr>
          <w:lang w:eastAsia="ja-JP"/>
        </w:rPr>
        <w:t xml:space="preserve"> (</w:t>
      </w:r>
      <w:r w:rsidRPr="00DD2A29">
        <w:rPr>
          <w:lang w:eastAsia="ja-JP"/>
        </w:rPr>
        <w:t>NNRTI</w:t>
      </w:r>
      <w:r>
        <w:rPr>
          <w:lang w:eastAsia="ja-JP"/>
        </w:rPr>
        <w:t xml:space="preserve">) </w:t>
      </w:r>
      <w:r w:rsidRPr="00DD2A29">
        <w:rPr>
          <w:lang w:eastAsia="ja-JP"/>
        </w:rPr>
        <w:t>based.</w:t>
      </w:r>
    </w:p>
    <w:p w14:paraId="571D7859" w14:textId="34E3C17F" w:rsidR="00433B35" w:rsidRDefault="00433B35" w:rsidP="001B6A58">
      <w:pPr>
        <w:rPr>
          <w:lang w:eastAsia="ja-JP"/>
        </w:rPr>
      </w:pPr>
      <w:r w:rsidRPr="007D0A49">
        <w:rPr>
          <w:lang w:eastAsia="ja-JP"/>
        </w:rPr>
        <w:t xml:space="preserve">Standard </w:t>
      </w:r>
      <w:r w:rsidR="00703924">
        <w:rPr>
          <w:lang w:eastAsia="ja-JP"/>
        </w:rPr>
        <w:t>antiretroviral therapy</w:t>
      </w:r>
      <w:r w:rsidRPr="007D0A49">
        <w:rPr>
          <w:lang w:eastAsia="ja-JP"/>
        </w:rPr>
        <w:t xml:space="preserve"> for children is a NNRTI or </w:t>
      </w:r>
      <w:proofErr w:type="spellStart"/>
      <w:r w:rsidRPr="007D0A49">
        <w:rPr>
          <w:lang w:eastAsia="ja-JP"/>
        </w:rPr>
        <w:t>bPI</w:t>
      </w:r>
      <w:proofErr w:type="spellEnd"/>
      <w:r w:rsidRPr="007D0A49">
        <w:rPr>
          <w:lang w:eastAsia="ja-JP"/>
        </w:rPr>
        <w:t xml:space="preserve">, plus 2 </w:t>
      </w:r>
      <w:r>
        <w:rPr>
          <w:lang w:eastAsia="ja-JP"/>
        </w:rPr>
        <w:t>n</w:t>
      </w:r>
      <w:r w:rsidRPr="007D0A49">
        <w:rPr>
          <w:lang w:eastAsia="ja-JP"/>
        </w:rPr>
        <w:t>ucleoside reverse transcriptase inhibitor (NRTIs</w:t>
      </w:r>
      <w:r>
        <w:rPr>
          <w:lang w:eastAsia="ja-JP"/>
        </w:rPr>
        <w:t>)</w:t>
      </w:r>
      <w:r w:rsidRPr="007D0A49">
        <w:rPr>
          <w:lang w:eastAsia="ja-JP"/>
        </w:rPr>
        <w:t xml:space="preserve"> and, where possible, </w:t>
      </w:r>
      <w:r w:rsidR="00797AA5">
        <w:rPr>
          <w:lang w:eastAsia="ja-JP"/>
        </w:rPr>
        <w:t>fixed dose combinations</w:t>
      </w:r>
      <w:r>
        <w:rPr>
          <w:lang w:eastAsia="ja-JP"/>
        </w:rPr>
        <w:t xml:space="preserve"> </w:t>
      </w:r>
      <w:r w:rsidRPr="007D0A49">
        <w:rPr>
          <w:lang w:eastAsia="ja-JP"/>
        </w:rPr>
        <w:t xml:space="preserve">(dosed once a day) are preferred to support adherence. </w:t>
      </w:r>
      <w:r>
        <w:rPr>
          <w:lang w:eastAsia="ja-JP"/>
        </w:rPr>
        <w:t>Not all approved drugs are approved for use in young children.</w:t>
      </w:r>
      <w:r w:rsidRPr="007D0A49">
        <w:rPr>
          <w:lang w:eastAsia="ja-JP"/>
        </w:rPr>
        <w:t xml:space="preserve"> The most frequently used </w:t>
      </w:r>
      <w:r w:rsidR="00797AA5">
        <w:rPr>
          <w:lang w:eastAsia="ja-JP"/>
        </w:rPr>
        <w:t>fixed dose combination</w:t>
      </w:r>
      <w:r w:rsidRPr="007D0A49">
        <w:rPr>
          <w:lang w:eastAsia="ja-JP"/>
        </w:rPr>
        <w:t xml:space="preserve"> in adolescents is</w:t>
      </w:r>
      <w:r>
        <w:rPr>
          <w:lang w:eastAsia="ja-JP"/>
        </w:rPr>
        <w:t xml:space="preserve"> efavirenz + tenofovir disoproxil + </w:t>
      </w:r>
      <w:proofErr w:type="gramStart"/>
      <w:r>
        <w:rPr>
          <w:lang w:eastAsia="ja-JP"/>
        </w:rPr>
        <w:t>emtricitabine</w:t>
      </w:r>
      <w:r w:rsidR="00797AA5">
        <w:rPr>
          <w:lang w:eastAsia="ja-JP"/>
        </w:rPr>
        <w:t>;</w:t>
      </w:r>
      <w:proofErr w:type="gramEnd"/>
      <w:r w:rsidR="00797AA5">
        <w:rPr>
          <w:lang w:eastAsia="ja-JP"/>
        </w:rPr>
        <w:t xml:space="preserve"> or lamivudine.</w:t>
      </w:r>
    </w:p>
    <w:p w14:paraId="209ECD7E" w14:textId="77777777" w:rsidR="00433B35" w:rsidRDefault="00433B35" w:rsidP="00433B35">
      <w:pPr>
        <w:pStyle w:val="Heading4"/>
      </w:pPr>
      <w:bookmarkStart w:id="16" w:name="_Toc57644368"/>
      <w:r>
        <w:lastRenderedPageBreak/>
        <w:t>Clinical rationale</w:t>
      </w:r>
      <w:bookmarkEnd w:id="16"/>
    </w:p>
    <w:p w14:paraId="073E287A" w14:textId="509BED4E" w:rsidR="00433B35" w:rsidRDefault="00433B35" w:rsidP="00797AA5">
      <w:pPr>
        <w:rPr>
          <w:lang w:eastAsia="ja-JP"/>
        </w:rPr>
      </w:pPr>
      <w:r w:rsidRPr="00DD2A29">
        <w:rPr>
          <w:lang w:eastAsia="ja-JP"/>
        </w:rPr>
        <w:t xml:space="preserve">New </w:t>
      </w:r>
      <w:r>
        <w:rPr>
          <w:lang w:eastAsia="ja-JP"/>
        </w:rPr>
        <w:t xml:space="preserve">treatment </w:t>
      </w:r>
      <w:r w:rsidRPr="00DD2A29">
        <w:rPr>
          <w:lang w:eastAsia="ja-JP"/>
        </w:rPr>
        <w:t>regimens need to be potent, durable, well-tolerated and available in acceptable once</w:t>
      </w:r>
      <w:r>
        <w:rPr>
          <w:lang w:eastAsia="ja-JP"/>
        </w:rPr>
        <w:t xml:space="preserve"> </w:t>
      </w:r>
      <w:r w:rsidRPr="00DD2A29">
        <w:rPr>
          <w:lang w:eastAsia="ja-JP"/>
        </w:rPr>
        <w:t>daily formulations with appropriate drug ratios. Ideally, regimens should be robust with a</w:t>
      </w:r>
      <w:r>
        <w:rPr>
          <w:lang w:eastAsia="ja-JP"/>
        </w:rPr>
        <w:t xml:space="preserve"> </w:t>
      </w:r>
      <w:r w:rsidRPr="00DD2A29">
        <w:rPr>
          <w:lang w:eastAsia="ja-JP"/>
        </w:rPr>
        <w:t>high barrier to resistance, have minimal cross-resistance, and minimal interactions with</w:t>
      </w:r>
      <w:r>
        <w:rPr>
          <w:lang w:eastAsia="ja-JP"/>
        </w:rPr>
        <w:t xml:space="preserve"> </w:t>
      </w:r>
      <w:r w:rsidRPr="00DD2A29">
        <w:rPr>
          <w:lang w:eastAsia="ja-JP"/>
        </w:rPr>
        <w:t>anti-</w:t>
      </w:r>
      <w:r w:rsidR="00797AA5">
        <w:rPr>
          <w:lang w:eastAsia="ja-JP"/>
        </w:rPr>
        <w:t>TB</w:t>
      </w:r>
      <w:r w:rsidRPr="00DD2A29">
        <w:rPr>
          <w:lang w:eastAsia="ja-JP"/>
        </w:rPr>
        <w:t xml:space="preserve"> drugs.</w:t>
      </w:r>
    </w:p>
    <w:p w14:paraId="76A391A8" w14:textId="7B169CC8" w:rsidR="00433B35" w:rsidRDefault="00433B35" w:rsidP="00797AA5">
      <w:pPr>
        <w:rPr>
          <w:lang w:eastAsia="ja-JP"/>
        </w:rPr>
      </w:pPr>
      <w:r>
        <w:rPr>
          <w:lang w:eastAsia="ja-JP"/>
        </w:rPr>
        <w:t xml:space="preserve">Dolutegravir (DTG) is an HIV-1 </w:t>
      </w:r>
      <w:r w:rsidR="00797AA5" w:rsidRPr="00797AA5">
        <w:t>i</w:t>
      </w:r>
      <w:r w:rsidRPr="00797AA5">
        <w:t>ntegrase</w:t>
      </w:r>
      <w:r w:rsidRPr="004D346D">
        <w:rPr>
          <w:lang w:eastAsia="ja-JP"/>
        </w:rPr>
        <w:t xml:space="preserve"> strand transfer inhibitor</w:t>
      </w:r>
      <w:r>
        <w:rPr>
          <w:lang w:eastAsia="ja-JP"/>
        </w:rPr>
        <w:t xml:space="preserve"> (INSTI) which can be given once daily and has a documented long term safety profile, low </w:t>
      </w:r>
      <w:r w:rsidR="00797AA5">
        <w:rPr>
          <w:lang w:eastAsia="ja-JP"/>
        </w:rPr>
        <w:t>pharmacokinetic</w:t>
      </w:r>
      <w:r>
        <w:rPr>
          <w:lang w:eastAsia="ja-JP"/>
        </w:rPr>
        <w:t xml:space="preserve"> variability, few drug interactions, rapid and robust virological response with an optimised background treatment, a known resistance profile and high potency at a low milligram dose. It therefore offers and attractive profile for children starting first line </w:t>
      </w:r>
      <w:r w:rsidR="00797AA5">
        <w:t xml:space="preserve">antiretroviral therapy </w:t>
      </w:r>
      <w:r>
        <w:rPr>
          <w:lang w:eastAsia="ja-JP"/>
        </w:rPr>
        <w:t>and those switching to second line for reasons of toxicity or failure.</w:t>
      </w:r>
    </w:p>
    <w:p w14:paraId="7C17C2DA" w14:textId="67F70581" w:rsidR="00433B35" w:rsidRDefault="00797AA5" w:rsidP="00797AA5">
      <w:pPr>
        <w:rPr>
          <w:lang w:eastAsia="ja-JP"/>
        </w:rPr>
      </w:pPr>
      <w:proofErr w:type="spellStart"/>
      <w:r>
        <w:rPr>
          <w:lang w:eastAsia="ja-JP"/>
        </w:rPr>
        <w:t>Doltegravir</w:t>
      </w:r>
      <w:proofErr w:type="spellEnd"/>
      <w:r w:rsidR="00433B35">
        <w:rPr>
          <w:lang w:eastAsia="ja-JP"/>
        </w:rPr>
        <w:t xml:space="preserve"> is already approved for </w:t>
      </w:r>
      <w:r w:rsidR="00433B35" w:rsidRPr="00BD48A3">
        <w:rPr>
          <w:lang w:eastAsia="ja-JP"/>
        </w:rPr>
        <w:t xml:space="preserve">adults and adolescents </w:t>
      </w:r>
      <w:r>
        <w:rPr>
          <w:lang w:eastAsia="ja-JP"/>
        </w:rPr>
        <w:t xml:space="preserve">weighing </w:t>
      </w:r>
      <w:r w:rsidR="00433B35">
        <w:rPr>
          <w:lang w:eastAsia="ja-JP"/>
        </w:rPr>
        <w:t>≥</w:t>
      </w:r>
      <w:r>
        <w:rPr>
          <w:lang w:eastAsia="ja-JP"/>
        </w:rPr>
        <w:t xml:space="preserve"> </w:t>
      </w:r>
      <w:r w:rsidR="00433B35" w:rsidRPr="00BD48A3">
        <w:rPr>
          <w:lang w:eastAsia="ja-JP"/>
        </w:rPr>
        <w:t>40 kg</w:t>
      </w:r>
      <w:r w:rsidR="00433B35">
        <w:rPr>
          <w:lang w:eastAsia="ja-JP"/>
        </w:rPr>
        <w:t>.</w:t>
      </w:r>
      <w:r w:rsidR="00433B35" w:rsidRPr="00BD48A3">
        <w:rPr>
          <w:lang w:eastAsia="ja-JP"/>
        </w:rPr>
        <w:t xml:space="preserve"> Paediatric</w:t>
      </w:r>
      <w:r w:rsidR="00433B35">
        <w:rPr>
          <w:lang w:eastAsia="ja-JP"/>
        </w:rPr>
        <w:t xml:space="preserve"> </w:t>
      </w:r>
      <w:r w:rsidR="00433B35" w:rsidRPr="00BD48A3">
        <w:rPr>
          <w:lang w:eastAsia="ja-JP"/>
        </w:rPr>
        <w:t xml:space="preserve">indications vary, for instance the indication in the </w:t>
      </w:r>
      <w:r>
        <w:rPr>
          <w:lang w:eastAsia="ja-JP"/>
        </w:rPr>
        <w:t>European Union</w:t>
      </w:r>
      <w:r w:rsidR="00433B35" w:rsidRPr="00BD48A3">
        <w:rPr>
          <w:lang w:eastAsia="ja-JP"/>
        </w:rPr>
        <w:t xml:space="preserve"> </w:t>
      </w:r>
      <w:r w:rsidR="00433B35">
        <w:rPr>
          <w:lang w:eastAsia="ja-JP"/>
        </w:rPr>
        <w:t xml:space="preserve">and Australia </w:t>
      </w:r>
      <w:r w:rsidR="00433B35" w:rsidRPr="00BD48A3">
        <w:rPr>
          <w:lang w:eastAsia="ja-JP"/>
        </w:rPr>
        <w:t xml:space="preserve">is for children weighing </w:t>
      </w:r>
      <w:r w:rsidR="00433B35">
        <w:rPr>
          <w:lang w:eastAsia="ja-JP"/>
        </w:rPr>
        <w:t>≥</w:t>
      </w:r>
      <w:r>
        <w:rPr>
          <w:lang w:eastAsia="ja-JP"/>
        </w:rPr>
        <w:t xml:space="preserve"> </w:t>
      </w:r>
      <w:r w:rsidR="00433B35" w:rsidRPr="00BD48A3">
        <w:rPr>
          <w:lang w:eastAsia="ja-JP"/>
        </w:rPr>
        <w:t>15</w:t>
      </w:r>
      <w:r>
        <w:rPr>
          <w:lang w:eastAsia="ja-JP"/>
        </w:rPr>
        <w:t xml:space="preserve"> </w:t>
      </w:r>
      <w:r w:rsidR="00433B35" w:rsidRPr="00BD48A3">
        <w:rPr>
          <w:lang w:eastAsia="ja-JP"/>
        </w:rPr>
        <w:t>kg</w:t>
      </w:r>
      <w:r w:rsidR="00433B35">
        <w:rPr>
          <w:lang w:eastAsia="ja-JP"/>
        </w:rPr>
        <w:t xml:space="preserve"> </w:t>
      </w:r>
      <w:r w:rsidR="00433B35" w:rsidRPr="00BD48A3">
        <w:rPr>
          <w:lang w:eastAsia="ja-JP"/>
        </w:rPr>
        <w:t xml:space="preserve">while </w:t>
      </w:r>
      <w:proofErr w:type="spellStart"/>
      <w:r w:rsidR="00433B35" w:rsidRPr="00BD48A3">
        <w:rPr>
          <w:lang w:eastAsia="ja-JP"/>
        </w:rPr>
        <w:t>Tivicay</w:t>
      </w:r>
      <w:proofErr w:type="spellEnd"/>
      <w:r w:rsidR="00433B35" w:rsidRPr="00BD48A3">
        <w:rPr>
          <w:lang w:eastAsia="ja-JP"/>
        </w:rPr>
        <w:t xml:space="preserve"> </w:t>
      </w:r>
      <w:r>
        <w:rPr>
          <w:lang w:eastAsia="ja-JP"/>
        </w:rPr>
        <w:t>(</w:t>
      </w:r>
      <w:proofErr w:type="spellStart"/>
      <w:r>
        <w:rPr>
          <w:lang w:eastAsia="ja-JP"/>
        </w:rPr>
        <w:t>doltegravir</w:t>
      </w:r>
      <w:proofErr w:type="spellEnd"/>
      <w:r>
        <w:rPr>
          <w:lang w:eastAsia="ja-JP"/>
        </w:rPr>
        <w:t xml:space="preserve">) </w:t>
      </w:r>
      <w:r w:rsidR="00433B35" w:rsidRPr="00BD48A3">
        <w:rPr>
          <w:lang w:eastAsia="ja-JP"/>
        </w:rPr>
        <w:t xml:space="preserve">is approved in the </w:t>
      </w:r>
      <w:r>
        <w:rPr>
          <w:lang w:eastAsia="ja-JP"/>
        </w:rPr>
        <w:t>United States of America</w:t>
      </w:r>
      <w:r w:rsidR="00433B35" w:rsidRPr="00BD48A3">
        <w:rPr>
          <w:lang w:eastAsia="ja-JP"/>
        </w:rPr>
        <w:t xml:space="preserve"> and Switzerland for children </w:t>
      </w:r>
      <w:r w:rsidR="00433B35">
        <w:rPr>
          <w:lang w:eastAsia="ja-JP"/>
        </w:rPr>
        <w:t>≥</w:t>
      </w:r>
      <w:r>
        <w:rPr>
          <w:lang w:eastAsia="ja-JP"/>
        </w:rPr>
        <w:t xml:space="preserve"> </w:t>
      </w:r>
      <w:r w:rsidR="00433B35" w:rsidRPr="00BD48A3">
        <w:rPr>
          <w:lang w:eastAsia="ja-JP"/>
        </w:rPr>
        <w:t>30 kg. These</w:t>
      </w:r>
      <w:r w:rsidR="00433B35">
        <w:rPr>
          <w:lang w:eastAsia="ja-JP"/>
        </w:rPr>
        <w:t xml:space="preserve"> </w:t>
      </w:r>
      <w:r w:rsidR="00433B35" w:rsidRPr="00BD48A3">
        <w:rPr>
          <w:lang w:eastAsia="ja-JP"/>
        </w:rPr>
        <w:t xml:space="preserve">indications are based on previously submitted </w:t>
      </w:r>
      <w:r w:rsidR="00433B35">
        <w:rPr>
          <w:lang w:eastAsia="ja-JP"/>
        </w:rPr>
        <w:t xml:space="preserve">interim </w:t>
      </w:r>
      <w:r w:rsidR="00433B35" w:rsidRPr="00BD48A3">
        <w:rPr>
          <w:lang w:eastAsia="ja-JP"/>
        </w:rPr>
        <w:t xml:space="preserve">data from the </w:t>
      </w:r>
      <w:r w:rsidR="00433B35" w:rsidRPr="00797AA5">
        <w:t>P1093 trial (</w:t>
      </w:r>
      <w:r>
        <w:t xml:space="preserve">Study </w:t>
      </w:r>
      <w:r w:rsidR="00433B35" w:rsidRPr="00797AA5">
        <w:t>ING112578).</w:t>
      </w:r>
    </w:p>
    <w:p w14:paraId="369B29E5" w14:textId="77777777" w:rsidR="00433B35" w:rsidRDefault="00433B35" w:rsidP="00797AA5">
      <w:pPr>
        <w:rPr>
          <w:lang w:eastAsia="ja-JP"/>
        </w:rPr>
      </w:pPr>
      <w:r w:rsidRPr="00BD48A3">
        <w:rPr>
          <w:lang w:eastAsia="ja-JP"/>
        </w:rPr>
        <w:t xml:space="preserve">Data presented in this application </w:t>
      </w:r>
      <w:r w:rsidRPr="00797AA5">
        <w:t>supports</w:t>
      </w:r>
      <w:r>
        <w:rPr>
          <w:lang w:eastAsia="ja-JP"/>
        </w:rPr>
        <w:t xml:space="preserve"> the</w:t>
      </w:r>
      <w:r w:rsidRPr="00BD48A3">
        <w:rPr>
          <w:lang w:eastAsia="ja-JP"/>
        </w:rPr>
        <w:t xml:space="preserve"> new proposed dosing recommendations based</w:t>
      </w:r>
      <w:r>
        <w:rPr>
          <w:lang w:eastAsia="ja-JP"/>
        </w:rPr>
        <w:t xml:space="preserve"> </w:t>
      </w:r>
      <w:r w:rsidRPr="00BD48A3">
        <w:rPr>
          <w:lang w:eastAsia="ja-JP"/>
        </w:rPr>
        <w:t>on observed exposures relative to exposures observed in adults at the approved doses.</w:t>
      </w:r>
    </w:p>
    <w:p w14:paraId="79A3040A" w14:textId="6873CF99" w:rsidR="00433B35" w:rsidRDefault="00433B35" w:rsidP="00797AA5">
      <w:pPr>
        <w:rPr>
          <w:lang w:eastAsia="ja-JP"/>
        </w:rPr>
      </w:pPr>
      <w:r w:rsidRPr="00BD48A3">
        <w:rPr>
          <w:lang w:eastAsia="ja-JP"/>
        </w:rPr>
        <w:t xml:space="preserve">The </w:t>
      </w:r>
      <w:r>
        <w:rPr>
          <w:lang w:eastAsia="ja-JP"/>
        </w:rPr>
        <w:t>two</w:t>
      </w:r>
      <w:r w:rsidRPr="00BD48A3">
        <w:rPr>
          <w:lang w:eastAsia="ja-JP"/>
        </w:rPr>
        <w:t xml:space="preserve"> trials </w:t>
      </w:r>
      <w:r>
        <w:rPr>
          <w:lang w:eastAsia="ja-JP"/>
        </w:rPr>
        <w:t xml:space="preserve">submitted </w:t>
      </w:r>
      <w:r w:rsidRPr="00BD48A3">
        <w:rPr>
          <w:lang w:eastAsia="ja-JP"/>
        </w:rPr>
        <w:t>include</w:t>
      </w:r>
      <w:r>
        <w:rPr>
          <w:lang w:eastAsia="ja-JP"/>
        </w:rPr>
        <w:t>d</w:t>
      </w:r>
      <w:r w:rsidRPr="00BD48A3">
        <w:rPr>
          <w:lang w:eastAsia="ja-JP"/>
        </w:rPr>
        <w:t xml:space="preserve"> both </w:t>
      </w:r>
      <w:r w:rsidR="00797AA5">
        <w:t>antiretroviral therapy</w:t>
      </w:r>
      <w:r w:rsidRPr="00BD48A3">
        <w:rPr>
          <w:lang w:eastAsia="ja-JP"/>
        </w:rPr>
        <w:t>-na</w:t>
      </w:r>
      <w:r w:rsidRPr="00BD48A3">
        <w:rPr>
          <w:rFonts w:hint="eastAsia"/>
          <w:lang w:eastAsia="ja-JP"/>
        </w:rPr>
        <w:t>ï</w:t>
      </w:r>
      <w:r w:rsidRPr="00BD48A3">
        <w:rPr>
          <w:lang w:eastAsia="ja-JP"/>
        </w:rPr>
        <w:t xml:space="preserve">ve and </w:t>
      </w:r>
      <w:r w:rsidR="00797AA5">
        <w:t>antiretroviral therapy</w:t>
      </w:r>
      <w:r w:rsidRPr="00BD48A3">
        <w:rPr>
          <w:lang w:eastAsia="ja-JP"/>
        </w:rPr>
        <w:t>-experienced children.</w:t>
      </w:r>
    </w:p>
    <w:p w14:paraId="3DD5F9D8" w14:textId="77777777" w:rsidR="008E7846" w:rsidRPr="003F31A2" w:rsidRDefault="00386150" w:rsidP="008E7846">
      <w:pPr>
        <w:pStyle w:val="Heading3"/>
      </w:pPr>
      <w:bookmarkStart w:id="17" w:name="_Toc107925357"/>
      <w:r>
        <w:t>Regulatory s</w:t>
      </w:r>
      <w:r w:rsidR="008E7846">
        <w:t>tatus</w:t>
      </w:r>
      <w:bookmarkEnd w:id="13"/>
      <w:bookmarkEnd w:id="14"/>
      <w:bookmarkEnd w:id="17"/>
    </w:p>
    <w:p w14:paraId="1FA43662" w14:textId="5E685968" w:rsidR="00332715" w:rsidRDefault="00332715" w:rsidP="00332715">
      <w:bookmarkStart w:id="18" w:name="_Toc247691505"/>
      <w:bookmarkStart w:id="19" w:name="_Toc314842486"/>
      <w:r>
        <w:t>The product received initial registration on the Australian Register</w:t>
      </w:r>
      <w:r w:rsidR="00F74C0C">
        <w:t xml:space="preserve"> of Therapeutic Goods (ARTG) on 17 January 2014 for the following indication:</w:t>
      </w:r>
      <w:bookmarkStart w:id="20" w:name="_Ref105052892"/>
      <w:r w:rsidR="00F74C0C">
        <w:rPr>
          <w:rStyle w:val="FootnoteReference"/>
        </w:rPr>
        <w:footnoteReference w:id="3"/>
      </w:r>
      <w:bookmarkEnd w:id="20"/>
    </w:p>
    <w:p w14:paraId="355E0EDE" w14:textId="080C0D22" w:rsidR="00F74C0C" w:rsidRPr="00F74C0C" w:rsidRDefault="00F74C0C" w:rsidP="00F74C0C">
      <w:pPr>
        <w:ind w:left="720"/>
        <w:rPr>
          <w:i/>
        </w:rPr>
      </w:pPr>
      <w:proofErr w:type="spellStart"/>
      <w:r w:rsidRPr="00F74C0C">
        <w:rPr>
          <w:i/>
        </w:rPr>
        <w:t>Tivicay</w:t>
      </w:r>
      <w:proofErr w:type="spellEnd"/>
      <w:r w:rsidRPr="00F74C0C">
        <w:rPr>
          <w:i/>
        </w:rPr>
        <w:t xml:space="preserve"> is indicated for the treatment of human immunodeficiency virus (HIV) infection in combination with other antiretroviral agents in adults and children o</w:t>
      </w:r>
      <w:r>
        <w:rPr>
          <w:i/>
        </w:rPr>
        <w:t>ver </w:t>
      </w:r>
      <w:r w:rsidRPr="00F74C0C">
        <w:rPr>
          <w:i/>
        </w:rPr>
        <w:t>12 years of age and weighing 40 kg or more</w:t>
      </w:r>
      <w:r w:rsidR="00797AA5">
        <w:rPr>
          <w:i/>
        </w:rPr>
        <w:t>.</w:t>
      </w:r>
    </w:p>
    <w:p w14:paraId="6497D5E2" w14:textId="6E755998" w:rsidR="00332715" w:rsidRDefault="00332715" w:rsidP="00332715">
      <w:r>
        <w:t xml:space="preserve">At the time the TGA considered this </w:t>
      </w:r>
      <w:r w:rsidR="00BB0B78">
        <w:t>submission</w:t>
      </w:r>
      <w:r w:rsidR="00797AA5">
        <w:t xml:space="preserve">, </w:t>
      </w:r>
      <w:r>
        <w:t xml:space="preserve">similar </w:t>
      </w:r>
      <w:r w:rsidR="00BB0B78">
        <w:t>submission</w:t>
      </w:r>
      <w:r>
        <w:t xml:space="preserve"> had been approved in </w:t>
      </w:r>
      <w:r w:rsidR="00797AA5">
        <w:t>the European Union (EU), United States of America (USA) and Canada</w:t>
      </w:r>
      <w:r>
        <w:t xml:space="preserve">. A similar </w:t>
      </w:r>
      <w:r w:rsidR="00BB0B78">
        <w:t>submission</w:t>
      </w:r>
      <w:r w:rsidR="00797AA5">
        <w:t xml:space="preserve"> was under consideration in Switzerland</w:t>
      </w:r>
    </w:p>
    <w:p w14:paraId="68D626B4" w14:textId="3CFE4A98" w:rsidR="00332715" w:rsidRDefault="0072292E" w:rsidP="00332715">
      <w:r>
        <w:t xml:space="preserve">The following table </w:t>
      </w:r>
      <w:r w:rsidR="00332715">
        <w:t xml:space="preserve">summarises these </w:t>
      </w:r>
      <w:r w:rsidR="00BB0B78">
        <w:t>submissions</w:t>
      </w:r>
      <w:r w:rsidR="00332715">
        <w:t xml:space="preserve"> and provides the indications where approved.</w:t>
      </w:r>
    </w:p>
    <w:p w14:paraId="6366F494" w14:textId="7695CB95" w:rsidR="00324E45" w:rsidRPr="00F0146F" w:rsidRDefault="00324E45" w:rsidP="00324E45">
      <w:pPr>
        <w:pStyle w:val="TableTitle"/>
      </w:pPr>
      <w:bookmarkStart w:id="21" w:name="_Ref99705479"/>
      <w:r>
        <w:lastRenderedPageBreak/>
        <w:t xml:space="preserve">Table </w:t>
      </w:r>
      <w:r w:rsidR="00D174B5">
        <w:fldChar w:fldCharType="begin"/>
      </w:r>
      <w:r w:rsidR="00D174B5">
        <w:instrText xml:space="preserve"> SEQ Table \* ARABIC </w:instrText>
      </w:r>
      <w:r w:rsidR="00D174B5">
        <w:fldChar w:fldCharType="separate"/>
      </w:r>
      <w:r w:rsidR="004D0F54">
        <w:rPr>
          <w:noProof/>
        </w:rPr>
        <w:t>1</w:t>
      </w:r>
      <w:r w:rsidR="00D174B5">
        <w:rPr>
          <w:noProof/>
        </w:rPr>
        <w:fldChar w:fldCharType="end"/>
      </w:r>
      <w:bookmarkEnd w:id="21"/>
      <w:r>
        <w:t>: International regulatory status</w:t>
      </w:r>
    </w:p>
    <w:tbl>
      <w:tblPr>
        <w:tblStyle w:val="TableTGAblue"/>
        <w:tblW w:w="8838" w:type="dxa"/>
        <w:tblLook w:val="04A0" w:firstRow="1" w:lastRow="0" w:firstColumn="1" w:lastColumn="0" w:noHBand="0" w:noVBand="1"/>
      </w:tblPr>
      <w:tblGrid>
        <w:gridCol w:w="1458"/>
        <w:gridCol w:w="2070"/>
        <w:gridCol w:w="2070"/>
        <w:gridCol w:w="3240"/>
      </w:tblGrid>
      <w:tr w:rsidR="00006FAB" w:rsidRPr="00A43921" w14:paraId="5ADED265" w14:textId="77777777" w:rsidTr="00797AA5">
        <w:trPr>
          <w:cnfStyle w:val="100000000000" w:firstRow="1" w:lastRow="0" w:firstColumn="0" w:lastColumn="0" w:oddVBand="0" w:evenVBand="0" w:oddHBand="0" w:evenHBand="0" w:firstRowFirstColumn="0" w:firstRowLastColumn="0" w:lastRowFirstColumn="0" w:lastRowLastColumn="0"/>
          <w:cantSplit/>
        </w:trPr>
        <w:tc>
          <w:tcPr>
            <w:tcW w:w="1458" w:type="dxa"/>
            <w:tcBorders>
              <w:top w:val="single" w:sz="4" w:space="0" w:color="auto"/>
              <w:left w:val="single" w:sz="4" w:space="0" w:color="auto"/>
              <w:bottom w:val="single" w:sz="4" w:space="0" w:color="auto"/>
              <w:right w:val="single" w:sz="4" w:space="0" w:color="auto"/>
            </w:tcBorders>
          </w:tcPr>
          <w:p w14:paraId="7FC1B976" w14:textId="77777777" w:rsidR="00006FAB" w:rsidRPr="00A43921" w:rsidRDefault="00006FAB" w:rsidP="00797AA5">
            <w:pPr>
              <w:ind w:left="0" w:right="0"/>
            </w:pPr>
            <w:r w:rsidRPr="00A43921">
              <w:t>Region</w:t>
            </w:r>
          </w:p>
        </w:tc>
        <w:tc>
          <w:tcPr>
            <w:tcW w:w="2070" w:type="dxa"/>
            <w:tcBorders>
              <w:top w:val="single" w:sz="4" w:space="0" w:color="auto"/>
              <w:left w:val="single" w:sz="4" w:space="0" w:color="auto"/>
              <w:bottom w:val="single" w:sz="4" w:space="0" w:color="auto"/>
              <w:right w:val="single" w:sz="4" w:space="0" w:color="auto"/>
            </w:tcBorders>
          </w:tcPr>
          <w:p w14:paraId="45F4F30E" w14:textId="77777777" w:rsidR="00006FAB" w:rsidRPr="00A43921" w:rsidRDefault="00006FAB" w:rsidP="00797AA5">
            <w:pPr>
              <w:ind w:left="0" w:right="0"/>
            </w:pPr>
            <w:r w:rsidRPr="00A43921">
              <w:t>Submission date</w:t>
            </w:r>
          </w:p>
        </w:tc>
        <w:tc>
          <w:tcPr>
            <w:tcW w:w="2070" w:type="dxa"/>
            <w:tcBorders>
              <w:top w:val="single" w:sz="4" w:space="0" w:color="auto"/>
              <w:left w:val="single" w:sz="4" w:space="0" w:color="auto"/>
              <w:bottom w:val="single" w:sz="4" w:space="0" w:color="auto"/>
              <w:right w:val="single" w:sz="4" w:space="0" w:color="auto"/>
            </w:tcBorders>
          </w:tcPr>
          <w:p w14:paraId="611D3E6B" w14:textId="77777777" w:rsidR="00006FAB" w:rsidRPr="00A43921" w:rsidRDefault="00006FAB" w:rsidP="00797AA5">
            <w:pPr>
              <w:ind w:left="0" w:right="0"/>
            </w:pPr>
            <w:r w:rsidRPr="00A43921">
              <w:t>Status</w:t>
            </w:r>
          </w:p>
        </w:tc>
        <w:tc>
          <w:tcPr>
            <w:tcW w:w="3240" w:type="dxa"/>
            <w:tcBorders>
              <w:top w:val="single" w:sz="4" w:space="0" w:color="auto"/>
              <w:left w:val="single" w:sz="4" w:space="0" w:color="auto"/>
              <w:bottom w:val="single" w:sz="4" w:space="0" w:color="auto"/>
              <w:right w:val="single" w:sz="4" w:space="0" w:color="auto"/>
            </w:tcBorders>
          </w:tcPr>
          <w:p w14:paraId="39F08303" w14:textId="77777777" w:rsidR="00006FAB" w:rsidRPr="00A43921" w:rsidRDefault="00006FAB" w:rsidP="00797AA5">
            <w:pPr>
              <w:ind w:left="0" w:right="0"/>
            </w:pPr>
            <w:r w:rsidRPr="00A43921">
              <w:t>Approved indications</w:t>
            </w:r>
          </w:p>
        </w:tc>
      </w:tr>
      <w:tr w:rsidR="00A43921" w:rsidRPr="00A43921" w14:paraId="5962983B" w14:textId="77777777" w:rsidTr="00797AA5">
        <w:trPr>
          <w:cantSplit/>
        </w:trPr>
        <w:tc>
          <w:tcPr>
            <w:tcW w:w="1458" w:type="dxa"/>
            <w:tcBorders>
              <w:top w:val="single" w:sz="4" w:space="0" w:color="auto"/>
            </w:tcBorders>
          </w:tcPr>
          <w:p w14:paraId="313A5165" w14:textId="29CFFD5D" w:rsidR="00A43921" w:rsidRPr="00A43921" w:rsidRDefault="00A43921" w:rsidP="00797AA5">
            <w:pPr>
              <w:ind w:left="0" w:right="0"/>
            </w:pPr>
            <w:r w:rsidRPr="00A43921">
              <w:t>European Union</w:t>
            </w:r>
          </w:p>
        </w:tc>
        <w:tc>
          <w:tcPr>
            <w:tcW w:w="2070" w:type="dxa"/>
            <w:tcBorders>
              <w:top w:val="single" w:sz="4" w:space="0" w:color="auto"/>
            </w:tcBorders>
          </w:tcPr>
          <w:p w14:paraId="25516E54" w14:textId="1EAF60AB" w:rsidR="00A43921" w:rsidRPr="00A43921" w:rsidRDefault="00A43921" w:rsidP="00797AA5">
            <w:pPr>
              <w:ind w:left="0" w:right="0"/>
            </w:pPr>
            <w:r>
              <w:t xml:space="preserve">11 December </w:t>
            </w:r>
            <w:r w:rsidRPr="00A43921">
              <w:t>2019</w:t>
            </w:r>
          </w:p>
        </w:tc>
        <w:tc>
          <w:tcPr>
            <w:tcW w:w="2070" w:type="dxa"/>
            <w:tcBorders>
              <w:top w:val="single" w:sz="4" w:space="0" w:color="auto"/>
            </w:tcBorders>
          </w:tcPr>
          <w:p w14:paraId="40024FCD" w14:textId="31CB26AD" w:rsidR="00A43921" w:rsidRPr="00A43921" w:rsidRDefault="00A43921" w:rsidP="00797AA5">
            <w:pPr>
              <w:ind w:left="0" w:right="0"/>
            </w:pPr>
            <w:r w:rsidRPr="00A43921">
              <w:t>Approved</w:t>
            </w:r>
            <w:r>
              <w:t xml:space="preserve"> on </w:t>
            </w:r>
            <w:r w:rsidR="00797AA5">
              <w:t>11 January </w:t>
            </w:r>
            <w:r w:rsidRPr="00A43921">
              <w:t>2021</w:t>
            </w:r>
          </w:p>
        </w:tc>
        <w:tc>
          <w:tcPr>
            <w:tcW w:w="3240" w:type="dxa"/>
            <w:tcBorders>
              <w:top w:val="single" w:sz="4" w:space="0" w:color="auto"/>
            </w:tcBorders>
          </w:tcPr>
          <w:p w14:paraId="33BC49A9" w14:textId="08AC72A1" w:rsidR="00A43921" w:rsidRPr="00A43921" w:rsidRDefault="00A43921" w:rsidP="00797AA5">
            <w:pPr>
              <w:ind w:left="0" w:right="0"/>
              <w:rPr>
                <w:i/>
              </w:rPr>
            </w:pPr>
            <w:proofErr w:type="spellStart"/>
            <w:r w:rsidRPr="00A43921">
              <w:rPr>
                <w:i/>
              </w:rPr>
              <w:t>Tivicay</w:t>
            </w:r>
            <w:proofErr w:type="spellEnd"/>
            <w:r w:rsidRPr="00A43921">
              <w:rPr>
                <w:i/>
              </w:rPr>
              <w:t xml:space="preserve"> is indicated in a combination with other anti-retroviral medicinal products for the treatment of Human Immunodeficiency Virus (HIV) infected adults and paediatrics aged at least 4 weeks and weighing at least 3 kg (see Warnings and Precautions-Dual regimens).</w:t>
            </w:r>
          </w:p>
        </w:tc>
      </w:tr>
      <w:tr w:rsidR="00A43921" w:rsidRPr="00A43921" w14:paraId="56CA5604" w14:textId="77777777" w:rsidTr="00797AA5">
        <w:trPr>
          <w:cantSplit/>
        </w:trPr>
        <w:tc>
          <w:tcPr>
            <w:tcW w:w="1458" w:type="dxa"/>
          </w:tcPr>
          <w:p w14:paraId="36770658" w14:textId="5219AEAC" w:rsidR="00A43921" w:rsidRPr="00A43921" w:rsidRDefault="00A43921" w:rsidP="00797AA5">
            <w:pPr>
              <w:ind w:left="0" w:right="0"/>
            </w:pPr>
            <w:r>
              <w:t>United States of America</w:t>
            </w:r>
          </w:p>
        </w:tc>
        <w:tc>
          <w:tcPr>
            <w:tcW w:w="2070" w:type="dxa"/>
          </w:tcPr>
          <w:p w14:paraId="0F3B41ED" w14:textId="59278739" w:rsidR="00A43921" w:rsidRPr="00A43921" w:rsidRDefault="00A43921" w:rsidP="00797AA5">
            <w:pPr>
              <w:ind w:left="0" w:right="0"/>
            </w:pPr>
            <w:r>
              <w:t xml:space="preserve">12 December </w:t>
            </w:r>
            <w:r w:rsidRPr="00A43921">
              <w:t>2019</w:t>
            </w:r>
          </w:p>
        </w:tc>
        <w:tc>
          <w:tcPr>
            <w:tcW w:w="2070" w:type="dxa"/>
          </w:tcPr>
          <w:p w14:paraId="6F5CE069" w14:textId="16A7B9B2" w:rsidR="00A43921" w:rsidRPr="00A43921" w:rsidRDefault="00A43921" w:rsidP="00797AA5">
            <w:pPr>
              <w:ind w:left="0" w:right="0"/>
            </w:pPr>
            <w:r w:rsidRPr="00A43921">
              <w:t>Approved</w:t>
            </w:r>
            <w:r>
              <w:t xml:space="preserve"> on 12 June </w:t>
            </w:r>
            <w:r w:rsidRPr="00A43921">
              <w:t>2020</w:t>
            </w:r>
          </w:p>
        </w:tc>
        <w:tc>
          <w:tcPr>
            <w:tcW w:w="3240" w:type="dxa"/>
          </w:tcPr>
          <w:p w14:paraId="591A08A4" w14:textId="51483C63" w:rsidR="00A43921" w:rsidRPr="00A43921" w:rsidRDefault="00797AA5" w:rsidP="00797AA5">
            <w:pPr>
              <w:ind w:left="0" w:right="0"/>
              <w:rPr>
                <w:i/>
              </w:rPr>
            </w:pPr>
            <w:proofErr w:type="spellStart"/>
            <w:r w:rsidRPr="00A43921">
              <w:rPr>
                <w:i/>
              </w:rPr>
              <w:t>Tivicay</w:t>
            </w:r>
            <w:proofErr w:type="spellEnd"/>
            <w:r w:rsidRPr="00A43921">
              <w:rPr>
                <w:i/>
              </w:rPr>
              <w:t xml:space="preserve"> </w:t>
            </w:r>
            <w:r w:rsidR="00A43921" w:rsidRPr="00A43921">
              <w:rPr>
                <w:i/>
              </w:rPr>
              <w:t xml:space="preserve">and </w:t>
            </w:r>
            <w:proofErr w:type="spellStart"/>
            <w:r w:rsidRPr="00A43921">
              <w:rPr>
                <w:i/>
              </w:rPr>
              <w:t>Tivicay</w:t>
            </w:r>
            <w:proofErr w:type="spellEnd"/>
            <w:r w:rsidRPr="00A43921">
              <w:rPr>
                <w:i/>
              </w:rPr>
              <w:t xml:space="preserve"> </w:t>
            </w:r>
            <w:r w:rsidR="00A43921" w:rsidRPr="00A43921">
              <w:rPr>
                <w:i/>
              </w:rPr>
              <w:t>PD are indicated in combination with other antiretroviral agents f or the treatment of human immunodeficiency virus type 1 (HIV-1) infection in adults (treatment-naïve or -experienced) and in paediatric patients (treatment- naïve or -experienced but integrase strand transfer inhibitor [INSTI]-naïve) aged at least 4 weeks and weighing at least 3 kg.</w:t>
            </w:r>
          </w:p>
        </w:tc>
      </w:tr>
      <w:tr w:rsidR="00A43921" w:rsidRPr="00A43921" w14:paraId="7F3F1736" w14:textId="77777777" w:rsidTr="00797AA5">
        <w:trPr>
          <w:cantSplit/>
        </w:trPr>
        <w:tc>
          <w:tcPr>
            <w:tcW w:w="1458" w:type="dxa"/>
          </w:tcPr>
          <w:p w14:paraId="6391D2A4" w14:textId="010AAA72" w:rsidR="00A43921" w:rsidRPr="00A43921" w:rsidRDefault="00A43921" w:rsidP="00797AA5">
            <w:pPr>
              <w:ind w:left="0" w:right="0"/>
            </w:pPr>
            <w:r w:rsidRPr="00A43921">
              <w:t>Canada</w:t>
            </w:r>
          </w:p>
        </w:tc>
        <w:tc>
          <w:tcPr>
            <w:tcW w:w="2070" w:type="dxa"/>
          </w:tcPr>
          <w:p w14:paraId="6C4ACE91" w14:textId="6C420EA9" w:rsidR="00A43921" w:rsidRPr="00A43921" w:rsidRDefault="00A43921" w:rsidP="00797AA5">
            <w:pPr>
              <w:ind w:left="0" w:right="0"/>
            </w:pPr>
            <w:r>
              <w:t xml:space="preserve">28 January </w:t>
            </w:r>
            <w:r w:rsidRPr="00A43921">
              <w:t>2020</w:t>
            </w:r>
          </w:p>
        </w:tc>
        <w:tc>
          <w:tcPr>
            <w:tcW w:w="2070" w:type="dxa"/>
          </w:tcPr>
          <w:p w14:paraId="0CE38D96" w14:textId="023DBB93" w:rsidR="00A43921" w:rsidRPr="00A43921" w:rsidRDefault="00A43921" w:rsidP="00797AA5">
            <w:pPr>
              <w:ind w:left="0" w:right="0"/>
            </w:pPr>
            <w:r>
              <w:t xml:space="preserve">Approved on 27 January </w:t>
            </w:r>
            <w:r w:rsidRPr="00A43921">
              <w:t>2021</w:t>
            </w:r>
          </w:p>
        </w:tc>
        <w:tc>
          <w:tcPr>
            <w:tcW w:w="3240" w:type="dxa"/>
          </w:tcPr>
          <w:p w14:paraId="10BB5F2E" w14:textId="00D6C40C" w:rsidR="00A43921" w:rsidRPr="00A43921" w:rsidRDefault="00797AA5" w:rsidP="00797AA5">
            <w:pPr>
              <w:ind w:left="0" w:right="0"/>
              <w:rPr>
                <w:i/>
              </w:rPr>
            </w:pPr>
            <w:proofErr w:type="spellStart"/>
            <w:r w:rsidRPr="00A43921">
              <w:rPr>
                <w:i/>
              </w:rPr>
              <w:t>Tivicay</w:t>
            </w:r>
            <w:proofErr w:type="spellEnd"/>
            <w:r w:rsidR="00A43921" w:rsidRPr="00A43921">
              <w:rPr>
                <w:i/>
              </w:rPr>
              <w:t>, in combination with other antiretroviral agents, is indicated for the treatment of human immunodeficiency virus (HIV-1) infection in adults and in INSTI-naïve paediatric patients aged 4 weeks and older and weighing at least 3 kg.</w:t>
            </w:r>
          </w:p>
        </w:tc>
      </w:tr>
      <w:tr w:rsidR="00A43921" w:rsidRPr="00A43921" w14:paraId="2B54E147" w14:textId="77777777" w:rsidTr="00797AA5">
        <w:trPr>
          <w:cantSplit/>
        </w:trPr>
        <w:tc>
          <w:tcPr>
            <w:tcW w:w="1458" w:type="dxa"/>
          </w:tcPr>
          <w:p w14:paraId="490B9730" w14:textId="7E899DBF" w:rsidR="00A43921" w:rsidRPr="00A43921" w:rsidRDefault="00A43921" w:rsidP="00797AA5">
            <w:pPr>
              <w:ind w:left="0" w:right="0"/>
            </w:pPr>
            <w:r w:rsidRPr="00A43921">
              <w:t>Switzerland</w:t>
            </w:r>
          </w:p>
        </w:tc>
        <w:tc>
          <w:tcPr>
            <w:tcW w:w="2070" w:type="dxa"/>
          </w:tcPr>
          <w:p w14:paraId="5CB3D9C3" w14:textId="335F71C9" w:rsidR="00A43921" w:rsidRPr="00A43921" w:rsidRDefault="00A43921" w:rsidP="00797AA5">
            <w:pPr>
              <w:ind w:left="0" w:right="0"/>
            </w:pPr>
            <w:r>
              <w:t xml:space="preserve">7 February </w:t>
            </w:r>
            <w:r w:rsidRPr="00A43921">
              <w:t>2020</w:t>
            </w:r>
          </w:p>
        </w:tc>
        <w:tc>
          <w:tcPr>
            <w:tcW w:w="2070" w:type="dxa"/>
          </w:tcPr>
          <w:p w14:paraId="7AB5F90F" w14:textId="41F3ED0B" w:rsidR="00A43921" w:rsidRPr="00A43921" w:rsidRDefault="00797AA5" w:rsidP="00797AA5">
            <w:pPr>
              <w:ind w:left="0" w:right="0"/>
            </w:pPr>
            <w:r>
              <w:t>Under evaluation</w:t>
            </w:r>
          </w:p>
        </w:tc>
        <w:tc>
          <w:tcPr>
            <w:tcW w:w="3240" w:type="dxa"/>
          </w:tcPr>
          <w:p w14:paraId="3220B1E1" w14:textId="7316AF13" w:rsidR="00A43921" w:rsidRPr="00A43921" w:rsidRDefault="00A43921" w:rsidP="00797AA5">
            <w:pPr>
              <w:ind w:left="0" w:right="0"/>
              <w:rPr>
                <w:i/>
              </w:rPr>
            </w:pPr>
            <w:r w:rsidRPr="00A43921">
              <w:rPr>
                <w:i/>
              </w:rPr>
              <w:t xml:space="preserve">Treatment of human immunodeficiency virus (HIV) infection in combination with other antiretroviral agents in adults, </w:t>
            </w:r>
            <w:proofErr w:type="gramStart"/>
            <w:r w:rsidRPr="00A43921">
              <w:rPr>
                <w:i/>
              </w:rPr>
              <w:t>adolescents</w:t>
            </w:r>
            <w:proofErr w:type="gramEnd"/>
            <w:r w:rsidRPr="00A43921">
              <w:rPr>
                <w:i/>
              </w:rPr>
              <w:t xml:space="preserve"> and children. </w:t>
            </w:r>
          </w:p>
        </w:tc>
      </w:tr>
    </w:tbl>
    <w:p w14:paraId="2B52BA83" w14:textId="77777777" w:rsidR="008E7846" w:rsidRDefault="008E7846" w:rsidP="00940A89">
      <w:pPr>
        <w:pStyle w:val="Heading3"/>
      </w:pPr>
      <w:bookmarkStart w:id="22" w:name="_Toc107925358"/>
      <w:r>
        <w:t>Product Information</w:t>
      </w:r>
      <w:bookmarkEnd w:id="18"/>
      <w:bookmarkEnd w:id="19"/>
      <w:bookmarkEnd w:id="22"/>
    </w:p>
    <w:p w14:paraId="38EFB568" w14:textId="6BB005EB" w:rsidR="00332715" w:rsidRDefault="00332715" w:rsidP="00332715">
      <w:bookmarkStart w:id="23" w:name="_Toc504480011"/>
      <w:bookmarkStart w:id="24" w:name="_Toc247691506"/>
      <w:bookmarkStart w:id="25" w:name="_Toc314842487"/>
      <w:r>
        <w:t xml:space="preserve">The Product Information (PI) approved with the submission which is described in this AusPAR can be found as Attachment 1. For the most recent PI, please refer to the TGA </w:t>
      </w:r>
      <w:hyperlink r:id="rId15" w:history="1">
        <w:r>
          <w:rPr>
            <w:rStyle w:val="Hyperlink"/>
          </w:rPr>
          <w:t>PI/CMI search facility.</w:t>
        </w:r>
      </w:hyperlink>
    </w:p>
    <w:p w14:paraId="03C8D302" w14:textId="51E00A5B" w:rsidR="00500337" w:rsidRDefault="00500337" w:rsidP="00500337">
      <w:pPr>
        <w:pStyle w:val="Heading2"/>
      </w:pPr>
      <w:bookmarkStart w:id="26" w:name="_Toc107925359"/>
      <w:r>
        <w:lastRenderedPageBreak/>
        <w:t>Registration timeline</w:t>
      </w:r>
      <w:bookmarkEnd w:id="23"/>
      <w:bookmarkEnd w:id="26"/>
    </w:p>
    <w:p w14:paraId="017FB785" w14:textId="6946D960" w:rsidR="0074163C" w:rsidRPr="00C93EC1" w:rsidRDefault="0074163C" w:rsidP="0074163C">
      <w:r w:rsidRPr="00C93EC1">
        <w:t xml:space="preserve">The following table captures the key steps and dates for this </w:t>
      </w:r>
      <w:r w:rsidR="00804D99">
        <w:t>submission</w:t>
      </w:r>
      <w:r w:rsidRPr="00C93EC1">
        <w:t>.</w:t>
      </w:r>
    </w:p>
    <w:p w14:paraId="16B7DF93" w14:textId="3BCB1CEF" w:rsidR="0074163C" w:rsidRPr="009847A0" w:rsidRDefault="0074163C" w:rsidP="009847A0">
      <w:pPr>
        <w:pStyle w:val="TableTitle"/>
      </w:pPr>
      <w:r>
        <w:t xml:space="preserve">Table </w:t>
      </w:r>
      <w:r w:rsidR="00D174B5">
        <w:fldChar w:fldCharType="begin"/>
      </w:r>
      <w:r w:rsidR="00D174B5">
        <w:instrText xml:space="preserve"> SEQ Table \* ARABIC </w:instrText>
      </w:r>
      <w:r w:rsidR="00D174B5">
        <w:fldChar w:fldCharType="separate"/>
      </w:r>
      <w:r w:rsidR="004D0F54">
        <w:rPr>
          <w:noProof/>
        </w:rPr>
        <w:t>2</w:t>
      </w:r>
      <w:r w:rsidR="00D174B5">
        <w:rPr>
          <w:noProof/>
        </w:rPr>
        <w:fldChar w:fldCharType="end"/>
      </w:r>
      <w:r>
        <w:t>:</w:t>
      </w:r>
      <w:r w:rsidRPr="006A58A8">
        <w:t xml:space="preserve"> Timeline for Submission PM-</w:t>
      </w:r>
      <w:r w:rsidR="009847A0">
        <w:t>2020-03495-1-2</w:t>
      </w:r>
    </w:p>
    <w:tbl>
      <w:tblPr>
        <w:tblStyle w:val="TableTGAblue"/>
        <w:tblW w:w="0" w:type="auto"/>
        <w:tblLook w:val="04A0" w:firstRow="1" w:lastRow="0" w:firstColumn="1" w:lastColumn="0" w:noHBand="0" w:noVBand="1"/>
      </w:tblPr>
      <w:tblGrid>
        <w:gridCol w:w="5524"/>
        <w:gridCol w:w="2970"/>
      </w:tblGrid>
      <w:tr w:rsidR="0074163C" w14:paraId="71577D1F" w14:textId="77777777" w:rsidTr="0032283F">
        <w:trPr>
          <w:cnfStyle w:val="100000000000" w:firstRow="1" w:lastRow="0" w:firstColumn="0" w:lastColumn="0" w:oddVBand="0" w:evenVBand="0" w:oddHBand="0" w:evenHBand="0" w:firstRowFirstColumn="0" w:firstRowLastColumn="0" w:lastRowFirstColumn="0" w:lastRowLastColumn="0"/>
        </w:trPr>
        <w:tc>
          <w:tcPr>
            <w:tcW w:w="5524" w:type="dxa"/>
            <w:tcBorders>
              <w:top w:val="single" w:sz="4" w:space="0" w:color="auto"/>
              <w:left w:val="single" w:sz="4" w:space="0" w:color="auto"/>
              <w:bottom w:val="single" w:sz="4" w:space="0" w:color="auto"/>
              <w:right w:val="single" w:sz="4" w:space="0" w:color="auto"/>
            </w:tcBorders>
          </w:tcPr>
          <w:p w14:paraId="2708D6D5" w14:textId="77777777" w:rsidR="0074163C" w:rsidRDefault="0074163C" w:rsidP="009E5A87">
            <w:r>
              <w:t>Description</w:t>
            </w:r>
          </w:p>
        </w:tc>
        <w:tc>
          <w:tcPr>
            <w:tcW w:w="2970" w:type="dxa"/>
            <w:tcBorders>
              <w:top w:val="single" w:sz="4" w:space="0" w:color="auto"/>
              <w:left w:val="single" w:sz="4" w:space="0" w:color="auto"/>
              <w:bottom w:val="single" w:sz="4" w:space="0" w:color="auto"/>
              <w:right w:val="single" w:sz="4" w:space="0" w:color="auto"/>
            </w:tcBorders>
          </w:tcPr>
          <w:p w14:paraId="19266759" w14:textId="77777777" w:rsidR="0074163C" w:rsidRDefault="0074163C" w:rsidP="009E5A87">
            <w:r>
              <w:t>Date</w:t>
            </w:r>
          </w:p>
        </w:tc>
      </w:tr>
      <w:tr w:rsidR="0074163C" w14:paraId="48DAE205" w14:textId="77777777" w:rsidTr="0032283F">
        <w:tc>
          <w:tcPr>
            <w:tcW w:w="5524" w:type="dxa"/>
            <w:tcBorders>
              <w:top w:val="single" w:sz="4" w:space="0" w:color="auto"/>
            </w:tcBorders>
          </w:tcPr>
          <w:p w14:paraId="44680C84" w14:textId="77777777" w:rsidR="0074163C" w:rsidRDefault="0074163C" w:rsidP="009E5A87">
            <w:r>
              <w:t>Submission dossier accepted and first round evaluation commenced</w:t>
            </w:r>
          </w:p>
        </w:tc>
        <w:tc>
          <w:tcPr>
            <w:tcW w:w="2970" w:type="dxa"/>
            <w:tcBorders>
              <w:top w:val="single" w:sz="4" w:space="0" w:color="auto"/>
            </w:tcBorders>
          </w:tcPr>
          <w:p w14:paraId="66B50056" w14:textId="458C6901" w:rsidR="0074163C" w:rsidRDefault="00600D70" w:rsidP="009E5A87">
            <w:r>
              <w:t>31 August 2020</w:t>
            </w:r>
          </w:p>
        </w:tc>
      </w:tr>
      <w:tr w:rsidR="0074163C" w14:paraId="5470C8F9" w14:textId="77777777" w:rsidTr="0032283F">
        <w:tc>
          <w:tcPr>
            <w:tcW w:w="5524" w:type="dxa"/>
          </w:tcPr>
          <w:p w14:paraId="101DC08C" w14:textId="77777777" w:rsidR="0074163C" w:rsidRDefault="0074163C" w:rsidP="009E5A87">
            <w:r>
              <w:t>First round evaluation completed</w:t>
            </w:r>
          </w:p>
        </w:tc>
        <w:tc>
          <w:tcPr>
            <w:tcW w:w="2970" w:type="dxa"/>
          </w:tcPr>
          <w:p w14:paraId="60706F75" w14:textId="020E0BFF" w:rsidR="0074163C" w:rsidRDefault="00FF1A93" w:rsidP="009E5A87">
            <w:r>
              <w:t>26 March 2021</w:t>
            </w:r>
          </w:p>
        </w:tc>
      </w:tr>
      <w:tr w:rsidR="0074163C" w14:paraId="01AF9B73" w14:textId="77777777" w:rsidTr="0032283F">
        <w:tc>
          <w:tcPr>
            <w:tcW w:w="5524" w:type="dxa"/>
          </w:tcPr>
          <w:p w14:paraId="05DAE0C3" w14:textId="77777777" w:rsidR="0074163C" w:rsidRDefault="0074163C" w:rsidP="009E5A87">
            <w:r>
              <w:t>Sponsor provides responses on questions raised in first round evaluation</w:t>
            </w:r>
          </w:p>
        </w:tc>
        <w:tc>
          <w:tcPr>
            <w:tcW w:w="2970" w:type="dxa"/>
          </w:tcPr>
          <w:p w14:paraId="38ED4652" w14:textId="1A4DDC39" w:rsidR="0074163C" w:rsidRDefault="00FF1A93" w:rsidP="009E5A87">
            <w:r>
              <w:t>26 May 2021</w:t>
            </w:r>
          </w:p>
        </w:tc>
      </w:tr>
      <w:tr w:rsidR="0074163C" w14:paraId="4C20FD4F" w14:textId="77777777" w:rsidTr="0032283F">
        <w:tc>
          <w:tcPr>
            <w:tcW w:w="5524" w:type="dxa"/>
          </w:tcPr>
          <w:p w14:paraId="48EB2E38" w14:textId="77777777" w:rsidR="0074163C" w:rsidRDefault="0074163C" w:rsidP="009E5A87">
            <w:r>
              <w:t>Second round evaluation completed</w:t>
            </w:r>
          </w:p>
        </w:tc>
        <w:tc>
          <w:tcPr>
            <w:tcW w:w="2970" w:type="dxa"/>
          </w:tcPr>
          <w:p w14:paraId="0158F0F8" w14:textId="05F14D96" w:rsidR="0074163C" w:rsidRDefault="00FF1A93" w:rsidP="009E5A87">
            <w:r>
              <w:t>26 May 2021</w:t>
            </w:r>
          </w:p>
        </w:tc>
      </w:tr>
      <w:tr w:rsidR="0074163C" w14:paraId="62CA5FAA" w14:textId="77777777" w:rsidTr="0032283F">
        <w:tc>
          <w:tcPr>
            <w:tcW w:w="5524" w:type="dxa"/>
          </w:tcPr>
          <w:p w14:paraId="28A2A7C7" w14:textId="3A6ABD7E" w:rsidR="0074163C" w:rsidRDefault="0074163C" w:rsidP="00FF1A93">
            <w:r>
              <w:t xml:space="preserve">Delegate’s Overall benefit-risk assessment </w:t>
            </w:r>
            <w:r w:rsidRPr="00FF1A93">
              <w:t>and request</w:t>
            </w:r>
            <w:r w:rsidR="00FF1A93" w:rsidRPr="00FF1A93">
              <w:t xml:space="preserve"> for Advisory Committee advice</w:t>
            </w:r>
          </w:p>
        </w:tc>
        <w:tc>
          <w:tcPr>
            <w:tcW w:w="2970" w:type="dxa"/>
          </w:tcPr>
          <w:p w14:paraId="030B47B3" w14:textId="4C79C4A7" w:rsidR="0074163C" w:rsidRDefault="00FF1A93" w:rsidP="009E5A87">
            <w:r>
              <w:t>6 July 2021</w:t>
            </w:r>
          </w:p>
        </w:tc>
      </w:tr>
      <w:tr w:rsidR="0074163C" w14:paraId="7FEA49BC" w14:textId="77777777" w:rsidTr="0032283F">
        <w:tc>
          <w:tcPr>
            <w:tcW w:w="5524" w:type="dxa"/>
          </w:tcPr>
          <w:p w14:paraId="08C4DB19" w14:textId="77777777" w:rsidR="0074163C" w:rsidRDefault="0074163C" w:rsidP="009E5A87">
            <w:r>
              <w:t>Sponsor’s pre-Advisory Committee response</w:t>
            </w:r>
          </w:p>
        </w:tc>
        <w:tc>
          <w:tcPr>
            <w:tcW w:w="2970" w:type="dxa"/>
          </w:tcPr>
          <w:p w14:paraId="03160C80" w14:textId="02A0D8D6" w:rsidR="0074163C" w:rsidRDefault="00FF1A93" w:rsidP="009E5A87">
            <w:r>
              <w:t>20 July 2021</w:t>
            </w:r>
          </w:p>
        </w:tc>
      </w:tr>
      <w:tr w:rsidR="0074163C" w14:paraId="2C79699E" w14:textId="77777777" w:rsidTr="0032283F">
        <w:tc>
          <w:tcPr>
            <w:tcW w:w="5524" w:type="dxa"/>
          </w:tcPr>
          <w:p w14:paraId="5A1BBD30" w14:textId="77777777" w:rsidR="0074163C" w:rsidRDefault="0074163C" w:rsidP="009E5A87">
            <w:r>
              <w:t>Advisory Committee meeting</w:t>
            </w:r>
          </w:p>
        </w:tc>
        <w:tc>
          <w:tcPr>
            <w:tcW w:w="2970" w:type="dxa"/>
          </w:tcPr>
          <w:p w14:paraId="7535CFFF" w14:textId="3D530BA7" w:rsidR="0074163C" w:rsidRDefault="00FF1A93" w:rsidP="009E5A87">
            <w:r>
              <w:t>24 August 2021</w:t>
            </w:r>
          </w:p>
        </w:tc>
      </w:tr>
      <w:tr w:rsidR="0074163C" w14:paraId="558C5431" w14:textId="77777777" w:rsidTr="0032283F">
        <w:tc>
          <w:tcPr>
            <w:tcW w:w="5524" w:type="dxa"/>
          </w:tcPr>
          <w:p w14:paraId="48D58F2A" w14:textId="77777777" w:rsidR="0074163C" w:rsidRDefault="0074163C" w:rsidP="009E5A87">
            <w:r>
              <w:t>Registration decision (Outcome)</w:t>
            </w:r>
          </w:p>
        </w:tc>
        <w:tc>
          <w:tcPr>
            <w:tcW w:w="2970" w:type="dxa"/>
          </w:tcPr>
          <w:p w14:paraId="43E22403" w14:textId="096113C1" w:rsidR="0074163C" w:rsidRDefault="00FF1A93" w:rsidP="009E5A87">
            <w:r>
              <w:t>15 September 2021</w:t>
            </w:r>
          </w:p>
        </w:tc>
      </w:tr>
      <w:tr w:rsidR="0074163C" w14:paraId="0921CDC8" w14:textId="77777777" w:rsidTr="0032283F">
        <w:tc>
          <w:tcPr>
            <w:tcW w:w="5524" w:type="dxa"/>
          </w:tcPr>
          <w:p w14:paraId="0386B21F" w14:textId="77777777" w:rsidR="0074163C" w:rsidRDefault="0074163C" w:rsidP="009E5A87">
            <w:r w:rsidRPr="005A79F5">
              <w:t>Completion of administrative activities and registration on the ARTG</w:t>
            </w:r>
          </w:p>
        </w:tc>
        <w:tc>
          <w:tcPr>
            <w:tcW w:w="2970" w:type="dxa"/>
          </w:tcPr>
          <w:p w14:paraId="616C0C54" w14:textId="398F3FDA" w:rsidR="0074163C" w:rsidRDefault="00FF1A93" w:rsidP="009E5A87">
            <w:r>
              <w:t>21 September 2021</w:t>
            </w:r>
          </w:p>
        </w:tc>
      </w:tr>
      <w:tr w:rsidR="0074163C" w14:paraId="5D28453B" w14:textId="77777777" w:rsidTr="0032283F">
        <w:tc>
          <w:tcPr>
            <w:tcW w:w="5524" w:type="dxa"/>
          </w:tcPr>
          <w:p w14:paraId="70E02E45" w14:textId="77777777" w:rsidR="0074163C" w:rsidRDefault="0074163C" w:rsidP="009E5A87">
            <w:r>
              <w:t>Number of working days from submission dossier acceptance to registration decision*</w:t>
            </w:r>
          </w:p>
        </w:tc>
        <w:tc>
          <w:tcPr>
            <w:tcW w:w="2970" w:type="dxa"/>
          </w:tcPr>
          <w:p w14:paraId="635C0B3E" w14:textId="447AAB7F" w:rsidR="0074163C" w:rsidRDefault="00FF1A93" w:rsidP="009E5A87">
            <w:r>
              <w:t>218</w:t>
            </w:r>
          </w:p>
        </w:tc>
      </w:tr>
    </w:tbl>
    <w:p w14:paraId="6CF4BE00" w14:textId="6272BB93" w:rsidR="0074163C" w:rsidRDefault="0074163C" w:rsidP="0074163C">
      <w:pPr>
        <w:pStyle w:val="TableDescription"/>
      </w:pPr>
      <w:r>
        <w:t>*</w:t>
      </w:r>
      <w:r w:rsidRPr="00BF3774">
        <w:t xml:space="preserve">Statutory </w:t>
      </w:r>
      <w:r>
        <w:t xml:space="preserve">timeframe for standard </w:t>
      </w:r>
      <w:r w:rsidR="00BB0B78">
        <w:t>submission</w:t>
      </w:r>
      <w:r>
        <w:t>s is 255 working days</w:t>
      </w:r>
    </w:p>
    <w:p w14:paraId="7FC1EB9F" w14:textId="3F5FAC7A" w:rsidR="008E7846" w:rsidRPr="00792A32" w:rsidRDefault="00006FAB" w:rsidP="008E7846">
      <w:pPr>
        <w:pStyle w:val="Heading2"/>
      </w:pPr>
      <w:bookmarkStart w:id="27" w:name="_Toc196046504"/>
      <w:bookmarkStart w:id="28" w:name="_Toc247691527"/>
      <w:bookmarkStart w:id="29" w:name="_Toc314842510"/>
      <w:bookmarkStart w:id="30" w:name="_Toc107925360"/>
      <w:bookmarkStart w:id="31" w:name="_Toc163441390"/>
      <w:bookmarkEnd w:id="24"/>
      <w:bookmarkEnd w:id="25"/>
      <w:bookmarkEnd w:id="1"/>
      <w:r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0"/>
    </w:p>
    <w:p w14:paraId="1906126F" w14:textId="18FDEA08" w:rsidR="005A79F5" w:rsidRDefault="005A79F5" w:rsidP="0074163C">
      <w:pPr>
        <w:pStyle w:val="Instructions"/>
        <w:rPr>
          <w:i w:val="0"/>
          <w:color w:val="auto"/>
        </w:rPr>
      </w:pPr>
      <w:bookmarkStart w:id="32" w:name="_Toc247691528"/>
      <w:bookmarkStart w:id="33" w:name="_Toc314842511"/>
      <w:r w:rsidRPr="005A79F5">
        <w:rPr>
          <w:i w:val="0"/>
          <w:color w:val="auto"/>
        </w:rPr>
        <w:t>A summary of the TGA’s assessment for this submission is provided below</w:t>
      </w:r>
      <w:r>
        <w:rPr>
          <w:i w:val="0"/>
          <w:color w:val="auto"/>
        </w:rPr>
        <w:t>.</w:t>
      </w:r>
    </w:p>
    <w:p w14:paraId="6150B703" w14:textId="77777777" w:rsidR="00827699" w:rsidRDefault="00827699" w:rsidP="00827699">
      <w:pPr>
        <w:jc w:val="both"/>
        <w:rPr>
          <w:lang w:eastAsia="ja-JP"/>
        </w:rPr>
      </w:pPr>
      <w:r>
        <w:rPr>
          <w:lang w:eastAsia="ja-JP"/>
        </w:rPr>
        <w:t>The following guidelines adopted by the TGA were relevant to this submission:</w:t>
      </w:r>
    </w:p>
    <w:p w14:paraId="24163DEA" w14:textId="4EB11D6A" w:rsidR="00827699" w:rsidRPr="00827699" w:rsidRDefault="00827699" w:rsidP="00827699">
      <w:pPr>
        <w:pStyle w:val="ListBullet"/>
      </w:pPr>
      <w:r w:rsidRPr="00827699">
        <w:t>EMEA/CPMP/EWP/633/02 Rev. 3</w:t>
      </w:r>
      <w:r>
        <w:t xml:space="preserve"> </w:t>
      </w:r>
      <w:r w:rsidRPr="00827699">
        <w:t>Guideline on the clinical development of medicinal products for</w:t>
      </w:r>
      <w:r>
        <w:t xml:space="preserve"> the treatment of HIV infection</w:t>
      </w:r>
      <w:r w:rsidRPr="00827699">
        <w:t>. Effective 1 January 2017.</w:t>
      </w:r>
    </w:p>
    <w:p w14:paraId="0451EEC3" w14:textId="196F152A" w:rsidR="00827699" w:rsidRPr="00827699" w:rsidRDefault="00827699" w:rsidP="00827699">
      <w:pPr>
        <w:pStyle w:val="ListBullet"/>
      </w:pPr>
      <w:r w:rsidRPr="00827699">
        <w:t xml:space="preserve">Paediatric HIV Infection: Drug Product Development for Treatment. Guidance for Industry March 2019 </w:t>
      </w:r>
      <w:r>
        <w:t>United States Food and Drug Administration (US FDA)</w:t>
      </w:r>
      <w:r w:rsidRPr="00827699">
        <w:t>.</w:t>
      </w:r>
    </w:p>
    <w:p w14:paraId="2226105D" w14:textId="5B5C8C8B" w:rsidR="008E7846" w:rsidRDefault="008E7846" w:rsidP="008E7846">
      <w:pPr>
        <w:pStyle w:val="Heading3"/>
      </w:pPr>
      <w:bookmarkStart w:id="34" w:name="_Toc107925361"/>
      <w:r>
        <w:t>Quality</w:t>
      </w:r>
      <w:bookmarkEnd w:id="32"/>
      <w:bookmarkEnd w:id="33"/>
      <w:bookmarkEnd w:id="34"/>
    </w:p>
    <w:p w14:paraId="08889175" w14:textId="16332C09" w:rsidR="009F7EDA" w:rsidRPr="009F7EDA" w:rsidRDefault="009F7EDA" w:rsidP="009F7EDA">
      <w:proofErr w:type="spellStart"/>
      <w:r>
        <w:t>Tivicay</w:t>
      </w:r>
      <w:proofErr w:type="spellEnd"/>
      <w:r>
        <w:t xml:space="preserve"> film-coated tablets and </w:t>
      </w:r>
      <w:proofErr w:type="spellStart"/>
      <w:r>
        <w:t>Tivicay</w:t>
      </w:r>
      <w:proofErr w:type="spellEnd"/>
      <w:r>
        <w:t xml:space="preserve"> dispersible tablets both contain dolutegravir </w:t>
      </w:r>
      <w:r w:rsidR="00DF4912">
        <w:t>(</w:t>
      </w:r>
      <w:r>
        <w:t xml:space="preserve">as sodium) as the active ingredient. </w:t>
      </w:r>
      <w:r w:rsidR="00DF4912">
        <w:t xml:space="preserve">The chemical structure is shown below in </w:t>
      </w:r>
      <w:r w:rsidR="00DF4912">
        <w:fldChar w:fldCharType="begin"/>
      </w:r>
      <w:r w:rsidR="00DF4912">
        <w:instrText xml:space="preserve"> REF _Ref105052589 \h </w:instrText>
      </w:r>
      <w:r w:rsidR="00DF4912">
        <w:fldChar w:fldCharType="separate"/>
      </w:r>
      <w:r w:rsidR="004D0F54">
        <w:t xml:space="preserve">Figure </w:t>
      </w:r>
      <w:r w:rsidR="004D0F54">
        <w:rPr>
          <w:noProof/>
        </w:rPr>
        <w:t>1</w:t>
      </w:r>
      <w:r w:rsidR="004D0F54">
        <w:t>: Dolutegravir chemical structure</w:t>
      </w:r>
      <w:r w:rsidR="00DF4912">
        <w:fldChar w:fldCharType="end"/>
      </w:r>
    </w:p>
    <w:p w14:paraId="7A5CD284" w14:textId="2DC6972C" w:rsidR="009F7EDA" w:rsidRDefault="009F7EDA" w:rsidP="009F7EDA">
      <w:pPr>
        <w:pStyle w:val="FigureTitle"/>
      </w:pPr>
      <w:bookmarkStart w:id="35" w:name="_Ref105052589"/>
      <w:r>
        <w:lastRenderedPageBreak/>
        <w:t xml:space="preserve">Figure </w:t>
      </w:r>
      <w:r w:rsidR="00D174B5">
        <w:fldChar w:fldCharType="begin"/>
      </w:r>
      <w:r w:rsidR="00D174B5">
        <w:instrText xml:space="preserve"> SEQ Figure \* ARABIC </w:instrText>
      </w:r>
      <w:r w:rsidR="00D174B5">
        <w:fldChar w:fldCharType="separate"/>
      </w:r>
      <w:r w:rsidR="004D0F54">
        <w:rPr>
          <w:noProof/>
        </w:rPr>
        <w:t>1</w:t>
      </w:r>
      <w:r w:rsidR="00D174B5">
        <w:rPr>
          <w:noProof/>
        </w:rPr>
        <w:fldChar w:fldCharType="end"/>
      </w:r>
      <w:r>
        <w:t>: Dolutegravir chemical structure</w:t>
      </w:r>
      <w:bookmarkEnd w:id="35"/>
    </w:p>
    <w:p w14:paraId="042B6B92" w14:textId="2D3AD706" w:rsidR="009F7EDA" w:rsidRDefault="009F7EDA" w:rsidP="009F7EDA">
      <w:r>
        <w:rPr>
          <w:noProof/>
          <w:lang w:val="en-GB" w:eastAsia="en-GB"/>
        </w:rPr>
        <w:drawing>
          <wp:inline distT="0" distB="0" distL="0" distR="0" wp14:anchorId="3B456EF8" wp14:editId="6FF0CAF7">
            <wp:extent cx="4061086" cy="1667436"/>
            <wp:effectExtent l="0" t="0" r="0" b="0"/>
            <wp:docPr id="11" name="Picture 11" descr="Dolutegravir 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utegravir.sv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88999" cy="1678897"/>
                    </a:xfrm>
                    <a:prstGeom prst="rect">
                      <a:avLst/>
                    </a:prstGeom>
                    <a:noFill/>
                    <a:ln>
                      <a:noFill/>
                    </a:ln>
                  </pic:spPr>
                </pic:pic>
              </a:graphicData>
            </a:graphic>
          </wp:inline>
        </w:drawing>
      </w:r>
    </w:p>
    <w:p w14:paraId="4557C0F2" w14:textId="0F2E13A1" w:rsidR="00DF4912" w:rsidRPr="009F7EDA" w:rsidRDefault="00DF4912" w:rsidP="009F7EDA">
      <w:proofErr w:type="spellStart"/>
      <w:r>
        <w:t>Tivicay</w:t>
      </w:r>
      <w:proofErr w:type="spellEnd"/>
      <w:r>
        <w:t xml:space="preserve"> </w:t>
      </w:r>
      <w:r w:rsidR="00EF25F1">
        <w:t xml:space="preserve">10, 25 and 50 mg </w:t>
      </w:r>
      <w:r>
        <w:t>film-coated tablets are currently supplied in Australia and were previously evaluated for quality at the time of initial registration of this drug.</w:t>
      </w:r>
      <w:r w:rsidRPr="00DF4912">
        <w:rPr>
          <w:vertAlign w:val="superscript"/>
        </w:rPr>
        <w:fldChar w:fldCharType="begin"/>
      </w:r>
      <w:r w:rsidRPr="00DF4912">
        <w:rPr>
          <w:vertAlign w:val="superscript"/>
        </w:rPr>
        <w:instrText xml:space="preserve"> NOTEREF _Ref105052892 \h </w:instrText>
      </w:r>
      <w:r>
        <w:rPr>
          <w:vertAlign w:val="superscript"/>
        </w:rPr>
        <w:instrText xml:space="preserve"> \* MERGEFORMAT </w:instrText>
      </w:r>
      <w:r w:rsidRPr="00DF4912">
        <w:rPr>
          <w:vertAlign w:val="superscript"/>
        </w:rPr>
      </w:r>
      <w:r w:rsidRPr="00DF4912">
        <w:rPr>
          <w:vertAlign w:val="superscript"/>
        </w:rPr>
        <w:fldChar w:fldCharType="separate"/>
      </w:r>
      <w:r w:rsidR="004D0F54">
        <w:rPr>
          <w:vertAlign w:val="superscript"/>
        </w:rPr>
        <w:t>3</w:t>
      </w:r>
      <w:r w:rsidRPr="00DF4912">
        <w:rPr>
          <w:vertAlign w:val="superscript"/>
        </w:rPr>
        <w:fldChar w:fldCharType="end"/>
      </w:r>
    </w:p>
    <w:p w14:paraId="013B5C52" w14:textId="3B457F31" w:rsidR="00433B35" w:rsidRDefault="00DF4912" w:rsidP="00EF25F1">
      <w:pPr>
        <w:rPr>
          <w:lang w:eastAsia="ja-JP"/>
        </w:rPr>
      </w:pPr>
      <w:r>
        <w:rPr>
          <w:lang w:eastAsia="ja-JP"/>
        </w:rPr>
        <w:t>In this submission the sponsor proposes</w:t>
      </w:r>
      <w:r>
        <w:t xml:space="preserve"> to r</w:t>
      </w:r>
      <w:r w:rsidRPr="00726D51">
        <w:t>egister a new dose form</w:t>
      </w:r>
      <w:r>
        <w:t xml:space="preserve"> and strength</w:t>
      </w:r>
      <w:r w:rsidRPr="00726D51">
        <w:t xml:space="preserve"> of the previously approved active substance</w:t>
      </w:r>
      <w:r>
        <w:t xml:space="preserve"> dolutegravir</w:t>
      </w:r>
      <w:r w:rsidR="00EF25F1">
        <w:t xml:space="preserve"> in the form of </w:t>
      </w:r>
      <w:proofErr w:type="spellStart"/>
      <w:r w:rsidR="00EF25F1">
        <w:t>Tivicay</w:t>
      </w:r>
      <w:proofErr w:type="spellEnd"/>
      <w:r w:rsidR="00EF25F1">
        <w:t> PD.</w:t>
      </w:r>
      <w:r w:rsidR="00EF25F1">
        <w:rPr>
          <w:lang w:eastAsia="ja-JP"/>
        </w:rPr>
        <w:t xml:space="preserve"> </w:t>
      </w:r>
      <w:proofErr w:type="spellStart"/>
      <w:r w:rsidR="00EF25F1">
        <w:rPr>
          <w:lang w:eastAsia="ja-JP"/>
        </w:rPr>
        <w:t>Tivicay</w:t>
      </w:r>
      <w:proofErr w:type="spellEnd"/>
      <w:r w:rsidR="00EF25F1">
        <w:rPr>
          <w:lang w:eastAsia="ja-JP"/>
        </w:rPr>
        <w:t xml:space="preserve"> PD</w:t>
      </w:r>
      <w:r w:rsidR="00433B35" w:rsidRPr="00D71EDD">
        <w:rPr>
          <w:lang w:eastAsia="ja-JP"/>
        </w:rPr>
        <w:t xml:space="preserve"> was developed to provide a disper</w:t>
      </w:r>
      <w:r w:rsidR="00EF25F1">
        <w:rPr>
          <w:lang w:eastAsia="ja-JP"/>
        </w:rPr>
        <w:t>sible tablet</w:t>
      </w:r>
      <w:r w:rsidR="00433B35">
        <w:rPr>
          <w:lang w:eastAsia="ja-JP"/>
        </w:rPr>
        <w:t xml:space="preserve"> </w:t>
      </w:r>
      <w:r w:rsidR="00433B35" w:rsidRPr="00D71EDD">
        <w:rPr>
          <w:lang w:eastAsia="ja-JP"/>
        </w:rPr>
        <w:t xml:space="preserve">containing 5 mg of </w:t>
      </w:r>
      <w:r w:rsidR="00EF25F1">
        <w:rPr>
          <w:lang w:eastAsia="ja-JP"/>
        </w:rPr>
        <w:t xml:space="preserve">dolutegravir </w:t>
      </w:r>
      <w:r w:rsidR="00433B35" w:rsidRPr="00D71EDD">
        <w:rPr>
          <w:lang w:eastAsia="ja-JP"/>
        </w:rPr>
        <w:t>drug substance, equivalent to 5.26 mg as the sodium salt, with a small tablet size to minimise</w:t>
      </w:r>
      <w:r w:rsidR="00433B35">
        <w:rPr>
          <w:lang w:eastAsia="ja-JP"/>
        </w:rPr>
        <w:t xml:space="preserve"> </w:t>
      </w:r>
      <w:r w:rsidR="00433B35" w:rsidRPr="00D71EDD">
        <w:rPr>
          <w:lang w:eastAsia="ja-JP"/>
        </w:rPr>
        <w:t>excipients dosed to children and aid swallowing if dosed directly to mouth. A sweetener</w:t>
      </w:r>
      <w:r w:rsidR="00433B35">
        <w:rPr>
          <w:lang w:eastAsia="ja-JP"/>
        </w:rPr>
        <w:t xml:space="preserve"> </w:t>
      </w:r>
      <w:r w:rsidR="00433B35" w:rsidRPr="00D71EDD">
        <w:rPr>
          <w:lang w:eastAsia="ja-JP"/>
        </w:rPr>
        <w:t>and flavour were also included for palatability.</w:t>
      </w:r>
    </w:p>
    <w:p w14:paraId="742D48CC" w14:textId="6B3445C6" w:rsidR="00600D70" w:rsidRDefault="00600D70" w:rsidP="00600D70">
      <w:pPr>
        <w:pStyle w:val="Heading4"/>
        <w:rPr>
          <w:lang w:eastAsia="ja-JP"/>
        </w:rPr>
      </w:pPr>
      <w:proofErr w:type="spellStart"/>
      <w:r>
        <w:rPr>
          <w:lang w:eastAsia="ja-JP"/>
        </w:rPr>
        <w:t>Tivicay</w:t>
      </w:r>
      <w:proofErr w:type="spellEnd"/>
      <w:r>
        <w:rPr>
          <w:lang w:eastAsia="ja-JP"/>
        </w:rPr>
        <w:t xml:space="preserve"> film-coated tablets</w:t>
      </w:r>
    </w:p>
    <w:p w14:paraId="1F2FCC9E" w14:textId="46D6C0FA" w:rsidR="00163FBA" w:rsidRDefault="00163FBA" w:rsidP="00163FBA">
      <w:proofErr w:type="spellStart"/>
      <w:r>
        <w:t>Tivicay</w:t>
      </w:r>
      <w:proofErr w:type="spellEnd"/>
      <w:r w:rsidR="00EF25F1">
        <w:t xml:space="preserve"> 10, 25 and 50 mg film-coated tablets </w:t>
      </w:r>
      <w:r>
        <w:t xml:space="preserve">each contain 10.5 mg, 26.3 </w:t>
      </w:r>
      <w:proofErr w:type="gramStart"/>
      <w:r>
        <w:t>mg</w:t>
      </w:r>
      <w:proofErr w:type="gramEnd"/>
      <w:r>
        <w:t xml:space="preserve"> or 52.6 mg of dolutegravir sodium, equivalent to 10 mg, 25 mg or 50 mg of dolutegravir free acid</w:t>
      </w:r>
      <w:r w:rsidR="00EF25F1">
        <w:t>.</w:t>
      </w:r>
    </w:p>
    <w:p w14:paraId="377C4445" w14:textId="69F3492F" w:rsidR="00163FBA" w:rsidRDefault="00EF25F1" w:rsidP="00163FBA">
      <w:proofErr w:type="spellStart"/>
      <w:r>
        <w:t>Tivicay</w:t>
      </w:r>
      <w:proofErr w:type="spellEnd"/>
      <w:r>
        <w:t xml:space="preserve"> 10 mg film-coated tablets are w</w:t>
      </w:r>
      <w:r w:rsidR="00163FBA">
        <w:t>hite, film-coated, round, biconvex tablets debossed with ‘SV 572’ on one side</w:t>
      </w:r>
      <w:r>
        <w:t xml:space="preserve"> and </w:t>
      </w:r>
      <w:r w:rsidR="00163FBA">
        <w:t>‘10’ on the other side.</w:t>
      </w:r>
    </w:p>
    <w:p w14:paraId="6B7F0C9C" w14:textId="3243CF73" w:rsidR="00163FBA" w:rsidRDefault="00EF25F1" w:rsidP="00163FBA">
      <w:proofErr w:type="spellStart"/>
      <w:r>
        <w:t>Tivicay</w:t>
      </w:r>
      <w:proofErr w:type="spellEnd"/>
      <w:r>
        <w:t xml:space="preserve"> 25 mg film-coated tablets are p</w:t>
      </w:r>
      <w:r w:rsidR="00163FBA">
        <w:t>ale yellow, film-coated, round, biconvex tablets</w:t>
      </w:r>
      <w:r>
        <w:t xml:space="preserve"> debossed with ‘SV 572’ on one </w:t>
      </w:r>
      <w:r w:rsidR="00163FBA">
        <w:t>side and ‘25’ on the other side.</w:t>
      </w:r>
    </w:p>
    <w:p w14:paraId="707DC99A" w14:textId="3C876845" w:rsidR="00163FBA" w:rsidRDefault="00EF25F1" w:rsidP="00163FBA">
      <w:proofErr w:type="spellStart"/>
      <w:r>
        <w:t>Tivicay</w:t>
      </w:r>
      <w:proofErr w:type="spellEnd"/>
      <w:r>
        <w:t xml:space="preserve"> 50 mg film-coated tablets are y</w:t>
      </w:r>
      <w:r w:rsidR="00163FBA">
        <w:t>ellow, film-coated, round, biconvex tablets, debo</w:t>
      </w:r>
      <w:r>
        <w:t>ssed with ‘SV 572’ on one side and ‘50’ on the other side.</w:t>
      </w:r>
    </w:p>
    <w:p w14:paraId="2DB937CE" w14:textId="64C8039D" w:rsidR="00323A85" w:rsidRDefault="00EF25F1" w:rsidP="00163FBA">
      <w:proofErr w:type="spellStart"/>
      <w:r>
        <w:t>Tivicay</w:t>
      </w:r>
      <w:proofErr w:type="spellEnd"/>
      <w:r>
        <w:t xml:space="preserve"> film-coated tablets contain m</w:t>
      </w:r>
      <w:r w:rsidR="00323A85">
        <w:t>annitol</w:t>
      </w:r>
      <w:r>
        <w:t xml:space="preserve"> as an excipient.</w:t>
      </w:r>
    </w:p>
    <w:p w14:paraId="135C10C5" w14:textId="77777777" w:rsidR="00600D70" w:rsidRDefault="00600D70" w:rsidP="00600D70">
      <w:proofErr w:type="spellStart"/>
      <w:r>
        <w:t>Tivicay</w:t>
      </w:r>
      <w:proofErr w:type="spellEnd"/>
      <w:r>
        <w:t xml:space="preserve"> film-coated tablets are supplied in HDPE (high density polyethylene) bottles containing 30 tablets. The tablet bottles contain a desiccant.</w:t>
      </w:r>
    </w:p>
    <w:p w14:paraId="77439AE8" w14:textId="77777777" w:rsidR="00600D70" w:rsidRDefault="00600D70" w:rsidP="00600D70">
      <w:r>
        <w:t xml:space="preserve">Tablets should be stored below </w:t>
      </w:r>
      <w:r w:rsidRPr="00A43921">
        <w:t>30°C</w:t>
      </w:r>
      <w:r>
        <w:t xml:space="preserve"> in the original package </w:t>
      </w:r>
      <w:proofErr w:type="gramStart"/>
      <w:r>
        <w:t>in order to</w:t>
      </w:r>
      <w:proofErr w:type="gramEnd"/>
      <w:r>
        <w:t xml:space="preserve"> protect against moisture. Keep the bottle tightly closed when stored. The desiccant should not be removed.</w:t>
      </w:r>
    </w:p>
    <w:p w14:paraId="779AB129" w14:textId="4BA48058" w:rsidR="00600D70" w:rsidRDefault="00600D70" w:rsidP="00600D70">
      <w:r>
        <w:t>Tablets have a shelf life of 36 months. The expiry date can be found on the packaging.</w:t>
      </w:r>
    </w:p>
    <w:p w14:paraId="00DC85C4" w14:textId="4AC99154" w:rsidR="00600D70" w:rsidRPr="00A43921" w:rsidRDefault="00600D70" w:rsidP="00600D70">
      <w:pPr>
        <w:pStyle w:val="Heading4"/>
      </w:pPr>
      <w:proofErr w:type="spellStart"/>
      <w:r>
        <w:t>Tivicay</w:t>
      </w:r>
      <w:proofErr w:type="spellEnd"/>
      <w:r>
        <w:t xml:space="preserve"> PD dispersible tablets </w:t>
      </w:r>
    </w:p>
    <w:p w14:paraId="71FFD8E9" w14:textId="022DB312" w:rsidR="00163FBA" w:rsidRDefault="00163FBA" w:rsidP="00A43921">
      <w:proofErr w:type="spellStart"/>
      <w:r>
        <w:t>Tivicay</w:t>
      </w:r>
      <w:proofErr w:type="spellEnd"/>
      <w:r>
        <w:t xml:space="preserve"> PD</w:t>
      </w:r>
      <w:r w:rsidR="001D6E30">
        <w:t xml:space="preserve"> 5 mg dispersible tablets each contain</w:t>
      </w:r>
      <w:r>
        <w:t xml:space="preserve"> 5 mg of dolutegravir (as dolutegravir sodium). </w:t>
      </w:r>
      <w:proofErr w:type="spellStart"/>
      <w:r w:rsidR="001D6E30">
        <w:t>Tivicay</w:t>
      </w:r>
      <w:proofErr w:type="spellEnd"/>
      <w:r w:rsidR="001D6E30">
        <w:t xml:space="preserve"> </w:t>
      </w:r>
      <w:r>
        <w:t>PD dispersible tablets each contain 5.26 mg of dolutegravir sodium, equivalent to 5 mg of dolutegravir free acid.</w:t>
      </w:r>
    </w:p>
    <w:p w14:paraId="0B091F42" w14:textId="4B30A041" w:rsidR="00163FBA" w:rsidRDefault="001D6E30" w:rsidP="00A43921">
      <w:proofErr w:type="spellStart"/>
      <w:r>
        <w:t>Tivicay</w:t>
      </w:r>
      <w:proofErr w:type="spellEnd"/>
      <w:r>
        <w:t xml:space="preserve"> PD 5 mg </w:t>
      </w:r>
      <w:proofErr w:type="spellStart"/>
      <w:r>
        <w:t>dispersibile</w:t>
      </w:r>
      <w:proofErr w:type="spellEnd"/>
      <w:r>
        <w:t xml:space="preserve"> tablets are w</w:t>
      </w:r>
      <w:r w:rsidR="00163FBA">
        <w:t>hite, round, bic</w:t>
      </w:r>
      <w:r>
        <w:t>onvex tablets debossed with ‘SV </w:t>
      </w:r>
      <w:r w:rsidR="00163FBA">
        <w:t>H7S’ on one side and ‘5’ on the other side</w:t>
      </w:r>
      <w:r>
        <w:t>.</w:t>
      </w:r>
    </w:p>
    <w:p w14:paraId="7B02D5DA" w14:textId="25A30D9E" w:rsidR="00163FBA" w:rsidRDefault="001D6E30" w:rsidP="00A43921">
      <w:proofErr w:type="spellStart"/>
      <w:r>
        <w:t>Tivicay</w:t>
      </w:r>
      <w:proofErr w:type="spellEnd"/>
      <w:r>
        <w:t xml:space="preserve"> PD tablets contain m</w:t>
      </w:r>
      <w:r w:rsidR="00323A85">
        <w:t>annitol and sucralose</w:t>
      </w:r>
      <w:r>
        <w:t xml:space="preserve"> as excipients.</w:t>
      </w:r>
    </w:p>
    <w:p w14:paraId="5CD72A37" w14:textId="75669854" w:rsidR="00A43921" w:rsidRDefault="00A43921" w:rsidP="00A43921">
      <w:proofErr w:type="spellStart"/>
      <w:r>
        <w:lastRenderedPageBreak/>
        <w:t>T</w:t>
      </w:r>
      <w:r w:rsidR="000832BD">
        <w:t>ivicay</w:t>
      </w:r>
      <w:proofErr w:type="spellEnd"/>
      <w:r>
        <w:t xml:space="preserve"> PD dispersible tablets are supplied in HDPE (hig</w:t>
      </w:r>
      <w:r w:rsidR="000832BD">
        <w:t xml:space="preserve">h density polyethylene) bottles </w:t>
      </w:r>
      <w:r>
        <w:t>containing 60 tablets. The bottles contain a desiccant.</w:t>
      </w:r>
      <w:r w:rsidR="00163FBA">
        <w:t xml:space="preserve"> </w:t>
      </w:r>
      <w:r>
        <w:t>A dosing cup and syringe are supplied with the pack</w:t>
      </w:r>
      <w:r w:rsidR="00163FBA">
        <w:t>.</w:t>
      </w:r>
    </w:p>
    <w:p w14:paraId="7BEEB550" w14:textId="1F0D4EFA" w:rsidR="00163FBA" w:rsidRDefault="00163FBA" w:rsidP="00A43921">
      <w:r>
        <w:t xml:space="preserve">Tablets should be stored below </w:t>
      </w:r>
      <w:r w:rsidRPr="00A43921">
        <w:t>30°C</w:t>
      </w:r>
      <w:r>
        <w:t xml:space="preserve"> in the original package </w:t>
      </w:r>
      <w:proofErr w:type="gramStart"/>
      <w:r>
        <w:t>in order to</w:t>
      </w:r>
      <w:proofErr w:type="gramEnd"/>
      <w:r>
        <w:t xml:space="preserve"> protect against moisture. Keep the bottle tightly closed when stored. The desiccant should not be removed.</w:t>
      </w:r>
    </w:p>
    <w:p w14:paraId="0F8EDC5F" w14:textId="77777777" w:rsidR="001D6E30" w:rsidRDefault="00163FBA" w:rsidP="001D6E30">
      <w:r>
        <w:t>Tablets have a shelf life of 36 months. The expiry date can be found on the packaging.</w:t>
      </w:r>
    </w:p>
    <w:p w14:paraId="71A47A08" w14:textId="0FDCD8B3" w:rsidR="001D6E30" w:rsidRPr="00A43921" w:rsidRDefault="001D6E30" w:rsidP="001D6E30">
      <w:pPr>
        <w:pStyle w:val="Heading4"/>
      </w:pPr>
      <w:r>
        <w:t>Conclusions and recommendations</w:t>
      </w:r>
    </w:p>
    <w:p w14:paraId="560D7D89" w14:textId="663DCF40" w:rsidR="00A43921" w:rsidRDefault="00A43921" w:rsidP="00A43921">
      <w:r>
        <w:t>Approval was recommended for registration of the proposed product from a pharmaceutical chemistry perspective.</w:t>
      </w:r>
    </w:p>
    <w:p w14:paraId="5E95C5F6" w14:textId="0BB97CCC" w:rsidR="00A43921" w:rsidRDefault="001D6E30" w:rsidP="00A43921">
      <w:r>
        <w:t>Good Manufacturing Practice (GMP)</w:t>
      </w:r>
      <w:r w:rsidR="00A43921">
        <w:t xml:space="preserve"> clearance information for multiple sites of drug substance manufacture was in question and will either expire before a decision is expected or does not include scope for the manufacture of dolutegravir sodium. It is anticipated that the sponsor will be able to provide a response to the TGA that addresses these issues prior to a decision being made. The pharmaceutical chemistry evaluator requested that the sponsor liaise with the manufacturing quality branch to ensure GMP clearance information for these sites is valid.</w:t>
      </w:r>
    </w:p>
    <w:p w14:paraId="220CBC72" w14:textId="3466A17B" w:rsidR="008E7846" w:rsidRDefault="008E7846" w:rsidP="008E7846">
      <w:pPr>
        <w:pStyle w:val="Heading3"/>
      </w:pPr>
      <w:bookmarkStart w:id="36" w:name="_Toc314842512"/>
      <w:bookmarkStart w:id="37" w:name="_Toc107925362"/>
      <w:r>
        <w:t>Nonclinical</w:t>
      </w:r>
      <w:bookmarkEnd w:id="36"/>
      <w:bookmarkEnd w:id="37"/>
    </w:p>
    <w:p w14:paraId="7A81DBE0" w14:textId="0DD5C7DA" w:rsidR="008C4EFA" w:rsidRDefault="008C4EFA" w:rsidP="008C4EFA">
      <w:r>
        <w:t>No new toxicological data were submitted in this application to support the extension of indications. The sponsor referred to previously submitted studies supporting the initial r</w:t>
      </w:r>
      <w:r w:rsidR="001D6E30">
        <w:t>egistration of dolutegravir.</w:t>
      </w:r>
      <w:r w:rsidR="001D6E30" w:rsidRPr="001D6E30">
        <w:rPr>
          <w:vertAlign w:val="superscript"/>
        </w:rPr>
        <w:fldChar w:fldCharType="begin"/>
      </w:r>
      <w:r w:rsidR="001D6E30" w:rsidRPr="001D6E30">
        <w:rPr>
          <w:vertAlign w:val="superscript"/>
        </w:rPr>
        <w:instrText xml:space="preserve"> NOTEREF _Ref105052892 \h </w:instrText>
      </w:r>
      <w:r w:rsidR="001D6E30">
        <w:rPr>
          <w:vertAlign w:val="superscript"/>
        </w:rPr>
        <w:instrText xml:space="preserve"> \* MERGEFORMAT </w:instrText>
      </w:r>
      <w:r w:rsidR="001D6E30" w:rsidRPr="001D6E30">
        <w:rPr>
          <w:vertAlign w:val="superscript"/>
        </w:rPr>
      </w:r>
      <w:r w:rsidR="001D6E30" w:rsidRPr="001D6E30">
        <w:rPr>
          <w:vertAlign w:val="superscript"/>
        </w:rPr>
        <w:fldChar w:fldCharType="separate"/>
      </w:r>
      <w:r w:rsidR="004D0F54">
        <w:rPr>
          <w:vertAlign w:val="superscript"/>
        </w:rPr>
        <w:t>3</w:t>
      </w:r>
      <w:r w:rsidR="001D6E30" w:rsidRPr="001D6E30">
        <w:rPr>
          <w:vertAlign w:val="superscript"/>
        </w:rPr>
        <w:fldChar w:fldCharType="end"/>
      </w:r>
      <w:r w:rsidR="001D6E30">
        <w:t xml:space="preserve"> </w:t>
      </w:r>
      <w:r>
        <w:t>The assessment for the current submission was based on studies reviewed in the previous nonclinical evaluation report prepared for submission PM-2018-05410-1-2.</w:t>
      </w:r>
    </w:p>
    <w:p w14:paraId="62DD1B08" w14:textId="77777777" w:rsidR="008C4EFA" w:rsidRDefault="008C4EFA" w:rsidP="008C4EFA">
      <w:r>
        <w:t>No new major target organs of toxicity were identified in juvenile animals, and no significant toxicity was observed in offspring of rats dosed with dolutegravir during gestation and lactation. Overall, juvenile animals did not appear to be more prone to dolutegravir toxicity compared to adults.</w:t>
      </w:r>
    </w:p>
    <w:p w14:paraId="5762E915" w14:textId="3B2A367B" w:rsidR="008C4EFA" w:rsidRDefault="008C4EFA" w:rsidP="008C4EFA">
      <w:r>
        <w:t>There were no nonclinical objections to the proposed extension of indications to include children aged at least one month and weighing ≥</w:t>
      </w:r>
      <w:r w:rsidR="00600D70">
        <w:t xml:space="preserve"> </w:t>
      </w:r>
      <w:r>
        <w:t>3 kg and increase the dose for children weighing ≥ 14 kg.</w:t>
      </w:r>
    </w:p>
    <w:p w14:paraId="0894A90B" w14:textId="77777777" w:rsidR="008C4EFA" w:rsidRDefault="008C4EFA" w:rsidP="008C4EFA">
      <w:r>
        <w:t>No changes were required to the nonclinical sections of the product information.</w:t>
      </w:r>
    </w:p>
    <w:p w14:paraId="604DC958" w14:textId="6BC8AFFA" w:rsidR="008C4EFA" w:rsidRPr="008C4EFA" w:rsidRDefault="00600D70" w:rsidP="008C4EFA">
      <w:r>
        <w:t xml:space="preserve">The </w:t>
      </w:r>
      <w:r w:rsidR="008C4EFA">
        <w:t>Del</w:t>
      </w:r>
      <w:r>
        <w:t>egate commented that t</w:t>
      </w:r>
      <w:r w:rsidR="008C4EFA">
        <w:t>he nonclinical sections of the product information will be updated with the pre-ACM response to include the a</w:t>
      </w:r>
      <w:r>
        <w:t>pproved text from submission PM</w:t>
      </w:r>
      <w:r>
        <w:noBreakHyphen/>
      </w:r>
      <w:r w:rsidR="008C4EFA">
        <w:t>2020-00130-1-2.</w:t>
      </w:r>
    </w:p>
    <w:p w14:paraId="4F7C7CAA" w14:textId="2BA214FF" w:rsidR="00433B35" w:rsidRPr="00433B35" w:rsidRDefault="008E7846" w:rsidP="00827699">
      <w:pPr>
        <w:pStyle w:val="Heading3"/>
      </w:pPr>
      <w:bookmarkStart w:id="38" w:name="_Toc247691530"/>
      <w:bookmarkStart w:id="39" w:name="_Toc314842513"/>
      <w:bookmarkStart w:id="40" w:name="_Toc107925363"/>
      <w:r>
        <w:t>Clinical</w:t>
      </w:r>
      <w:bookmarkEnd w:id="38"/>
      <w:bookmarkEnd w:id="39"/>
      <w:bookmarkEnd w:id="40"/>
    </w:p>
    <w:p w14:paraId="2849B0B2" w14:textId="77777777" w:rsidR="0074163C" w:rsidRDefault="0074163C" w:rsidP="0074163C">
      <w:pPr>
        <w:pStyle w:val="Heading4"/>
      </w:pPr>
      <w:bookmarkStart w:id="41" w:name="_Toc98931928"/>
      <w:r>
        <w:t>Summary of clinical studies</w:t>
      </w:r>
      <w:bookmarkEnd w:id="41"/>
    </w:p>
    <w:p w14:paraId="2E0C6AD1" w14:textId="21922627" w:rsidR="0074163C" w:rsidRDefault="0074163C" w:rsidP="0074163C">
      <w:r>
        <w:t xml:space="preserve">The clinical dossier consisted </w:t>
      </w:r>
      <w:r w:rsidR="00827699">
        <w:t>of the following:</w:t>
      </w:r>
    </w:p>
    <w:p w14:paraId="0A6E4506" w14:textId="06BE65E3" w:rsidR="00827699" w:rsidRDefault="00827699" w:rsidP="008C4EFA">
      <w:pPr>
        <w:pStyle w:val="ListBullet"/>
      </w:pPr>
      <w:r>
        <w:t>Five</w:t>
      </w:r>
      <w:r w:rsidR="008C4EFA">
        <w:t xml:space="preserve"> clinical pharmacology studies providing </w:t>
      </w:r>
      <w:r>
        <w:t>pharmacokinetic, pharmacodynamic</w:t>
      </w:r>
      <w:r w:rsidR="008C4EFA">
        <w:t xml:space="preserve"> and safety pharmacology data (</w:t>
      </w:r>
      <w:r>
        <w:t xml:space="preserve">Studies </w:t>
      </w:r>
      <w:r w:rsidR="008C4EFA">
        <w:t xml:space="preserve">200401, 205893, </w:t>
      </w:r>
      <w:r>
        <w:t xml:space="preserve">201296, </w:t>
      </w:r>
      <w:r w:rsidR="008C4EFA">
        <w:t xml:space="preserve">ING114556, </w:t>
      </w:r>
      <w:r>
        <w:t xml:space="preserve">and </w:t>
      </w:r>
      <w:r w:rsidR="008C4EFA">
        <w:t>ING112578)</w:t>
      </w:r>
    </w:p>
    <w:p w14:paraId="772A7038" w14:textId="17ED3026" w:rsidR="00827699" w:rsidRDefault="00827699" w:rsidP="008C4EFA">
      <w:pPr>
        <w:pStyle w:val="ListBullet"/>
      </w:pPr>
      <w:r>
        <w:t>One population pharmacokinetic</w:t>
      </w:r>
      <w:r w:rsidR="008C4EFA">
        <w:t xml:space="preserve"> analysis (</w:t>
      </w:r>
      <w:r>
        <w:t xml:space="preserve">Report </w:t>
      </w:r>
      <w:r w:rsidR="008C4EFA">
        <w:t>2019N424147-00)</w:t>
      </w:r>
    </w:p>
    <w:p w14:paraId="5CC774C5" w14:textId="77777777" w:rsidR="00827699" w:rsidRDefault="00827699" w:rsidP="008C4EFA">
      <w:pPr>
        <w:pStyle w:val="ListBullet"/>
      </w:pPr>
      <w:r>
        <w:lastRenderedPageBreak/>
        <w:t xml:space="preserve">One </w:t>
      </w:r>
      <w:r w:rsidR="008C4EFA">
        <w:t>pivotal efficacy/safety study (</w:t>
      </w:r>
      <w:r>
        <w:t xml:space="preserve">Study </w:t>
      </w:r>
      <w:r w:rsidR="008C4EFA">
        <w:t>ING112578)</w:t>
      </w:r>
    </w:p>
    <w:p w14:paraId="18A0518E" w14:textId="540BDF96" w:rsidR="008C4EFA" w:rsidRDefault="00827699" w:rsidP="008C4EFA">
      <w:pPr>
        <w:pStyle w:val="ListBullet"/>
      </w:pPr>
      <w:r>
        <w:t xml:space="preserve">Multiple literature </w:t>
      </w:r>
      <w:r w:rsidR="008C4EFA">
        <w:t>references.</w:t>
      </w:r>
    </w:p>
    <w:p w14:paraId="54B7AF4F" w14:textId="77777777" w:rsidR="008C4EFA" w:rsidRPr="00901283" w:rsidRDefault="008C4EFA" w:rsidP="008C4EFA">
      <w:pPr>
        <w:pStyle w:val="Heading4"/>
        <w:rPr>
          <w:rFonts w:eastAsia="Times New Roman"/>
          <w:b w:val="0"/>
          <w:i/>
          <w:color w:val="0070B5" w:themeColor="accent1" w:themeTint="BF"/>
        </w:rPr>
      </w:pPr>
      <w:r w:rsidRPr="00AA53F4">
        <w:t>Pharmacology</w:t>
      </w:r>
      <w:r w:rsidRPr="00901283">
        <w:rPr>
          <w:rFonts w:eastAsia="Times New Roman"/>
          <w:b w:val="0"/>
          <w:i/>
          <w:color w:val="0070B5" w:themeColor="accent1" w:themeTint="BF"/>
        </w:rPr>
        <w:t xml:space="preserve"> </w:t>
      </w:r>
    </w:p>
    <w:p w14:paraId="25CD42F1" w14:textId="52A459B0" w:rsidR="008C4EFA" w:rsidRDefault="00827699" w:rsidP="008C4EFA">
      <w:pPr>
        <w:pStyle w:val="Heading5"/>
      </w:pPr>
      <w:r>
        <w:t>Pharmacokinetics</w:t>
      </w:r>
    </w:p>
    <w:p w14:paraId="4E8DD7D7" w14:textId="005BD38B" w:rsidR="008C4EFA" w:rsidRPr="00826364" w:rsidRDefault="008C4EFA" w:rsidP="008C4EFA">
      <w:r>
        <w:t>The evaluator commented that t</w:t>
      </w:r>
      <w:r w:rsidRPr="00826364">
        <w:t>his submission was essentially based on relative bioavailability data of the new formulation</w:t>
      </w:r>
      <w:r>
        <w:t>,</w:t>
      </w:r>
      <w:r w:rsidRPr="00826364">
        <w:t xml:space="preserve"> th</w:t>
      </w:r>
      <w:r w:rsidR="00827699">
        <w:t>e 5 mg dispersible tablet</w:t>
      </w:r>
      <w:r>
        <w:t>,</w:t>
      </w:r>
      <w:r w:rsidRPr="00826364">
        <w:t xml:space="preserve"> compared to the approve</w:t>
      </w:r>
      <w:r w:rsidR="00827699">
        <w:t>d 50 mg film-coated tablet</w:t>
      </w:r>
      <w:r w:rsidRPr="00826364">
        <w:t>.</w:t>
      </w:r>
    </w:p>
    <w:p w14:paraId="329E271A" w14:textId="65CDE981" w:rsidR="008C4EFA" w:rsidRDefault="008C4EFA" w:rsidP="00827699">
      <w:pPr>
        <w:pStyle w:val="Heading6"/>
      </w:pPr>
      <w:r w:rsidRPr="00826364">
        <w:t>Study 201296</w:t>
      </w:r>
      <w:r>
        <w:t xml:space="preserve"> (Odyssey</w:t>
      </w:r>
      <w:r w:rsidR="00827699">
        <w:t xml:space="preserve"> trial, pharmacokinetics in ta</w:t>
      </w:r>
      <w:r>
        <w:t>rget population)</w:t>
      </w:r>
    </w:p>
    <w:p w14:paraId="784EDBAC" w14:textId="7A1D2FB0" w:rsidR="008C4EFA" w:rsidRDefault="008C4EFA" w:rsidP="008C4EFA">
      <w:r w:rsidRPr="00C035B1">
        <w:t>This is an on</w:t>
      </w:r>
      <w:r>
        <w:t>going, open label, study that was</w:t>
      </w:r>
      <w:r w:rsidRPr="00C035B1">
        <w:t xml:space="preserve"> planned to last 96 w</w:t>
      </w:r>
      <w:r>
        <w:t xml:space="preserve">eeks. The </w:t>
      </w:r>
      <w:r w:rsidR="00827699">
        <w:t>clinical study report</w:t>
      </w:r>
      <w:r>
        <w:t xml:space="preserve"> submitted contained</w:t>
      </w:r>
      <w:r w:rsidRPr="00C035B1">
        <w:t xml:space="preserve"> available safety and </w:t>
      </w:r>
      <w:r w:rsidR="00827699">
        <w:t>pharmacokinetic (</w:t>
      </w:r>
      <w:r w:rsidRPr="00C035B1">
        <w:t>PK</w:t>
      </w:r>
      <w:r w:rsidR="00827699">
        <w:t>)</w:t>
      </w:r>
      <w:r w:rsidRPr="00C035B1">
        <w:t xml:space="preserve"> data </w:t>
      </w:r>
      <w:r w:rsidR="00827699">
        <w:t>from two of the weight band</w:t>
      </w:r>
      <w:r w:rsidRPr="00C035B1">
        <w:t xml:space="preserve"> PK sub-studies (called PK sub-studies) th</w:t>
      </w:r>
      <w:r w:rsidR="00827699">
        <w:t>rough to the cut-off date of 28 </w:t>
      </w:r>
      <w:r w:rsidRPr="00C035B1">
        <w:t>February 2019</w:t>
      </w:r>
      <w:r>
        <w:t>.</w:t>
      </w:r>
    </w:p>
    <w:p w14:paraId="044E3D6A" w14:textId="77777777" w:rsidR="008C4EFA" w:rsidRDefault="008C4EFA" w:rsidP="008C4EFA">
      <w:r>
        <w:t xml:space="preserve">It was an </w:t>
      </w:r>
      <w:r w:rsidRPr="005D7137">
        <w:t xml:space="preserve">open label, multicentre, randomised, non-inferiority, 96 week, 2-arm, study conducted in 8 countries (Uganda, Zimbabwe, South Africa, Thailand, UK, Portugal, </w:t>
      </w:r>
      <w:proofErr w:type="gramStart"/>
      <w:r w:rsidRPr="005D7137">
        <w:t>Spain</w:t>
      </w:r>
      <w:proofErr w:type="gramEnd"/>
      <w:r w:rsidRPr="005D7137">
        <w:t xml:space="preserve"> and Germany) from September 2016 to cut-off date of February 2019.</w:t>
      </w:r>
    </w:p>
    <w:p w14:paraId="4896BC96" w14:textId="1E40E541" w:rsidR="008C4EFA" w:rsidRDefault="008C4EFA" w:rsidP="008C4EFA">
      <w:r w:rsidRPr="005D7137">
        <w:t>The PK sub-studies were added in Version 3.0 of t</w:t>
      </w:r>
      <w:r w:rsidR="00827699">
        <w:t>he ODYSSEY trial protocol. The PK sub</w:t>
      </w:r>
      <w:r w:rsidR="00827699">
        <w:noBreakHyphen/>
      </w:r>
      <w:r w:rsidRPr="005D7137">
        <w:t xml:space="preserve">studies enrolled a sub-population of ODYSSEY </w:t>
      </w:r>
      <w:r w:rsidR="00827699">
        <w:t xml:space="preserve">trial </w:t>
      </w:r>
      <w:r w:rsidRPr="005D7137">
        <w:t>participants at clinical sites in Uganda, South Africa, and Zimbabwe.</w:t>
      </w:r>
    </w:p>
    <w:p w14:paraId="4067503B" w14:textId="52E304CC" w:rsidR="008C4EFA" w:rsidRDefault="00827699" w:rsidP="00827699">
      <w:r>
        <w:t>The primary objective was t</w:t>
      </w:r>
      <w:r w:rsidR="008C4EFA">
        <w:t xml:space="preserve">o evaluate the efficacy and safety of once daily </w:t>
      </w:r>
      <w:r w:rsidR="00983924">
        <w:t>dolutegravir antiretroviral therapy</w:t>
      </w:r>
      <w:r w:rsidR="008C4EFA">
        <w:t xml:space="preserve"> compared with standard of care in children and adolescents starting first or second line </w:t>
      </w:r>
      <w:r w:rsidR="00983924">
        <w:t xml:space="preserve">antiretroviral therapy </w:t>
      </w:r>
      <w:r w:rsidR="008C4EFA">
        <w:t>in resource limited and well-resourced settings.</w:t>
      </w:r>
    </w:p>
    <w:p w14:paraId="567DD008" w14:textId="0518B112" w:rsidR="008C4EFA" w:rsidRPr="00983924" w:rsidRDefault="00983924" w:rsidP="00983924">
      <w:r>
        <w:t>The o</w:t>
      </w:r>
      <w:r w:rsidR="008C4EFA" w:rsidRPr="00983924">
        <w:t>bjective</w:t>
      </w:r>
      <w:r>
        <w:t>s</w:t>
      </w:r>
      <w:r w:rsidR="008C4EFA" w:rsidRPr="00983924">
        <w:t xml:space="preserve"> of PK sub-studies (WB-PK1-WB-PK2)</w:t>
      </w:r>
      <w:r>
        <w:t xml:space="preserve"> were</w:t>
      </w:r>
      <w:r w:rsidR="008C4EFA" w:rsidRPr="00983924">
        <w:t>:</w:t>
      </w:r>
    </w:p>
    <w:p w14:paraId="33A2B2A0" w14:textId="2038B611" w:rsidR="008C4EFA" w:rsidRDefault="008C4EFA" w:rsidP="00983924">
      <w:pPr>
        <w:pStyle w:val="ListBullet"/>
      </w:pPr>
      <w:r>
        <w:t xml:space="preserve">To provide PK data for children in the 3 </w:t>
      </w:r>
      <w:r w:rsidR="00983924">
        <w:t xml:space="preserve">World Health Organization weight bands </w:t>
      </w:r>
      <w:r>
        <w:t>&lt;</w:t>
      </w:r>
      <w:r w:rsidR="00983924">
        <w:t> </w:t>
      </w:r>
      <w:r w:rsidR="00600D70">
        <w:t>14 </w:t>
      </w:r>
      <w:r>
        <w:t>kg (lower WB-PK1) ongoing</w:t>
      </w:r>
    </w:p>
    <w:p w14:paraId="03AB774D" w14:textId="596566F5" w:rsidR="008C4EFA" w:rsidRDefault="008C4EFA" w:rsidP="00983924">
      <w:pPr>
        <w:pStyle w:val="ListBullet"/>
      </w:pPr>
      <w:r>
        <w:t xml:space="preserve">To provide PK data with </w:t>
      </w:r>
      <w:r w:rsidR="00983924">
        <w:t>dolutegravir 25 mg (film-coated tablets</w:t>
      </w:r>
      <w:r>
        <w:t>) in children 14 to &lt;</w:t>
      </w:r>
      <w:r w:rsidR="00983924">
        <w:t> </w:t>
      </w:r>
      <w:r>
        <w:t>20 kg and 20 to &lt;</w:t>
      </w:r>
      <w:r w:rsidR="00983924">
        <w:t> </w:t>
      </w:r>
      <w:r>
        <w:t>25 kg (WB-PK1, part I, completed)</w:t>
      </w:r>
    </w:p>
    <w:p w14:paraId="640C69E9" w14:textId="770A68F7" w:rsidR="008C4EFA" w:rsidRDefault="008C4EFA" w:rsidP="00983924">
      <w:pPr>
        <w:pStyle w:val="ListBullet"/>
      </w:pPr>
      <w:r>
        <w:t xml:space="preserve">To provide PK data with </w:t>
      </w:r>
      <w:r w:rsidR="00983924">
        <w:t xml:space="preserve">dolutegravir </w:t>
      </w:r>
      <w:r>
        <w:t>dosed at 25 mg (</w:t>
      </w:r>
      <w:r w:rsidR="00983924">
        <w:t>dispersible tablets</w:t>
      </w:r>
      <w:r>
        <w:t>) in children 14 to &lt;</w:t>
      </w:r>
      <w:r w:rsidR="00983924">
        <w:t xml:space="preserve"> </w:t>
      </w:r>
      <w:r>
        <w:t>20 kg and 30 mg (</w:t>
      </w:r>
      <w:r w:rsidR="00983924">
        <w:t>dispersible tablets</w:t>
      </w:r>
      <w:r>
        <w:t>) or 50 mg (</w:t>
      </w:r>
      <w:r w:rsidR="00983924">
        <w:t>film-coated tablets</w:t>
      </w:r>
      <w:r>
        <w:t>) in children 20 to &lt;</w:t>
      </w:r>
      <w:r w:rsidR="00983924">
        <w:t xml:space="preserve"> </w:t>
      </w:r>
      <w:r>
        <w:t>25 kg (WB-PK1, part II, completed)</w:t>
      </w:r>
    </w:p>
    <w:p w14:paraId="4B47FE8A" w14:textId="2C5F495C" w:rsidR="008C4EFA" w:rsidRDefault="008C4EFA" w:rsidP="00983924">
      <w:pPr>
        <w:pStyle w:val="ListBullet"/>
      </w:pPr>
      <w:r>
        <w:t xml:space="preserve">To provide PK data with </w:t>
      </w:r>
      <w:r w:rsidR="00983924">
        <w:t xml:space="preserve">dolutegravir </w:t>
      </w:r>
      <w:r>
        <w:t xml:space="preserve">25 mg, 35 mg, and 50 mg </w:t>
      </w:r>
      <w:r w:rsidR="00983924">
        <w:t>film-coated tablets</w:t>
      </w:r>
      <w:r>
        <w:t xml:space="preserve"> in a cross-over design in children 25 to &lt;40 kg (WB-PK2, completed)</w:t>
      </w:r>
    </w:p>
    <w:p w14:paraId="23FCC761" w14:textId="32808D11" w:rsidR="008C4EFA" w:rsidRDefault="008C4EFA" w:rsidP="00983924">
      <w:pPr>
        <w:pStyle w:val="ListBullet"/>
      </w:pPr>
      <w:r>
        <w:t>To provide safety data for new dosing</w:t>
      </w:r>
    </w:p>
    <w:p w14:paraId="75157B06" w14:textId="77777777" w:rsidR="00983924" w:rsidRDefault="008C4EFA" w:rsidP="008C4EFA">
      <w:r w:rsidRPr="00983924">
        <w:rPr>
          <w:i/>
        </w:rPr>
        <w:t>Film coated tablets</w:t>
      </w:r>
      <w:r w:rsidR="00983924">
        <w:t>: The evaluator noted that:</w:t>
      </w:r>
    </w:p>
    <w:p w14:paraId="5907379E" w14:textId="4B92B9DA" w:rsidR="008C4EFA" w:rsidRDefault="00983924" w:rsidP="00983924">
      <w:pPr>
        <w:ind w:left="720"/>
      </w:pPr>
      <w:r>
        <w:t>‘</w:t>
      </w:r>
      <w:r w:rsidR="008C4EFA">
        <w:t>f</w:t>
      </w:r>
      <w:r w:rsidR="008C4EFA" w:rsidRPr="009A6BAB">
        <w:t xml:space="preserve">ollowing administration of the 25 mg </w:t>
      </w:r>
      <w:r>
        <w:t>film-coated tablet</w:t>
      </w:r>
      <w:r w:rsidR="008C4EFA" w:rsidRPr="009A6BAB">
        <w:t xml:space="preserve"> dose in the 14 to &lt;</w:t>
      </w:r>
      <w:r>
        <w:t xml:space="preserve"> </w:t>
      </w:r>
      <w:r w:rsidR="008C4EFA" w:rsidRPr="009A6BAB">
        <w:t xml:space="preserve">30 kg weight range, </w:t>
      </w:r>
      <w:r>
        <w:t>geometric means</w:t>
      </w:r>
      <w:r w:rsidR="008C4EFA" w:rsidRPr="009A6BAB">
        <w:t xml:space="preserve"> for both </w:t>
      </w:r>
      <w:r>
        <w:t>the area under the concentration-time curve from time zero to 24 hours (</w:t>
      </w:r>
      <w:r w:rsidR="008C4EFA" w:rsidRPr="009A6BAB">
        <w:t>AUC</w:t>
      </w:r>
      <w:r w:rsidR="008C4EFA" w:rsidRPr="009A6BAB">
        <w:rPr>
          <w:vertAlign w:val="subscript"/>
        </w:rPr>
        <w:t>0-24</w:t>
      </w:r>
      <w:r w:rsidR="006575CC">
        <w:rPr>
          <w:vertAlign w:val="subscript"/>
        </w:rPr>
        <w:t>h</w:t>
      </w:r>
      <w:r>
        <w:t xml:space="preserve">) </w:t>
      </w:r>
      <w:r w:rsidR="008C4EFA" w:rsidRPr="009A6BAB">
        <w:t xml:space="preserve">and </w:t>
      </w:r>
      <w:r>
        <w:t xml:space="preserve">mean </w:t>
      </w:r>
      <w:r w:rsidR="001D4EF3">
        <w:t xml:space="preserve">concentration at </w:t>
      </w:r>
      <w:r>
        <w:t>24 hour</w:t>
      </w:r>
      <w:r w:rsidR="001D4EF3">
        <w:t>s</w:t>
      </w:r>
      <w:r>
        <w:t xml:space="preserve"> (</w:t>
      </w:r>
      <w:r w:rsidR="008C4EFA" w:rsidRPr="009A6BAB">
        <w:t>C</w:t>
      </w:r>
      <w:r w:rsidR="008C4EFA" w:rsidRPr="009A6BAB">
        <w:rPr>
          <w:vertAlign w:val="subscript"/>
        </w:rPr>
        <w:t>24</w:t>
      </w:r>
      <w:r>
        <w:rPr>
          <w:vertAlign w:val="subscript"/>
        </w:rPr>
        <w:t>h</w:t>
      </w:r>
      <w:r>
        <w:t>)</w:t>
      </w:r>
      <w:r w:rsidR="008C4EFA" w:rsidRPr="009A6BAB">
        <w:t xml:space="preserve"> were below the PK targets agreed with the US FDA. The </w:t>
      </w:r>
      <w:r w:rsidR="006575CC">
        <w:t>geometric mean</w:t>
      </w:r>
      <w:r w:rsidR="008C4EFA" w:rsidRPr="009A6BAB">
        <w:t xml:space="preserve"> AUC</w:t>
      </w:r>
      <w:r w:rsidR="008C4EFA" w:rsidRPr="009A6BAB">
        <w:rPr>
          <w:vertAlign w:val="subscript"/>
        </w:rPr>
        <w:t>0-24</w:t>
      </w:r>
      <w:r w:rsidR="006575CC">
        <w:rPr>
          <w:vertAlign w:val="subscript"/>
        </w:rPr>
        <w:t>h</w:t>
      </w:r>
      <w:r w:rsidR="008C4EFA" w:rsidRPr="009A6BAB">
        <w:rPr>
          <w:vertAlign w:val="subscript"/>
        </w:rPr>
        <w:t xml:space="preserve"> </w:t>
      </w:r>
      <w:r w:rsidR="008C4EFA" w:rsidRPr="009A6BAB">
        <w:t xml:space="preserve">target was achieved following administration of a 35 mg </w:t>
      </w:r>
      <w:r w:rsidR="006575CC">
        <w:t>film-coated tablet</w:t>
      </w:r>
      <w:r w:rsidR="008C4EFA" w:rsidRPr="009A6BAB">
        <w:t xml:space="preserve"> dose in the 30 to &lt;</w:t>
      </w:r>
      <w:r w:rsidR="006575CC">
        <w:t xml:space="preserve"> </w:t>
      </w:r>
      <w:r w:rsidR="008C4EFA" w:rsidRPr="009A6BAB">
        <w:t xml:space="preserve">40 kg weight band, however, the </w:t>
      </w:r>
      <w:r w:rsidR="006575CC">
        <w:t>geometric mean</w:t>
      </w:r>
      <w:r w:rsidR="008C4EFA" w:rsidRPr="009A6BAB">
        <w:t xml:space="preserve"> C</w:t>
      </w:r>
      <w:r w:rsidR="008C4EFA" w:rsidRPr="009A6BAB">
        <w:rPr>
          <w:vertAlign w:val="subscript"/>
        </w:rPr>
        <w:t>24</w:t>
      </w:r>
      <w:r w:rsidR="006575CC">
        <w:rPr>
          <w:vertAlign w:val="subscript"/>
        </w:rPr>
        <w:t>h</w:t>
      </w:r>
      <w:r w:rsidR="006575CC">
        <w:t xml:space="preserve"> was lower. Geometric mean</w:t>
      </w:r>
      <w:r w:rsidR="008C4EFA" w:rsidRPr="009A6BAB">
        <w:t xml:space="preserve"> AUC</w:t>
      </w:r>
      <w:r w:rsidR="008C4EFA" w:rsidRPr="009A6BAB">
        <w:rPr>
          <w:vertAlign w:val="subscript"/>
        </w:rPr>
        <w:t xml:space="preserve">0-24 </w:t>
      </w:r>
      <w:r w:rsidR="008C4EFA" w:rsidRPr="009A6BAB">
        <w:t>and C</w:t>
      </w:r>
      <w:r w:rsidR="008C4EFA" w:rsidRPr="009A6BAB">
        <w:rPr>
          <w:vertAlign w:val="subscript"/>
        </w:rPr>
        <w:t>24</w:t>
      </w:r>
      <w:r w:rsidR="008C4EFA" w:rsidRPr="009A6BAB">
        <w:t xml:space="preserve"> were comparable to the predefined target following 50 mg </w:t>
      </w:r>
      <w:r w:rsidR="006575CC">
        <w:t>film-coated tablet</w:t>
      </w:r>
      <w:r w:rsidR="008C4EFA" w:rsidRPr="009A6BAB">
        <w:t xml:space="preserve"> administration a</w:t>
      </w:r>
      <w:r w:rsidR="006575CC">
        <w:t>t steady state in the 20 to &lt; 40 </w:t>
      </w:r>
      <w:r w:rsidR="008C4EFA" w:rsidRPr="009A6BAB">
        <w:t xml:space="preserve">kg weight band. Thus, the sponsor concluded that the 50 mg </w:t>
      </w:r>
      <w:r w:rsidR="006575CC">
        <w:t>film-coated tablet</w:t>
      </w:r>
      <w:r w:rsidR="008C4EFA" w:rsidRPr="009A6BAB">
        <w:t xml:space="preserve"> was a suitable dose and format for participants weighing 20 to &lt;</w:t>
      </w:r>
      <w:r w:rsidR="006575CC">
        <w:t> 40 </w:t>
      </w:r>
      <w:r w:rsidR="008C4EFA" w:rsidRPr="009A6BAB">
        <w:t xml:space="preserve">kg. The </w:t>
      </w:r>
      <w:r w:rsidR="006575CC">
        <w:t>geometric mean trough concentrations</w:t>
      </w:r>
      <w:r w:rsidR="008C4EFA" w:rsidRPr="009A6BAB">
        <w:t xml:space="preserve"> </w:t>
      </w:r>
      <w:r w:rsidR="006575CC">
        <w:t>(C</w:t>
      </w:r>
      <w:r w:rsidR="006575CC" w:rsidRPr="006575CC">
        <w:rPr>
          <w:vertAlign w:val="subscript"/>
        </w:rPr>
        <w:t>0</w:t>
      </w:r>
      <w:r w:rsidR="006575CC">
        <w:t xml:space="preserve">) </w:t>
      </w:r>
      <w:r w:rsidR="008C4EFA" w:rsidRPr="009A6BAB">
        <w:t>were comparable to C</w:t>
      </w:r>
      <w:r w:rsidR="008C4EFA" w:rsidRPr="009A6BAB">
        <w:rPr>
          <w:vertAlign w:val="subscript"/>
        </w:rPr>
        <w:t>24</w:t>
      </w:r>
      <w:r w:rsidR="006575CC">
        <w:rPr>
          <w:vertAlign w:val="subscript"/>
        </w:rPr>
        <w:t>h</w:t>
      </w:r>
      <w:r w:rsidR="008C4EFA" w:rsidRPr="009A6BAB">
        <w:t xml:space="preserve"> at all doses tested following </w:t>
      </w:r>
      <w:r w:rsidR="009847A0">
        <w:t>film coated tablet</w:t>
      </w:r>
      <w:r w:rsidR="008C4EFA" w:rsidRPr="009A6BAB">
        <w:t xml:space="preserve"> administration.</w:t>
      </w:r>
      <w:r>
        <w:t>’</w:t>
      </w:r>
    </w:p>
    <w:p w14:paraId="2AC080C2" w14:textId="4E8D3EB3" w:rsidR="008C4EFA" w:rsidRPr="00183DC9" w:rsidRDefault="006575CC" w:rsidP="008C4EFA">
      <w:pPr>
        <w:rPr>
          <w:b/>
          <w:i/>
        </w:rPr>
      </w:pPr>
      <w:r>
        <w:lastRenderedPageBreak/>
        <w:t>The D</w:t>
      </w:r>
      <w:r w:rsidR="008C4EFA" w:rsidRPr="006575CC">
        <w:t>elegate comment</w:t>
      </w:r>
      <w:r w:rsidRPr="006575CC">
        <w:t xml:space="preserve"> t</w:t>
      </w:r>
      <w:r w:rsidR="008C4EFA" w:rsidRPr="006575CC">
        <w:t>his is</w:t>
      </w:r>
      <w:r w:rsidR="008C4EFA">
        <w:t xml:space="preserve"> reflected in the proposed revised dosing in the PI for the film coated tablets.</w:t>
      </w:r>
    </w:p>
    <w:p w14:paraId="61597899" w14:textId="56812AE9" w:rsidR="008C4EFA" w:rsidRDefault="008C4EFA" w:rsidP="0032283F">
      <w:pPr>
        <w:ind w:right="-143"/>
      </w:pPr>
      <w:r w:rsidRPr="006575CC">
        <w:rPr>
          <w:i/>
        </w:rPr>
        <w:t>Dispersible tablets</w:t>
      </w:r>
      <w:r w:rsidR="006575CC">
        <w:t xml:space="preserve">: </w:t>
      </w:r>
      <w:r w:rsidRPr="00183DC9">
        <w:t>Fol</w:t>
      </w:r>
      <w:r>
        <w:t>lowing the administration of dispersible tablets</w:t>
      </w:r>
      <w:r w:rsidRPr="00183DC9">
        <w:t xml:space="preserve"> in the weight bands spanning 6 to &lt;</w:t>
      </w:r>
      <w:r w:rsidR="006575CC">
        <w:t xml:space="preserve"> </w:t>
      </w:r>
      <w:r w:rsidRPr="00183DC9">
        <w:t xml:space="preserve">25 kg, steady state </w:t>
      </w:r>
      <w:r w:rsidR="006575CC">
        <w:t>geometric mean</w:t>
      </w:r>
      <w:r w:rsidRPr="00183DC9">
        <w:t xml:space="preserve"> AUC</w:t>
      </w:r>
      <w:r w:rsidRPr="00246271">
        <w:rPr>
          <w:vertAlign w:val="subscript"/>
        </w:rPr>
        <w:t>0-24</w:t>
      </w:r>
      <w:r w:rsidR="006575CC">
        <w:rPr>
          <w:vertAlign w:val="subscript"/>
        </w:rPr>
        <w:t>h</w:t>
      </w:r>
      <w:r w:rsidRPr="00246271">
        <w:rPr>
          <w:vertAlign w:val="subscript"/>
        </w:rPr>
        <w:t xml:space="preserve"> </w:t>
      </w:r>
      <w:r w:rsidRPr="00183DC9">
        <w:t>and C</w:t>
      </w:r>
      <w:r w:rsidRPr="00246271">
        <w:rPr>
          <w:vertAlign w:val="subscript"/>
        </w:rPr>
        <w:t>24</w:t>
      </w:r>
      <w:r w:rsidR="006575CC">
        <w:rPr>
          <w:vertAlign w:val="subscript"/>
        </w:rPr>
        <w:t>h</w:t>
      </w:r>
      <w:r w:rsidRPr="00183DC9">
        <w:t xml:space="preserve"> were comparable to predefined targets except in the 6 to &lt;</w:t>
      </w:r>
      <w:r w:rsidR="006575CC">
        <w:t xml:space="preserve"> </w:t>
      </w:r>
      <w:r w:rsidRPr="00183DC9">
        <w:t xml:space="preserve">10 kg weight band </w:t>
      </w:r>
      <w:proofErr w:type="gramStart"/>
      <w:r w:rsidRPr="00183DC9">
        <w:t>where</w:t>
      </w:r>
      <w:proofErr w:type="gramEnd"/>
      <w:r w:rsidRPr="00183DC9">
        <w:t xml:space="preserve"> following a 15 mg </w:t>
      </w:r>
      <w:r w:rsidR="006575CC">
        <w:t>dispersible tablet</w:t>
      </w:r>
      <w:r w:rsidRPr="00183DC9">
        <w:t xml:space="preserve"> dose, the </w:t>
      </w:r>
      <w:r w:rsidR="006575CC">
        <w:t>geometric mean</w:t>
      </w:r>
      <w:r w:rsidRPr="00183DC9">
        <w:t xml:space="preserve"> C</w:t>
      </w:r>
      <w:r w:rsidRPr="00183DC9">
        <w:rPr>
          <w:vertAlign w:val="subscript"/>
        </w:rPr>
        <w:t>24</w:t>
      </w:r>
      <w:r w:rsidR="006575CC">
        <w:rPr>
          <w:vertAlign w:val="subscript"/>
        </w:rPr>
        <w:t>h</w:t>
      </w:r>
      <w:r w:rsidRPr="00183DC9">
        <w:t xml:space="preserve"> was lower but the data was highly variable (</w:t>
      </w:r>
      <w:r w:rsidR="006575CC">
        <w:t>coefficient of variation</w:t>
      </w:r>
      <w:r w:rsidRPr="00183DC9">
        <w:t xml:space="preserve"> 396%). The steady state </w:t>
      </w:r>
      <w:r w:rsidR="006575CC">
        <w:t>geometric mean</w:t>
      </w:r>
      <w:r w:rsidRPr="00183DC9">
        <w:t xml:space="preserve"> AUC</w:t>
      </w:r>
      <w:r w:rsidRPr="00183DC9">
        <w:rPr>
          <w:vertAlign w:val="subscript"/>
        </w:rPr>
        <w:t>0-24</w:t>
      </w:r>
      <w:r w:rsidR="006575CC">
        <w:rPr>
          <w:vertAlign w:val="subscript"/>
        </w:rPr>
        <w:t>h</w:t>
      </w:r>
      <w:r w:rsidRPr="00183DC9">
        <w:rPr>
          <w:vertAlign w:val="subscript"/>
        </w:rPr>
        <w:t xml:space="preserve"> </w:t>
      </w:r>
      <w:r w:rsidRPr="00183DC9">
        <w:t>was &gt;</w:t>
      </w:r>
      <w:r w:rsidR="006575CC">
        <w:t> </w:t>
      </w:r>
      <w:r w:rsidRPr="00183DC9">
        <w:t xml:space="preserve">45% higher following </w:t>
      </w:r>
      <w:r w:rsidR="006575CC">
        <w:t>dispersible tablet</w:t>
      </w:r>
      <w:r w:rsidRPr="00183DC9">
        <w:t xml:space="preserve"> administration compared to </w:t>
      </w:r>
      <w:r w:rsidR="006575CC">
        <w:t>film-coated tablet</w:t>
      </w:r>
      <w:r w:rsidRPr="00183DC9">
        <w:t xml:space="preserve"> administration in the weight bands spanning 10 to &lt;</w:t>
      </w:r>
      <w:r w:rsidR="006575CC">
        <w:t xml:space="preserve"> </w:t>
      </w:r>
      <w:r w:rsidRPr="00183DC9">
        <w:t>25 kg.</w:t>
      </w:r>
      <w:r>
        <w:t xml:space="preserve"> Following admi</w:t>
      </w:r>
      <w:r w:rsidR="006575CC">
        <w:t xml:space="preserve">nistration of dispersible </w:t>
      </w:r>
      <w:r w:rsidR="001D4EF3">
        <w:t>tablet</w:t>
      </w:r>
      <w:r w:rsidRPr="00183DC9">
        <w:t xml:space="preserve"> at doses tested, </w:t>
      </w:r>
      <w:r w:rsidR="006575CC">
        <w:t>geometric mean</w:t>
      </w:r>
      <w:r w:rsidRPr="00183DC9">
        <w:t xml:space="preserve"> C</w:t>
      </w:r>
      <w:r w:rsidRPr="00183DC9">
        <w:rPr>
          <w:vertAlign w:val="subscript"/>
        </w:rPr>
        <w:t>0</w:t>
      </w:r>
      <w:r w:rsidRPr="00183DC9">
        <w:t xml:space="preserve"> concentrations were comparable to C</w:t>
      </w:r>
      <w:r w:rsidRPr="00183DC9">
        <w:rPr>
          <w:vertAlign w:val="subscript"/>
        </w:rPr>
        <w:t>24</w:t>
      </w:r>
      <w:r w:rsidR="001D4EF3">
        <w:rPr>
          <w:vertAlign w:val="subscript"/>
        </w:rPr>
        <w:t>h</w:t>
      </w:r>
      <w:r w:rsidRPr="00183DC9">
        <w:t>.</w:t>
      </w:r>
    </w:p>
    <w:p w14:paraId="4CBF756C" w14:textId="7F3728D3" w:rsidR="008C4EFA" w:rsidRPr="00183DC9" w:rsidRDefault="001D4EF3" w:rsidP="008C4EFA">
      <w:r w:rsidRPr="001D4EF3">
        <w:rPr>
          <w:i/>
        </w:rPr>
        <w:t>Evaluator conclusions:</w:t>
      </w:r>
      <w:r>
        <w:rPr>
          <w:b/>
          <w:i/>
        </w:rPr>
        <w:t xml:space="preserve"> </w:t>
      </w:r>
      <w:r w:rsidR="008C4EFA" w:rsidRPr="001F365E">
        <w:t xml:space="preserve">The PK sub-studies were not designed for dose-finding, but instead for evaluating specific </w:t>
      </w:r>
      <w:r>
        <w:t xml:space="preserve">dolutegravir </w:t>
      </w:r>
      <w:r w:rsidR="008C4EFA" w:rsidRPr="001F365E">
        <w:t>doses and formulations administered according to WHO weight bands and anticipated to provide simplified and efficacious dosing schedules.</w:t>
      </w:r>
    </w:p>
    <w:p w14:paraId="6808886C" w14:textId="6121147A" w:rsidR="008C4EFA" w:rsidRDefault="008C4EFA" w:rsidP="008C4EFA">
      <w:r w:rsidRPr="001F365E">
        <w:t xml:space="preserve">Plasma </w:t>
      </w:r>
      <w:r w:rsidR="001D4EF3">
        <w:t xml:space="preserve">dolutegravir </w:t>
      </w:r>
      <w:r w:rsidRPr="001F365E">
        <w:t>AUC</w:t>
      </w:r>
      <w:r w:rsidRPr="001F365E">
        <w:rPr>
          <w:vertAlign w:val="subscript"/>
        </w:rPr>
        <w:t>0-24</w:t>
      </w:r>
      <w:r w:rsidR="001D4EF3">
        <w:rPr>
          <w:vertAlign w:val="subscript"/>
        </w:rPr>
        <w:t>h</w:t>
      </w:r>
      <w:r w:rsidRPr="001F365E">
        <w:rPr>
          <w:vertAlign w:val="subscript"/>
        </w:rPr>
        <w:t xml:space="preserve"> </w:t>
      </w:r>
      <w:r w:rsidRPr="001F365E">
        <w:t>and C</w:t>
      </w:r>
      <w:r w:rsidRPr="001F365E">
        <w:rPr>
          <w:vertAlign w:val="subscript"/>
        </w:rPr>
        <w:t>24</w:t>
      </w:r>
      <w:r w:rsidR="001D4EF3">
        <w:rPr>
          <w:vertAlign w:val="subscript"/>
        </w:rPr>
        <w:t>h</w:t>
      </w:r>
      <w:r w:rsidRPr="001F365E">
        <w:rPr>
          <w:vertAlign w:val="subscript"/>
        </w:rPr>
        <w:t xml:space="preserve"> </w:t>
      </w:r>
      <w:r w:rsidRPr="001F365E">
        <w:t>values associated with efficacy in adults were used as PK targets for the paediatric population. A range of expected values were established to account for the inherent variability in observed exposures in infants and children. The primary PK endpoint was C</w:t>
      </w:r>
      <w:r w:rsidRPr="001F365E">
        <w:rPr>
          <w:vertAlign w:val="subscript"/>
        </w:rPr>
        <w:t>24</w:t>
      </w:r>
      <w:r w:rsidR="001D4EF3">
        <w:rPr>
          <w:vertAlign w:val="subscript"/>
        </w:rPr>
        <w:t>h</w:t>
      </w:r>
      <w:r w:rsidRPr="001F365E">
        <w:t>, with AUC</w:t>
      </w:r>
      <w:r w:rsidRPr="001F365E">
        <w:rPr>
          <w:vertAlign w:val="subscript"/>
        </w:rPr>
        <w:t>0-24</w:t>
      </w:r>
      <w:r w:rsidR="001D4EF3">
        <w:rPr>
          <w:vertAlign w:val="subscript"/>
        </w:rPr>
        <w:t>h</w:t>
      </w:r>
      <w:r w:rsidRPr="001F365E">
        <w:rPr>
          <w:vertAlign w:val="subscript"/>
        </w:rPr>
        <w:t xml:space="preserve"> </w:t>
      </w:r>
      <w:r w:rsidRPr="001F365E">
        <w:t xml:space="preserve">as a secondary endpoint. No targets were selected for </w:t>
      </w:r>
      <w:r w:rsidR="001D4EF3">
        <w:t>maximum concentration (</w:t>
      </w:r>
      <w:r w:rsidRPr="001F365E">
        <w:t>C</w:t>
      </w:r>
      <w:r w:rsidRPr="00150BA6">
        <w:rPr>
          <w:vertAlign w:val="subscript"/>
        </w:rPr>
        <w:t>max</w:t>
      </w:r>
      <w:r w:rsidR="001D4EF3" w:rsidRPr="001D4EF3">
        <w:t>)</w:t>
      </w:r>
      <w:r w:rsidRPr="001F365E">
        <w:t>.</w:t>
      </w:r>
    </w:p>
    <w:p w14:paraId="2A668F6C" w14:textId="38273DD3" w:rsidR="008C4EFA" w:rsidRDefault="008C4EFA" w:rsidP="008C4EFA">
      <w:r>
        <w:t xml:space="preserve">There was consistency between doses and formulations in terms of their PK outcomes, allowing for the bioavailability difference between </w:t>
      </w:r>
      <w:r w:rsidR="001D4EF3">
        <w:t>film-coated tablets and dispersible tablets</w:t>
      </w:r>
      <w:r>
        <w:t>:</w:t>
      </w:r>
    </w:p>
    <w:p w14:paraId="3B98E333" w14:textId="1D77734E" w:rsidR="008C4EFA" w:rsidRDefault="008C4EFA" w:rsidP="001D4EF3">
      <w:pPr>
        <w:pStyle w:val="ListBullet"/>
      </w:pPr>
      <w:r>
        <w:t>There was greater variance in the C</w:t>
      </w:r>
      <w:r w:rsidRPr="00BD5E81">
        <w:rPr>
          <w:vertAlign w:val="subscript"/>
        </w:rPr>
        <w:t>24</w:t>
      </w:r>
      <w:r w:rsidR="001D4EF3">
        <w:rPr>
          <w:vertAlign w:val="subscript"/>
        </w:rPr>
        <w:t>h</w:t>
      </w:r>
      <w:r>
        <w:t xml:space="preserve"> values relative to AUC</w:t>
      </w:r>
      <w:r w:rsidRPr="00BD5E81">
        <w:rPr>
          <w:vertAlign w:val="subscript"/>
        </w:rPr>
        <w:t>0-24</w:t>
      </w:r>
      <w:r w:rsidR="001D4EF3">
        <w:rPr>
          <w:vertAlign w:val="subscript"/>
        </w:rPr>
        <w:t>h</w:t>
      </w:r>
      <w:r>
        <w:t xml:space="preserve"> or C</w:t>
      </w:r>
      <w:r w:rsidRPr="00150BA6">
        <w:rPr>
          <w:vertAlign w:val="subscript"/>
        </w:rPr>
        <w:t>max</w:t>
      </w:r>
      <w:r>
        <w:t>.</w:t>
      </w:r>
    </w:p>
    <w:p w14:paraId="7350E182" w14:textId="17726AAA" w:rsidR="008C4EFA" w:rsidRPr="001F365E" w:rsidRDefault="008C4EFA" w:rsidP="001D4EF3">
      <w:pPr>
        <w:pStyle w:val="ListBullet"/>
      </w:pPr>
      <w:r>
        <w:t xml:space="preserve">With the relatively low numbers per weight band, this variance could lead to chance outcomes not reflective of the larger population and not consistent with the bulk of the study data. This may be the cause for the </w:t>
      </w:r>
      <w:proofErr w:type="gramStart"/>
      <w:r>
        <w:t>lower than expected</w:t>
      </w:r>
      <w:proofErr w:type="gramEnd"/>
      <w:r>
        <w:t xml:space="preserve"> </w:t>
      </w:r>
      <w:r w:rsidR="001D4EF3">
        <w:t>geometric mean</w:t>
      </w:r>
      <w:r>
        <w:t xml:space="preserve"> C</w:t>
      </w:r>
      <w:r w:rsidRPr="00BD5E81">
        <w:rPr>
          <w:vertAlign w:val="subscript"/>
        </w:rPr>
        <w:t>24</w:t>
      </w:r>
      <w:r w:rsidR="001D4EF3">
        <w:rPr>
          <w:vertAlign w:val="subscript"/>
        </w:rPr>
        <w:t>h</w:t>
      </w:r>
      <w:r w:rsidRPr="00BD5E81">
        <w:rPr>
          <w:vertAlign w:val="subscript"/>
        </w:rPr>
        <w:t xml:space="preserve"> </w:t>
      </w:r>
      <w:r>
        <w:t>observed.</w:t>
      </w:r>
    </w:p>
    <w:p w14:paraId="00E82B19" w14:textId="77777777" w:rsidR="008C4EFA" w:rsidRDefault="008C4EFA" w:rsidP="001D4EF3">
      <w:pPr>
        <w:pStyle w:val="Heading6"/>
      </w:pPr>
      <w:r>
        <w:t>Study 205893 (Relative bioavailability)</w:t>
      </w:r>
    </w:p>
    <w:p w14:paraId="65C9FCBA" w14:textId="70124C9D" w:rsidR="008C4EFA" w:rsidRDefault="008C4EFA" w:rsidP="008C4EFA">
      <w:r w:rsidRPr="008B7A19">
        <w:t>This study was conducted in adult subjects</w:t>
      </w:r>
      <w:r w:rsidR="001D4EF3">
        <w:t>, in two parts:</w:t>
      </w:r>
    </w:p>
    <w:p w14:paraId="1DE3C820" w14:textId="77777777" w:rsidR="001D4EF3" w:rsidRDefault="008C4EFA" w:rsidP="008C4EFA">
      <w:pPr>
        <w:pStyle w:val="ListBullet"/>
      </w:pPr>
      <w:r w:rsidRPr="001D4EF3">
        <w:rPr>
          <w:i/>
        </w:rPr>
        <w:t>Part 1</w:t>
      </w:r>
      <w:r w:rsidRPr="00200C16">
        <w:t xml:space="preserve"> was a randomised, open label, 2 period, 2 sequence, crossover study in 14 adult subjects to evaluate the bioavailability of two strengths of the </w:t>
      </w:r>
      <w:r w:rsidR="001D4EF3">
        <w:t>film-coated tablets</w:t>
      </w:r>
      <w:r w:rsidRPr="00200C16">
        <w:t xml:space="preserve">, the 10 mg </w:t>
      </w:r>
      <w:r w:rsidR="001D4EF3">
        <w:t xml:space="preserve">dolutegravir </w:t>
      </w:r>
      <w:r w:rsidRPr="00200C16">
        <w:t xml:space="preserve">tablet compared with the 50 mg </w:t>
      </w:r>
      <w:r w:rsidR="001D4EF3">
        <w:t xml:space="preserve">dolutegravir </w:t>
      </w:r>
      <w:r w:rsidRPr="00200C16">
        <w:t>tablet under fasted conditions</w:t>
      </w:r>
    </w:p>
    <w:p w14:paraId="14ACF704" w14:textId="676051F3" w:rsidR="008C4EFA" w:rsidRDefault="008C4EFA" w:rsidP="001D4EF3">
      <w:pPr>
        <w:pStyle w:val="ListBullet"/>
        <w:numPr>
          <w:ilvl w:val="0"/>
          <w:numId w:val="0"/>
        </w:numPr>
        <w:ind w:left="360"/>
      </w:pPr>
      <w:r w:rsidRPr="00200C16">
        <w:t>The study found that following single oral administra</w:t>
      </w:r>
      <w:r w:rsidR="001D4EF3">
        <w:t>tion under fasted conditions 50 </w:t>
      </w:r>
      <w:r w:rsidRPr="00200C16">
        <w:t>mg given as 5 x 10 mg tablets was equivalent to 50 mg given as 1 x 50 mg with respect to C</w:t>
      </w:r>
      <w:r w:rsidRPr="001D4EF3">
        <w:rPr>
          <w:vertAlign w:val="subscript"/>
        </w:rPr>
        <w:t>max</w:t>
      </w:r>
      <w:r w:rsidRPr="00200C16">
        <w:t xml:space="preserve">, </w:t>
      </w:r>
      <w:r w:rsidR="001D4EF3">
        <w:t>area under the curve from time zero to last measurable concentration (AUC</w:t>
      </w:r>
      <w:r w:rsidR="001D4EF3" w:rsidRPr="001D4EF3">
        <w:rPr>
          <w:vertAlign w:val="subscript"/>
        </w:rPr>
        <w:t>0-t</w:t>
      </w:r>
      <w:r w:rsidR="001D4EF3">
        <w:t>) a</w:t>
      </w:r>
      <w:r w:rsidRPr="00200C16">
        <w:t xml:space="preserve">nd </w:t>
      </w:r>
      <w:r w:rsidR="001D4EF3">
        <w:t>area under the curve from time zero extrapolated to infinity (AUC</w:t>
      </w:r>
      <w:r w:rsidRPr="001D4EF3">
        <w:rPr>
          <w:vertAlign w:val="subscript"/>
        </w:rPr>
        <w:t>0-∞</w:t>
      </w:r>
      <w:r w:rsidRPr="00200C16">
        <w:t>).</w:t>
      </w:r>
    </w:p>
    <w:p w14:paraId="49C28822" w14:textId="77777777" w:rsidR="001D4EF3" w:rsidRDefault="001D4EF3" w:rsidP="008C4EFA">
      <w:pPr>
        <w:pStyle w:val="ListBullet"/>
      </w:pPr>
      <w:r w:rsidRPr="001D4EF3">
        <w:rPr>
          <w:i/>
        </w:rPr>
        <w:t>Part 2</w:t>
      </w:r>
      <w:r>
        <w:t xml:space="preserve"> </w:t>
      </w:r>
      <w:r w:rsidR="008C4EFA" w:rsidRPr="00200C16">
        <w:t xml:space="preserve">was a randomised, open label, 3 period, 6 sequence, crossover study in 24 adult subjects to evaluate the bioavailability of 5 </w:t>
      </w:r>
      <w:r w:rsidR="008C4EFA">
        <w:t xml:space="preserve">mg </w:t>
      </w:r>
      <w:r>
        <w:t xml:space="preserve">dolutegravir </w:t>
      </w:r>
      <w:r w:rsidR="008C4EFA">
        <w:t xml:space="preserve">dispersible tablets </w:t>
      </w:r>
      <w:r w:rsidR="008C4EFA" w:rsidRPr="00200C16">
        <w:t xml:space="preserve">compared to 25 mg </w:t>
      </w:r>
      <w:r>
        <w:t>dolutegravir film-coated tablets</w:t>
      </w:r>
      <w:r w:rsidR="008C4EFA" w:rsidRPr="00200C16">
        <w:t xml:space="preserve"> admini</w:t>
      </w:r>
      <w:r w:rsidR="008C4EFA">
        <w:t>stered under fasting conditions.</w:t>
      </w:r>
    </w:p>
    <w:p w14:paraId="1E289623" w14:textId="7AE0C39E" w:rsidR="008C4EFA" w:rsidRDefault="008C4EFA" w:rsidP="001D4EF3">
      <w:pPr>
        <w:pStyle w:val="ListBullet"/>
        <w:numPr>
          <w:ilvl w:val="0"/>
          <w:numId w:val="0"/>
        </w:numPr>
        <w:ind w:left="360"/>
      </w:pPr>
      <w:r>
        <w:t>F</w:t>
      </w:r>
      <w:r w:rsidRPr="00F6745D">
        <w:t xml:space="preserve">ollowing oral administration under fasted conditions of 5 mg </w:t>
      </w:r>
      <w:r w:rsidR="001D4EF3">
        <w:t>dolutegravir dispersible tablets</w:t>
      </w:r>
      <w:r w:rsidRPr="00F6745D">
        <w:t xml:space="preserve"> (5 tablets) delivered higher plasma </w:t>
      </w:r>
      <w:r w:rsidR="001D4EF3">
        <w:t xml:space="preserve">dolutegravir </w:t>
      </w:r>
      <w:proofErr w:type="spellStart"/>
      <w:r w:rsidRPr="00F6745D">
        <w:t>C</w:t>
      </w:r>
      <w:r w:rsidRPr="001D4EF3">
        <w:rPr>
          <w:vertAlign w:val="subscript"/>
        </w:rPr>
        <w:t>max</w:t>
      </w:r>
      <w:proofErr w:type="spellEnd"/>
      <w:r w:rsidRPr="00F6745D">
        <w:t>, AUC</w:t>
      </w:r>
      <w:r w:rsidR="001D4EF3" w:rsidRPr="001D4EF3">
        <w:rPr>
          <w:vertAlign w:val="subscript"/>
        </w:rPr>
        <w:t xml:space="preserve">0-t </w:t>
      </w:r>
      <w:r w:rsidR="001D4EF3">
        <w:t>and AUC</w:t>
      </w:r>
      <w:r w:rsidR="001D4EF3" w:rsidRPr="001D4EF3">
        <w:rPr>
          <w:vertAlign w:val="subscript"/>
        </w:rPr>
        <w:t>0-∞</w:t>
      </w:r>
      <w:r w:rsidRPr="00F6745D">
        <w:t xml:space="preserve"> compared with 25 mg </w:t>
      </w:r>
      <w:r w:rsidR="001D4EF3">
        <w:t>dolutegravir (one</w:t>
      </w:r>
      <w:r w:rsidRPr="00F6745D">
        <w:t xml:space="preserve"> </w:t>
      </w:r>
      <w:r w:rsidR="001D4EF3">
        <w:t>film-coated tablet</w:t>
      </w:r>
      <w:r w:rsidRPr="00F6745D">
        <w:t>). The results were similar for the dispersible tablets administered as a dispersion or directly into the mouth.</w:t>
      </w:r>
    </w:p>
    <w:p w14:paraId="1614816D" w14:textId="77777777" w:rsidR="008C4EFA" w:rsidRDefault="008C4EFA" w:rsidP="008C4EFA">
      <w:r>
        <w:t>The relative bioavailability of the dispersible tablet is approximately 1.6x higher than the film coated tablet.</w:t>
      </w:r>
    </w:p>
    <w:p w14:paraId="2BB5FBBB" w14:textId="54E38784" w:rsidR="008C4EFA" w:rsidRDefault="008C4EFA" w:rsidP="008C4EFA">
      <w:r>
        <w:t xml:space="preserve">The effect of food on the bioavailability of the </w:t>
      </w:r>
      <w:r w:rsidR="00884514">
        <w:t xml:space="preserve">dolutegravir </w:t>
      </w:r>
      <w:r>
        <w:t>dispersible tablets has not been evaluated.</w:t>
      </w:r>
    </w:p>
    <w:p w14:paraId="7F86F332" w14:textId="3401B333" w:rsidR="008C4EFA" w:rsidRDefault="00884514" w:rsidP="00884514">
      <w:pPr>
        <w:pStyle w:val="Heading6"/>
      </w:pPr>
      <w:r>
        <w:lastRenderedPageBreak/>
        <w:t>Studies 200401 and ING</w:t>
      </w:r>
      <w:r w:rsidR="008C4EFA" w:rsidRPr="00E6489E">
        <w:t>114556</w:t>
      </w:r>
    </w:p>
    <w:p w14:paraId="772CC331" w14:textId="4322F313" w:rsidR="008C4EFA" w:rsidRPr="00826364" w:rsidRDefault="00884514" w:rsidP="008C4EFA">
      <w:r>
        <w:t xml:space="preserve">These studies </w:t>
      </w:r>
      <w:r w:rsidR="008C4EFA">
        <w:t xml:space="preserve">include bioavailability of the </w:t>
      </w:r>
      <w:r>
        <w:t xml:space="preserve">dolutegravir </w:t>
      </w:r>
      <w:r w:rsidR="008C4EFA">
        <w:t xml:space="preserve">granules versus dispersible tablets and film coated tablets. Registration of the </w:t>
      </w:r>
      <w:r>
        <w:t xml:space="preserve">dolutegravir </w:t>
      </w:r>
      <w:r w:rsidR="008C4EFA">
        <w:t>granules has not been requested.</w:t>
      </w:r>
    </w:p>
    <w:p w14:paraId="0B491CB9" w14:textId="599D76BB" w:rsidR="008C4EFA" w:rsidRPr="00826364" w:rsidRDefault="00884514" w:rsidP="00884514">
      <w:pPr>
        <w:pStyle w:val="Heading6"/>
      </w:pPr>
      <w:r>
        <w:t>Study ING112578</w:t>
      </w:r>
    </w:p>
    <w:p w14:paraId="0EDFAAAB" w14:textId="5314B2E2" w:rsidR="008C4EFA" w:rsidRDefault="008C4EFA" w:rsidP="008C4EFA">
      <w:r>
        <w:t xml:space="preserve">The primary objectives of the study were to select a </w:t>
      </w:r>
      <w:r w:rsidR="00884514">
        <w:t xml:space="preserve">dolutegravir </w:t>
      </w:r>
      <w:r>
        <w:t xml:space="preserve">dose that achieved similar exposure to the adult dose for </w:t>
      </w:r>
      <w:r w:rsidR="00884514" w:rsidRPr="00884514">
        <w:t>inte</w:t>
      </w:r>
      <w:r w:rsidR="00884514">
        <w:t>grase strand transfer inhibitor (INSTI)</w:t>
      </w:r>
      <w:r>
        <w:t xml:space="preserve">-naïve participants of 50 mg </w:t>
      </w:r>
      <w:r w:rsidR="00884514">
        <w:t>film-coated tablets</w:t>
      </w:r>
      <w:r>
        <w:t xml:space="preserve"> once daily.</w:t>
      </w:r>
    </w:p>
    <w:p w14:paraId="35A32435" w14:textId="44F05129" w:rsidR="008C4EFA" w:rsidRDefault="008C4EFA" w:rsidP="008C4EFA">
      <w:r>
        <w:t xml:space="preserve">The study met the primary objective of achieving similar plasma </w:t>
      </w:r>
      <w:r w:rsidR="00884514">
        <w:t xml:space="preserve">dolutegravir </w:t>
      </w:r>
      <w:r>
        <w:t>exposures for the dispersible tablet to the 50 mg film coated tablet.</w:t>
      </w:r>
    </w:p>
    <w:p w14:paraId="4EB0E709" w14:textId="00106B52" w:rsidR="008C4EFA" w:rsidRDefault="008C4EFA" w:rsidP="008C4EFA">
      <w:r>
        <w:t>The evaluator concluded that the use of weight bands rather than age ranges was best demonstrated by the 6 to &lt;</w:t>
      </w:r>
      <w:r w:rsidR="00884514">
        <w:t xml:space="preserve"> </w:t>
      </w:r>
      <w:r>
        <w:t>10 kg enrolment weight band</w:t>
      </w:r>
      <w:r w:rsidR="00884514">
        <w:t xml:space="preserve"> which was distributed across 2 </w:t>
      </w:r>
      <w:r>
        <w:t>age cohorts (≥</w:t>
      </w:r>
      <w:r w:rsidR="00884514">
        <w:t xml:space="preserve"> </w:t>
      </w:r>
      <w:r>
        <w:t>4 weeks to &lt;</w:t>
      </w:r>
      <w:r w:rsidR="00884514">
        <w:t xml:space="preserve"> </w:t>
      </w:r>
      <w:r>
        <w:t>6 months</w:t>
      </w:r>
      <w:r w:rsidR="00884514">
        <w:t>;</w:t>
      </w:r>
      <w:r>
        <w:t xml:space="preserve"> and ≥</w:t>
      </w:r>
      <w:r w:rsidR="00884514">
        <w:t xml:space="preserve"> </w:t>
      </w:r>
      <w:r>
        <w:t>6 months to &lt;</w:t>
      </w:r>
      <w:r w:rsidR="00884514">
        <w:t xml:space="preserve"> </w:t>
      </w:r>
      <w:r>
        <w:t>2 years). Participants &lt;</w:t>
      </w:r>
      <w:r w:rsidR="00884514">
        <w:t> 6 </w:t>
      </w:r>
      <w:r>
        <w:t xml:space="preserve">months of age demonstrated adequate exposures when receiving a dose of </w:t>
      </w:r>
      <w:r w:rsidR="00884514">
        <w:t>dolutegravir dispersible tablets</w:t>
      </w:r>
      <w:r>
        <w:t xml:space="preserve"> 10 mg once daily but participants ≥</w:t>
      </w:r>
      <w:r w:rsidR="004D0F54">
        <w:t xml:space="preserve"> </w:t>
      </w:r>
      <w:r>
        <w:t xml:space="preserve">6 months of age receiving </w:t>
      </w:r>
      <w:r w:rsidR="00884514">
        <w:t>dolutegravir dispersible tablets</w:t>
      </w:r>
      <w:r>
        <w:t xml:space="preserve"> 10 mg once daily showed relatively lower C</w:t>
      </w:r>
      <w:r w:rsidRPr="00884514">
        <w:rPr>
          <w:vertAlign w:val="subscript"/>
        </w:rPr>
        <w:t>24</w:t>
      </w:r>
      <w:r w:rsidR="00884514" w:rsidRPr="00884514">
        <w:rPr>
          <w:vertAlign w:val="subscript"/>
        </w:rPr>
        <w:t>h</w:t>
      </w:r>
      <w:r>
        <w:t xml:space="preserve"> concentrations compared to those &lt;</w:t>
      </w:r>
      <w:r w:rsidR="00884514">
        <w:t xml:space="preserve"> </w:t>
      </w:r>
      <w:r>
        <w:t xml:space="preserve">6 months of age. A dose of </w:t>
      </w:r>
      <w:r w:rsidR="00884514">
        <w:t>dolutegravir dispersible tablets</w:t>
      </w:r>
      <w:r>
        <w:t xml:space="preserve"> 15 mg once daily was more appropriate and achieved better results (comparable to participants &lt;</w:t>
      </w:r>
      <w:r w:rsidR="00AF5CB0">
        <w:t xml:space="preserve"> </w:t>
      </w:r>
      <w:r>
        <w:t>6 months).</w:t>
      </w:r>
    </w:p>
    <w:p w14:paraId="47784721" w14:textId="62CA207F" w:rsidR="008C4EFA" w:rsidRPr="00826364" w:rsidRDefault="00884514" w:rsidP="008C4EFA">
      <w:r>
        <w:t>The Delegate commented</w:t>
      </w:r>
      <w:r w:rsidR="008C4EFA">
        <w:t xml:space="preserve"> the proposed PI includes dosing stratified by age (&lt;</w:t>
      </w:r>
      <w:r>
        <w:t> 6 months; ≥ </w:t>
      </w:r>
      <w:r w:rsidR="008C4EFA">
        <w:t>6 months) for the 6 to &lt;</w:t>
      </w:r>
      <w:r>
        <w:t> </w:t>
      </w:r>
      <w:r w:rsidR="008C4EFA">
        <w:t>10</w:t>
      </w:r>
      <w:r>
        <w:t> </w:t>
      </w:r>
      <w:r w:rsidR="008C4EFA">
        <w:t xml:space="preserve">kg weight band. This has also been adopted by the </w:t>
      </w:r>
      <w:r>
        <w:t>European Medicines Agency</w:t>
      </w:r>
      <w:r w:rsidR="008C4EFA">
        <w:t xml:space="preserve"> and Health Canada, while the </w:t>
      </w:r>
      <w:r>
        <w:t xml:space="preserve">US </w:t>
      </w:r>
      <w:r w:rsidR="008C4EFA">
        <w:t>FDA recommends a dispersible tablet dose of 15mg for all patients weighing 6 to &lt;</w:t>
      </w:r>
      <w:r>
        <w:t xml:space="preserve"> 10kg, regardless of age (as per </w:t>
      </w:r>
      <w:r w:rsidR="008C4EFA">
        <w:t xml:space="preserve">FDA Prescribing information, </w:t>
      </w:r>
      <w:proofErr w:type="spellStart"/>
      <w:r>
        <w:t>Tivicay</w:t>
      </w:r>
      <w:proofErr w:type="spellEnd"/>
      <w:r w:rsidR="008C4EFA">
        <w:t xml:space="preserve">, </w:t>
      </w:r>
      <w:proofErr w:type="spellStart"/>
      <w:r>
        <w:t>Tivicay</w:t>
      </w:r>
      <w:proofErr w:type="spellEnd"/>
      <w:r>
        <w:t xml:space="preserve"> </w:t>
      </w:r>
      <w:r w:rsidR="008C4EFA">
        <w:t xml:space="preserve">PD, revised </w:t>
      </w:r>
      <w:r>
        <w:t>March 2021)</w:t>
      </w:r>
      <w:r w:rsidR="00740A0F">
        <w:t>.</w:t>
      </w:r>
    </w:p>
    <w:p w14:paraId="6C4D8CA2" w14:textId="738B0DDC" w:rsidR="008C4EFA" w:rsidRDefault="00884514" w:rsidP="00884514">
      <w:pPr>
        <w:pStyle w:val="Heading5"/>
      </w:pPr>
      <w:r>
        <w:t>Population pharmacokinetic data</w:t>
      </w:r>
    </w:p>
    <w:p w14:paraId="389F97F3" w14:textId="54F4E330" w:rsidR="007F0A04" w:rsidRPr="007F0A04" w:rsidRDefault="007F0A04" w:rsidP="007F0A04">
      <w:pPr>
        <w:pStyle w:val="Heading6"/>
      </w:pPr>
      <w:r>
        <w:t>Report 2019N424147_00</w:t>
      </w:r>
    </w:p>
    <w:p w14:paraId="76192646" w14:textId="79D291C7" w:rsidR="008C4EFA" w:rsidRDefault="008C4EFA" w:rsidP="008C4EFA">
      <w:r>
        <w:t>The a</w:t>
      </w:r>
      <w:r w:rsidR="00884514">
        <w:t>pplication was reviewed by the TGA’s p</w:t>
      </w:r>
      <w:r>
        <w:t xml:space="preserve">opulation pharmacokinetics </w:t>
      </w:r>
      <w:r w:rsidR="00884514">
        <w:t>(</w:t>
      </w:r>
      <w:proofErr w:type="spellStart"/>
      <w:r w:rsidR="00884514">
        <w:t>PopPK</w:t>
      </w:r>
      <w:proofErr w:type="spellEnd"/>
      <w:r w:rsidR="00884514">
        <w:t>) evaluator and is summarised below:</w:t>
      </w:r>
    </w:p>
    <w:p w14:paraId="3DDE3C59" w14:textId="5BEDC1A0" w:rsidR="008C4EFA" w:rsidRDefault="00884514" w:rsidP="008C4EFA">
      <w:r>
        <w:t>The s</w:t>
      </w:r>
      <w:r w:rsidR="008C4EFA">
        <w:t>ponsor</w:t>
      </w:r>
      <w:r w:rsidR="008C4EFA" w:rsidRPr="00EF3A84">
        <w:t xml:space="preserve"> submitted a </w:t>
      </w:r>
      <w:proofErr w:type="spellStart"/>
      <w:r w:rsidR="008C4EFA" w:rsidRPr="00EF3A84">
        <w:t>PopPK</w:t>
      </w:r>
      <w:proofErr w:type="spellEnd"/>
      <w:r w:rsidR="008C4EFA" w:rsidRPr="00EF3A84">
        <w:t xml:space="preserve"> and graphical PK-safety analysis report (</w:t>
      </w:r>
      <w:r>
        <w:t xml:space="preserve">Report </w:t>
      </w:r>
      <w:r w:rsidR="008C4EFA" w:rsidRPr="00EF3A84">
        <w:t>2019N424147_00) in support of the proposed changes.</w:t>
      </w:r>
      <w:r w:rsidR="008C4EFA">
        <w:t xml:space="preserve"> The model was previously submitted </w:t>
      </w:r>
      <w:r w:rsidR="008C4EFA" w:rsidRPr="00EF3A84">
        <w:t xml:space="preserve">as part of </w:t>
      </w:r>
      <w:proofErr w:type="gramStart"/>
      <w:r w:rsidR="008C4EFA" w:rsidRPr="00EF3A84">
        <w:t xml:space="preserve">the </w:t>
      </w:r>
      <w:r>
        <w:t>another</w:t>
      </w:r>
      <w:proofErr w:type="gramEnd"/>
      <w:r>
        <w:t xml:space="preserve"> submission (</w:t>
      </w:r>
      <w:r w:rsidR="008C4EFA" w:rsidRPr="00EF3A84">
        <w:t>PM-2018-05410-1-2</w:t>
      </w:r>
      <w:r>
        <w:t>; extension o</w:t>
      </w:r>
      <w:r w:rsidR="00AF5CB0">
        <w:t>f</w:t>
      </w:r>
      <w:r>
        <w:t xml:space="preserve"> indications (indicated aged) to include</w:t>
      </w:r>
      <w:r w:rsidR="008C4EFA">
        <w:t xml:space="preserve"> 6 years of age and above) and considered by the P</w:t>
      </w:r>
      <w:r w:rsidR="008C4EFA" w:rsidRPr="00EF3A84">
        <w:t xml:space="preserve">harmacometrics </w:t>
      </w:r>
      <w:r>
        <w:t>Working Group</w:t>
      </w:r>
      <w:r w:rsidR="008C4EFA" w:rsidRPr="00EF3A84">
        <w:t xml:space="preserve"> along with the </w:t>
      </w:r>
      <w:r>
        <w:t>European Medicines Agency</w:t>
      </w:r>
      <w:r w:rsidR="008C4EFA" w:rsidRPr="00EF3A84">
        <w:t xml:space="preserve"> evaluation reports</w:t>
      </w:r>
      <w:r w:rsidR="008C4EFA">
        <w:t xml:space="preserve"> at the time.</w:t>
      </w:r>
      <w:r w:rsidR="008C4EFA" w:rsidRPr="00A75114">
        <w:t xml:space="preserve"> </w:t>
      </w:r>
      <w:r w:rsidR="008C4EFA">
        <w:t>The Pharmacometrics Working Group noted that the then</w:t>
      </w:r>
      <w:r w:rsidR="008C4EFA" w:rsidRPr="00A75114">
        <w:t xml:space="preserve"> proposed dosing would lead to trough concentrations below 0.5 </w:t>
      </w:r>
      <w:proofErr w:type="spellStart"/>
      <w:r w:rsidR="008C4EFA" w:rsidRPr="00A75114">
        <w:t>μg</w:t>
      </w:r>
      <w:proofErr w:type="spellEnd"/>
      <w:r w:rsidR="008C4EFA" w:rsidRPr="00A75114">
        <w:t>/mL (proposed target) in nearly up to 25% simulated s</w:t>
      </w:r>
      <w:r>
        <w:t xml:space="preserve">ubjects in the 15 &lt; 20 kg and 20 </w:t>
      </w:r>
      <w:r w:rsidR="008C4EFA" w:rsidRPr="00A75114">
        <w:t>&lt;</w:t>
      </w:r>
      <w:r>
        <w:t xml:space="preserve"> </w:t>
      </w:r>
      <w:r w:rsidR="008C4EFA" w:rsidRPr="00A75114">
        <w:t>30 kg weight groups.</w:t>
      </w:r>
    </w:p>
    <w:p w14:paraId="11BDF1FC" w14:textId="77777777" w:rsidR="008C4EFA" w:rsidRDefault="008C4EFA" w:rsidP="008C4EFA">
      <w:r w:rsidRPr="00DC5159">
        <w:t>The proposed increase in dosing for the 15 kg to</w:t>
      </w:r>
      <w:r>
        <w:t xml:space="preserve"> 40 kg weight group reflects this</w:t>
      </w:r>
      <w:r w:rsidRPr="00DC5159">
        <w:t xml:space="preserve"> observation </w:t>
      </w:r>
      <w:r>
        <w:t>made in the previous submission.</w:t>
      </w:r>
      <w:r w:rsidRPr="00DC5159">
        <w:t xml:space="preserve">  </w:t>
      </w:r>
    </w:p>
    <w:p w14:paraId="3EF9073F" w14:textId="0DA8727B" w:rsidR="008C4EFA" w:rsidRDefault="008C4EFA" w:rsidP="008C4EFA">
      <w:r>
        <w:t xml:space="preserve">The objectives of the current analysis </w:t>
      </w:r>
      <w:r w:rsidRPr="00EF3A84">
        <w:t xml:space="preserve">were to evaluate the predictive performance of a </w:t>
      </w:r>
      <w:proofErr w:type="gramStart"/>
      <w:r w:rsidRPr="00EF3A84">
        <w:t>previously-developed</w:t>
      </w:r>
      <w:proofErr w:type="gramEnd"/>
      <w:r w:rsidRPr="00EF3A84">
        <w:t xml:space="preserve"> model, update the model with additio</w:t>
      </w:r>
      <w:r>
        <w:t>nal data in order to characteris</w:t>
      </w:r>
      <w:r w:rsidRPr="00EF3A84">
        <w:t xml:space="preserve">e the PK of </w:t>
      </w:r>
      <w:r w:rsidR="00884514">
        <w:t>dolutegravir</w:t>
      </w:r>
      <w:r w:rsidRPr="00EF3A84">
        <w:t xml:space="preserve">, identify and quantify covariates that explain variability, and support </w:t>
      </w:r>
      <w:r w:rsidR="00884514">
        <w:t xml:space="preserve">dolutegravir </w:t>
      </w:r>
      <w:r w:rsidRPr="00EF3A84">
        <w:t xml:space="preserve">dosing recommendations for the paediatric population. In addition, </w:t>
      </w:r>
      <w:r w:rsidRPr="00884514">
        <w:rPr>
          <w:i/>
        </w:rPr>
        <w:t>post-hoc</w:t>
      </w:r>
      <w:r w:rsidRPr="00EF3A84">
        <w:t xml:space="preserve"> plasma </w:t>
      </w:r>
      <w:r w:rsidR="00884514">
        <w:t xml:space="preserve">dolutegravir </w:t>
      </w:r>
      <w:r w:rsidRPr="00EF3A84">
        <w:t>exposure m</w:t>
      </w:r>
      <w:r>
        <w:t>etrics were derived for use in exposure-response</w:t>
      </w:r>
      <w:r w:rsidRPr="00EF3A84">
        <w:t xml:space="preserve"> analyses for safety and efficacy.</w:t>
      </w:r>
    </w:p>
    <w:p w14:paraId="439EECE2" w14:textId="74FAD584" w:rsidR="008C4EFA" w:rsidRDefault="00884514" w:rsidP="007F0A04">
      <w:r>
        <w:rPr>
          <w:i/>
        </w:rPr>
        <w:t>Conclusions</w:t>
      </w:r>
      <w:r w:rsidR="007F0A04">
        <w:t xml:space="preserve">: </w:t>
      </w:r>
      <w:r w:rsidR="008C4EFA" w:rsidRPr="00EF3A84">
        <w:t xml:space="preserve">The </w:t>
      </w:r>
      <w:proofErr w:type="spellStart"/>
      <w:r w:rsidR="008C4EFA" w:rsidRPr="00EF3A84">
        <w:t>PopPK</w:t>
      </w:r>
      <w:proofErr w:type="spellEnd"/>
      <w:r w:rsidR="008C4EFA" w:rsidRPr="00EF3A84">
        <w:t xml:space="preserve"> model provided a good description of the overall data with a stable model. Considering</w:t>
      </w:r>
      <w:r w:rsidR="008C4EFA">
        <w:t xml:space="preserve"> prediction-corrected visual predictive checks</w:t>
      </w:r>
      <w:r w:rsidR="008C4EFA" w:rsidRPr="00EF3A84">
        <w:t xml:space="preserve">, the predictive performance of the </w:t>
      </w:r>
      <w:proofErr w:type="spellStart"/>
      <w:r w:rsidR="008C4EFA" w:rsidRPr="00EF3A84">
        <w:t>PopPK</w:t>
      </w:r>
      <w:proofErr w:type="spellEnd"/>
      <w:r w:rsidR="008C4EFA" w:rsidRPr="00EF3A84">
        <w:t xml:space="preserve"> model appear</w:t>
      </w:r>
      <w:r w:rsidR="008C4EFA">
        <w:t>ed</w:t>
      </w:r>
      <w:r w:rsidR="008C4EFA" w:rsidRPr="00EF3A84">
        <w:t xml:space="preserve"> to be satisfactory. The simulations in general support the proposed paediatrics dosing and the proposed increase in dosing for the 15 kg </w:t>
      </w:r>
      <w:r w:rsidR="008C4EFA" w:rsidRPr="00EF3A84">
        <w:lastRenderedPageBreak/>
        <w:t>to 40 kg weight group.</w:t>
      </w:r>
      <w:r w:rsidR="008C4EFA" w:rsidRPr="00DC5159">
        <w:t xml:space="preserve"> The amended proposed dosing in this age group whilst improving the C</w:t>
      </w:r>
      <w:r w:rsidR="008C4EFA" w:rsidRPr="003773C6">
        <w:rPr>
          <w:vertAlign w:val="subscript"/>
        </w:rPr>
        <w:t>24</w:t>
      </w:r>
      <w:r>
        <w:rPr>
          <w:vertAlign w:val="subscript"/>
        </w:rPr>
        <w:t>h</w:t>
      </w:r>
      <w:r w:rsidR="008C4EFA" w:rsidRPr="003773C6">
        <w:rPr>
          <w:vertAlign w:val="subscript"/>
        </w:rPr>
        <w:t xml:space="preserve"> </w:t>
      </w:r>
      <w:r w:rsidR="008C4EFA" w:rsidRPr="00DC5159">
        <w:t>concentrations (to b</w:t>
      </w:r>
      <w:r w:rsidR="008C4EFA">
        <w:t>e in line with adult values) would result</w:t>
      </w:r>
      <w:r w:rsidR="008C4EFA" w:rsidRPr="00DC5159">
        <w:t xml:space="preserve"> in </w:t>
      </w:r>
      <w:r w:rsidR="008C4EFA">
        <w:t xml:space="preserve">an </w:t>
      </w:r>
      <w:r w:rsidR="008C4EFA" w:rsidRPr="00DC5159">
        <w:t>increased Cmax in relation to th</w:t>
      </w:r>
      <w:r w:rsidR="008C4EFA">
        <w:t xml:space="preserve">at observed in the adult population, </w:t>
      </w:r>
      <w:r w:rsidR="008C4EFA" w:rsidRPr="00DC5159">
        <w:t>but still within th</w:t>
      </w:r>
      <w:r w:rsidR="008C4EFA">
        <w:t>e range of highest studied dose.</w:t>
      </w:r>
      <w:r w:rsidR="008C4EFA" w:rsidRPr="00DC5159">
        <w:t xml:space="preserve"> In the exploratory analysis, there was a lack of exposure-safety relationship.  </w:t>
      </w:r>
    </w:p>
    <w:p w14:paraId="42F27870" w14:textId="2E46D7F9" w:rsidR="008C4EFA" w:rsidRDefault="008C4EFA" w:rsidP="008C4EFA">
      <w:r>
        <w:t xml:space="preserve">Consideration could be given to adding a </w:t>
      </w:r>
      <w:r w:rsidR="007F0A04">
        <w:t>twice daily</w:t>
      </w:r>
      <w:r>
        <w:t xml:space="preserve"> dosing option for children in the PI, which would reduce the C</w:t>
      </w:r>
      <w:r w:rsidRPr="007F0A04">
        <w:rPr>
          <w:vertAlign w:val="subscript"/>
        </w:rPr>
        <w:t>max</w:t>
      </w:r>
      <w:r>
        <w:t xml:space="preserve"> whilst increasing the </w:t>
      </w:r>
      <w:proofErr w:type="spellStart"/>
      <w:r>
        <w:t>C</w:t>
      </w:r>
      <w:r w:rsidRPr="007F0A04">
        <w:rPr>
          <w:vertAlign w:val="subscript"/>
        </w:rPr>
        <w:t>min</w:t>
      </w:r>
      <w:proofErr w:type="spellEnd"/>
      <w:r>
        <w:t xml:space="preserve">, at the expense of convenience and adherence issues, as done by the </w:t>
      </w:r>
      <w:r w:rsidR="007F0A04">
        <w:t>European Medicines Agency</w:t>
      </w:r>
      <w:r>
        <w:t xml:space="preserve">. </w:t>
      </w:r>
      <w:r w:rsidRPr="000F6393">
        <w:t xml:space="preserve">If this is requested, a summary table with exposure parameters and dosing table for the </w:t>
      </w:r>
      <w:r w:rsidR="007F0A04">
        <w:t>twice daily</w:t>
      </w:r>
      <w:r w:rsidRPr="000F6393">
        <w:t xml:space="preserve"> dosing would be required in the PI in PK section (</w:t>
      </w:r>
      <w:proofErr w:type="gramStart"/>
      <w:r w:rsidRPr="000F6393">
        <w:t>similar to</w:t>
      </w:r>
      <w:proofErr w:type="gramEnd"/>
      <w:r w:rsidRPr="000F6393">
        <w:t xml:space="preserve"> Table 12 in the current PI</w:t>
      </w:r>
      <w:r w:rsidR="007F0A04">
        <w:t>) and dosing table (similar to T</w:t>
      </w:r>
      <w:r w:rsidRPr="000F6393">
        <w:t>able 1b in section 4.2 of the PI).</w:t>
      </w:r>
    </w:p>
    <w:p w14:paraId="6B032E76" w14:textId="77777777" w:rsidR="008C4EFA" w:rsidRDefault="008C4EFA" w:rsidP="008C4EFA">
      <w:r>
        <w:t>Given the limitations with establishing the food effect on the dispersible tablet formulation, the PK section in the PI should reflect the lack of study describing the effect of food on the dispersible tablet formulation.</w:t>
      </w:r>
    </w:p>
    <w:p w14:paraId="741A5389" w14:textId="32E2F97E" w:rsidR="008C4EFA" w:rsidRPr="00B73664" w:rsidRDefault="008C4EFA" w:rsidP="007F0A04">
      <w:pPr>
        <w:pStyle w:val="Heading6"/>
      </w:pPr>
      <w:r w:rsidRPr="00B73664">
        <w:t>Sponsor</w:t>
      </w:r>
      <w:r w:rsidR="007F0A04">
        <w:t>’s</w:t>
      </w:r>
      <w:r w:rsidRPr="00B73664">
        <w:t xml:space="preserve"> response to </w:t>
      </w:r>
      <w:r w:rsidR="007F0A04">
        <w:t xml:space="preserve">the </w:t>
      </w:r>
      <w:proofErr w:type="gramStart"/>
      <w:r w:rsidR="007F0A04">
        <w:t>second round</w:t>
      </w:r>
      <w:proofErr w:type="gramEnd"/>
      <w:r w:rsidRPr="00B73664">
        <w:t xml:space="preserve"> </w:t>
      </w:r>
      <w:r w:rsidR="007F0A04">
        <w:t>population pharmacokinetics</w:t>
      </w:r>
      <w:r w:rsidRPr="00B73664">
        <w:t xml:space="preserve"> report (14</w:t>
      </w:r>
      <w:r w:rsidR="007F0A04">
        <w:t> May </w:t>
      </w:r>
      <w:r w:rsidRPr="00B73664">
        <w:t>2021)</w:t>
      </w:r>
    </w:p>
    <w:p w14:paraId="3103938D" w14:textId="30F73BF0" w:rsidR="008C4EFA" w:rsidRDefault="007F0A04" w:rsidP="008C4EFA">
      <w:r>
        <w:t>The s</w:t>
      </w:r>
      <w:r w:rsidR="008C4EFA">
        <w:t xml:space="preserve">ponsor acknowledged the Pop PK evaluator’s comments regarding </w:t>
      </w:r>
      <w:r w:rsidR="008C4EFA" w:rsidRPr="008A728C">
        <w:t>increased C</w:t>
      </w:r>
      <w:r w:rsidR="008C4EFA" w:rsidRPr="007F0A04">
        <w:rPr>
          <w:vertAlign w:val="subscript"/>
        </w:rPr>
        <w:t>max</w:t>
      </w:r>
      <w:r w:rsidR="008C4EFA" w:rsidRPr="008A728C">
        <w:t xml:space="preserve"> values across the proposed p</w:t>
      </w:r>
      <w:r w:rsidR="008C4EFA">
        <w:t>aediatric weight bands and reiterated that there was</w:t>
      </w:r>
      <w:r w:rsidR="008C4EFA" w:rsidRPr="008A728C">
        <w:t xml:space="preserve"> no exposure response relationship between any </w:t>
      </w:r>
      <w:r>
        <w:t xml:space="preserve">dolutegravir </w:t>
      </w:r>
      <w:r w:rsidR="008C4EFA" w:rsidRPr="008A728C">
        <w:t>concentration and the probability of adverse clinical or laboratory events.</w:t>
      </w:r>
      <w:r w:rsidR="008C4EFA">
        <w:t xml:space="preserve"> </w:t>
      </w:r>
    </w:p>
    <w:p w14:paraId="71404789" w14:textId="4B2A05F2" w:rsidR="008C4EFA" w:rsidRDefault="008C4EFA" w:rsidP="008C4EFA">
      <w:r>
        <w:t xml:space="preserve">While a </w:t>
      </w:r>
      <w:r w:rsidR="007F0A04">
        <w:t>twice daily</w:t>
      </w:r>
      <w:r w:rsidRPr="00865F21">
        <w:t xml:space="preserve"> dosing approach would result in lower C</w:t>
      </w:r>
      <w:r w:rsidRPr="007F0A04">
        <w:rPr>
          <w:vertAlign w:val="subscript"/>
        </w:rPr>
        <w:t>max</w:t>
      </w:r>
      <w:r w:rsidRPr="00865F21">
        <w:t xml:space="preserve"> values across the weight bands,</w:t>
      </w:r>
      <w:r>
        <w:t xml:space="preserve"> the </w:t>
      </w:r>
      <w:r w:rsidR="00AF5CB0">
        <w:t>s</w:t>
      </w:r>
      <w:r>
        <w:t>ponsor expressed concerns regarding medication adherence in paediatric patients and the potential for medication errors. It was also stated that t</w:t>
      </w:r>
      <w:r w:rsidRPr="00865F21">
        <w:t>he doses cannot be equally divided without changing the total daily dose for some weight bands.</w:t>
      </w:r>
      <w:r>
        <w:t xml:space="preserve"> (Response to </w:t>
      </w:r>
      <w:r w:rsidR="007F0A04">
        <w:t>the TGA</w:t>
      </w:r>
      <w:r>
        <w:t xml:space="preserve">, </w:t>
      </w:r>
      <w:proofErr w:type="spellStart"/>
      <w:r w:rsidR="007F0A04" w:rsidRPr="00865F21">
        <w:t>Tivicay</w:t>
      </w:r>
      <w:proofErr w:type="spellEnd"/>
      <w:r w:rsidR="007F0A04" w:rsidRPr="00865F21">
        <w:t xml:space="preserve"> </w:t>
      </w:r>
      <w:r w:rsidR="007F0A04">
        <w:t>(d</w:t>
      </w:r>
      <w:r w:rsidRPr="00865F21">
        <w:t>olutegravir 5 mg) Dispersible Tablet</w:t>
      </w:r>
      <w:r>
        <w:t xml:space="preserve">). </w:t>
      </w:r>
      <w:r w:rsidRPr="00865F21">
        <w:t>There could be confusion between this potential use of splitting the dose and situatio</w:t>
      </w:r>
      <w:r>
        <w:t xml:space="preserve">ns where </w:t>
      </w:r>
      <w:r w:rsidR="007F0A04">
        <w:t xml:space="preserve">twice daily dosing is required, for example: </w:t>
      </w:r>
      <w:r>
        <w:t xml:space="preserve">in the presence of a strong enzyme </w:t>
      </w:r>
      <w:r w:rsidRPr="00865F21">
        <w:t>inducer</w:t>
      </w:r>
      <w:r>
        <w:t>.</w:t>
      </w:r>
    </w:p>
    <w:p w14:paraId="6B0EEC04" w14:textId="5AF53C88" w:rsidR="007F0A04" w:rsidRDefault="007F0A04" w:rsidP="007F0A04">
      <w:pPr>
        <w:pStyle w:val="Heading6"/>
      </w:pPr>
      <w:r>
        <w:t>Delegate’s comments</w:t>
      </w:r>
    </w:p>
    <w:p w14:paraId="4A053F44" w14:textId="2632E131" w:rsidR="008C4EFA" w:rsidRDefault="008C4EFA" w:rsidP="008C4EFA">
      <w:r>
        <w:t xml:space="preserve">The response from the </w:t>
      </w:r>
      <w:r w:rsidR="00AF5CB0">
        <w:t>s</w:t>
      </w:r>
      <w:r>
        <w:t xml:space="preserve">ponsor is acknowledged, however the </w:t>
      </w:r>
      <w:r w:rsidR="007F0A04">
        <w:t>twice daily</w:t>
      </w:r>
      <w:r>
        <w:t xml:space="preserve"> dosing option in the </w:t>
      </w:r>
      <w:r w:rsidR="007F0A04">
        <w:t>European Unition (EU)</w:t>
      </w:r>
      <w:r>
        <w:t xml:space="preserve"> PI warrants discussion, gi</w:t>
      </w:r>
      <w:r w:rsidR="007F0A04">
        <w:t xml:space="preserve">ven the </w:t>
      </w:r>
      <w:proofErr w:type="spellStart"/>
      <w:r w:rsidR="007F0A04">
        <w:t>Pop</w:t>
      </w:r>
      <w:r>
        <w:t>PK</w:t>
      </w:r>
      <w:proofErr w:type="spellEnd"/>
      <w:r>
        <w:t xml:space="preserve"> evaluator comments. The EU </w:t>
      </w:r>
      <w:r w:rsidR="007F0A04">
        <w:t>Summary of Product Characteristics (</w:t>
      </w:r>
      <w:r>
        <w:t>SmPC</w:t>
      </w:r>
      <w:r w:rsidR="007F0A04">
        <w:t>)</w:t>
      </w:r>
      <w:r>
        <w:t xml:space="preserve"> includes a </w:t>
      </w:r>
      <w:r w:rsidR="007F0A04">
        <w:t>twice daily</w:t>
      </w:r>
      <w:r>
        <w:t xml:space="preserve"> dosing option in children for both the film coated tablets and dispersible tablets which may give clinicians an alternative for patients where there are tolerability issues with once daily dosing.</w:t>
      </w:r>
    </w:p>
    <w:p w14:paraId="4658EE24" w14:textId="0AB396DB" w:rsidR="008C4EFA" w:rsidRDefault="007F0A04" w:rsidP="008C4EFA">
      <w:r>
        <w:t xml:space="preserve">The </w:t>
      </w:r>
      <w:proofErr w:type="spellStart"/>
      <w:r>
        <w:t>Pop</w:t>
      </w:r>
      <w:r w:rsidR="008C4EFA">
        <w:t>PK</w:t>
      </w:r>
      <w:proofErr w:type="spellEnd"/>
      <w:r w:rsidR="008C4EFA">
        <w:t xml:space="preserve"> evaluator also noted</w:t>
      </w:r>
      <w:r w:rsidR="008C4EFA" w:rsidRPr="009973E9">
        <w:t xml:space="preserve"> the limitations with establishing the food effect on </w:t>
      </w:r>
      <w:r w:rsidR="008C4EFA">
        <w:t xml:space="preserve">the dispersible tablet </w:t>
      </w:r>
      <w:r w:rsidR="008C4EFA" w:rsidRPr="009973E9">
        <w:t>form</w:t>
      </w:r>
      <w:r w:rsidR="008C4EFA">
        <w:t xml:space="preserve">ulation and advised that the </w:t>
      </w:r>
      <w:r w:rsidR="008C4EFA" w:rsidRPr="009973E9">
        <w:t xml:space="preserve">PK section in the PI should reflect </w:t>
      </w:r>
      <w:r w:rsidR="008C4EFA">
        <w:t>the lack of information</w:t>
      </w:r>
      <w:r w:rsidR="008C4EFA" w:rsidRPr="009973E9">
        <w:t xml:space="preserve"> des</w:t>
      </w:r>
      <w:r w:rsidR="008C4EFA">
        <w:t xml:space="preserve">cribing the effect of food on the dispersible tablet </w:t>
      </w:r>
      <w:r w:rsidR="008C4EFA" w:rsidRPr="009973E9">
        <w:t>formulation.</w:t>
      </w:r>
    </w:p>
    <w:p w14:paraId="5CB4BE22" w14:textId="08F5EB32" w:rsidR="008C4EFA" w:rsidRDefault="007F0A04" w:rsidP="008C4EFA">
      <w:r>
        <w:t>The s</w:t>
      </w:r>
      <w:r w:rsidR="008C4EFA">
        <w:t>ponsor acknowledged the e</w:t>
      </w:r>
      <w:r w:rsidR="008C4EFA" w:rsidRPr="00C2502A">
        <w:t>valuator’s comments ab</w:t>
      </w:r>
      <w:r w:rsidR="008C4EFA">
        <w:t>out the lack of data characteris</w:t>
      </w:r>
      <w:r w:rsidR="008C4EFA" w:rsidRPr="00C2502A">
        <w:t>ing the s</w:t>
      </w:r>
      <w:r w:rsidR="008C4EFA">
        <w:t xml:space="preserve">pecific impact of food on </w:t>
      </w:r>
      <w:r>
        <w:t xml:space="preserve">dolutegravir </w:t>
      </w:r>
      <w:r w:rsidR="008C4EFA">
        <w:t>dispersible tablet</w:t>
      </w:r>
      <w:r w:rsidR="008C4EFA" w:rsidRPr="00C2502A">
        <w:t xml:space="preserve"> formulation</w:t>
      </w:r>
      <w:r w:rsidR="008C4EFA">
        <w:t xml:space="preserve"> and proposed a statement in the PI accordingly, consistent with the wording in the approved EU SmPC. This has not yet been included in the PI provided in response to the </w:t>
      </w:r>
      <w:r>
        <w:t>clinical dossier</w:t>
      </w:r>
      <w:r w:rsidR="008C4EFA">
        <w:t xml:space="preserve"> reports and was brought to the attention of the Sponsor. The Sponsor has confirmed that </w:t>
      </w:r>
      <w:r w:rsidR="008C4EFA" w:rsidRPr="00A775B5">
        <w:t xml:space="preserve">the text on food effect as </w:t>
      </w:r>
      <w:r>
        <w:t xml:space="preserve">proposed in response to the </w:t>
      </w:r>
      <w:proofErr w:type="spellStart"/>
      <w:r>
        <w:t>Pop</w:t>
      </w:r>
      <w:r w:rsidR="008C4EFA" w:rsidRPr="00A775B5">
        <w:t>PK</w:t>
      </w:r>
      <w:proofErr w:type="spellEnd"/>
      <w:r w:rsidR="008C4EFA" w:rsidRPr="00A775B5">
        <w:t xml:space="preserve"> report</w:t>
      </w:r>
      <w:r w:rsidR="008C4EFA">
        <w:t xml:space="preserve"> will be included in the updated PI as part of the pre-</w:t>
      </w:r>
      <w:r>
        <w:t>Advisory Committee on Medicines (</w:t>
      </w:r>
      <w:r w:rsidR="008C4EFA">
        <w:t>ACM</w:t>
      </w:r>
      <w:r>
        <w:t>)</w:t>
      </w:r>
      <w:r w:rsidR="008C4EFA">
        <w:t xml:space="preserve"> response</w:t>
      </w:r>
      <w:r w:rsidR="008C4EFA" w:rsidRPr="00A775B5">
        <w:t xml:space="preserve"> </w:t>
      </w:r>
      <w:r>
        <w:t xml:space="preserve">(as per </w:t>
      </w:r>
      <w:r w:rsidR="00AF5CB0">
        <w:t>s</w:t>
      </w:r>
      <w:r w:rsidR="008C4EFA">
        <w:t>ponsor email, 4</w:t>
      </w:r>
      <w:r>
        <w:rPr>
          <w:vertAlign w:val="superscript"/>
        </w:rPr>
        <w:t xml:space="preserve"> </w:t>
      </w:r>
      <w:r w:rsidR="008C4EFA">
        <w:t>June 2021)</w:t>
      </w:r>
      <w:r>
        <w:t>.</w:t>
      </w:r>
    </w:p>
    <w:p w14:paraId="1CEEFD23" w14:textId="41C0F676" w:rsidR="008C4EFA" w:rsidRDefault="007F0A04" w:rsidP="008C4EFA">
      <w:pPr>
        <w:pStyle w:val="Heading5"/>
      </w:pPr>
      <w:r>
        <w:t>Pharmacodynamics</w:t>
      </w:r>
    </w:p>
    <w:p w14:paraId="1771F8F1" w14:textId="0648B4FA" w:rsidR="008C4EFA" w:rsidRDefault="008C4EFA" w:rsidP="008C4EFA">
      <w:r>
        <w:t xml:space="preserve">Exposure response and exposure safety analyses </w:t>
      </w:r>
      <w:r w:rsidR="007F0A04">
        <w:t xml:space="preserve">were conducted as part of Studies ING 112578 and 201296 and the </w:t>
      </w:r>
      <w:proofErr w:type="spellStart"/>
      <w:r w:rsidR="007F0A04">
        <w:t>PopPK</w:t>
      </w:r>
      <w:proofErr w:type="spellEnd"/>
      <w:r w:rsidR="007F0A04">
        <w:t xml:space="preserve"> R</w:t>
      </w:r>
      <w:r>
        <w:t>eport 2019n424147.</w:t>
      </w:r>
      <w:r w:rsidRPr="00817350">
        <w:t xml:space="preserve"> None of the </w:t>
      </w:r>
      <w:r w:rsidR="007F0A04">
        <w:t xml:space="preserve">dolutegravir </w:t>
      </w:r>
      <w:r w:rsidRPr="00817350">
        <w:t>exposure metrics (C</w:t>
      </w:r>
      <w:r w:rsidRPr="00817350">
        <w:rPr>
          <w:vertAlign w:val="subscript"/>
        </w:rPr>
        <w:t>24</w:t>
      </w:r>
      <w:r w:rsidR="007F0A04">
        <w:rPr>
          <w:vertAlign w:val="subscript"/>
        </w:rPr>
        <w:t>h</w:t>
      </w:r>
      <w:r w:rsidRPr="00817350">
        <w:t>, AUC</w:t>
      </w:r>
      <w:r w:rsidRPr="00817350">
        <w:rPr>
          <w:vertAlign w:val="subscript"/>
        </w:rPr>
        <w:t>0-24</w:t>
      </w:r>
      <w:r w:rsidR="007F0A04">
        <w:rPr>
          <w:vertAlign w:val="subscript"/>
        </w:rPr>
        <w:t>h</w:t>
      </w:r>
      <w:r w:rsidRPr="00817350">
        <w:t xml:space="preserve">, and </w:t>
      </w:r>
      <w:proofErr w:type="spellStart"/>
      <w:r w:rsidRPr="00817350">
        <w:t>C</w:t>
      </w:r>
      <w:r w:rsidRPr="00817350">
        <w:rPr>
          <w:vertAlign w:val="subscript"/>
        </w:rPr>
        <w:t>avg</w:t>
      </w:r>
      <w:proofErr w:type="spellEnd"/>
      <w:r w:rsidRPr="00817350">
        <w:t>) were predictive of virologic response over the range of exposures in this analysis and are most likely maintaining a near maximum drug effect.</w:t>
      </w:r>
    </w:p>
    <w:p w14:paraId="0A67E522" w14:textId="72825713" w:rsidR="008C4EFA" w:rsidRPr="00817350" w:rsidRDefault="008C4EFA" w:rsidP="008C4EFA">
      <w:r w:rsidRPr="00FF29AA">
        <w:lastRenderedPageBreak/>
        <w:t xml:space="preserve">Based on linear regression analysis of data collected on PK visits, there were no apparent relationships between plasma </w:t>
      </w:r>
      <w:r w:rsidR="007F0A04">
        <w:t xml:space="preserve">dolutegravir </w:t>
      </w:r>
      <w:proofErr w:type="spellStart"/>
      <w:r w:rsidRPr="00FF29AA">
        <w:t>C</w:t>
      </w:r>
      <w:r w:rsidRPr="00CE3BDC">
        <w:rPr>
          <w:vertAlign w:val="subscript"/>
        </w:rPr>
        <w:t>max</w:t>
      </w:r>
      <w:proofErr w:type="spellEnd"/>
      <w:r w:rsidRPr="00CE3BDC">
        <w:rPr>
          <w:vertAlign w:val="subscript"/>
        </w:rPr>
        <w:t xml:space="preserve"> </w:t>
      </w:r>
      <w:r w:rsidRPr="00FF29AA">
        <w:t>or AUC</w:t>
      </w:r>
      <w:r w:rsidRPr="00CE3BDC">
        <w:rPr>
          <w:vertAlign w:val="subscript"/>
        </w:rPr>
        <w:t xml:space="preserve">0-24h </w:t>
      </w:r>
      <w:r w:rsidRPr="00FF29AA">
        <w:t>and clinical laboratory data, a</w:t>
      </w:r>
      <w:r w:rsidR="007F0A04">
        <w:t>s raw values or as change from B</w:t>
      </w:r>
      <w:r w:rsidRPr="00FF29AA">
        <w:t xml:space="preserve">aseline or to any of the </w:t>
      </w:r>
      <w:r w:rsidR="007F0A04">
        <w:t>adverse events</w:t>
      </w:r>
      <w:r w:rsidRPr="00FF29AA">
        <w:t xml:space="preserve"> of special interest.</w:t>
      </w:r>
      <w:r>
        <w:t xml:space="preserve"> </w:t>
      </w:r>
    </w:p>
    <w:p w14:paraId="4ECE09F0" w14:textId="77777777" w:rsidR="008C4EFA" w:rsidRPr="002D62D8" w:rsidRDefault="008C4EFA" w:rsidP="008C4EFA">
      <w:pPr>
        <w:pStyle w:val="Heading4"/>
      </w:pPr>
      <w:r w:rsidRPr="00AA53F4">
        <w:t>Efficacy</w:t>
      </w:r>
    </w:p>
    <w:p w14:paraId="22C0C2D4" w14:textId="77777777" w:rsidR="00D33E32" w:rsidRDefault="007F0A04" w:rsidP="007F0A04">
      <w:pPr>
        <w:pStyle w:val="Heading5"/>
      </w:pPr>
      <w:r>
        <w:t xml:space="preserve">Study </w:t>
      </w:r>
      <w:r w:rsidR="00D33E32">
        <w:t>ING112578</w:t>
      </w:r>
    </w:p>
    <w:p w14:paraId="51602C0E" w14:textId="45E02B78" w:rsidR="008C4EFA" w:rsidRPr="00D33E32" w:rsidRDefault="00D33E32" w:rsidP="00D33E32">
      <w:r w:rsidRPr="00D33E32">
        <w:t>Note</w:t>
      </w:r>
      <w:r>
        <w:t>:</w:t>
      </w:r>
      <w:r w:rsidRPr="00D33E32">
        <w:t xml:space="preserve"> this is also known as Study P1093</w:t>
      </w:r>
      <w:r w:rsidR="00AF5CB0">
        <w:t>.</w:t>
      </w:r>
    </w:p>
    <w:p w14:paraId="7186F631" w14:textId="5D4CA133" w:rsidR="008C4EFA" w:rsidRDefault="00D33E32" w:rsidP="008C4EFA">
      <w:pPr>
        <w:rPr>
          <w:b/>
        </w:rPr>
      </w:pPr>
      <w:r>
        <w:t xml:space="preserve">This was a </w:t>
      </w:r>
      <w:r w:rsidR="008C4EFA" w:rsidRPr="007F0A04">
        <w:t>Phase I/II</w:t>
      </w:r>
      <w:r w:rsidR="006D79BE" w:rsidRPr="007F0A04">
        <w:t xml:space="preserve">, multi-centre, open-label, non-comparative, pharmacokinetic, safety, </w:t>
      </w:r>
      <w:proofErr w:type="gramStart"/>
      <w:r w:rsidR="006D79BE" w:rsidRPr="007F0A04">
        <w:t>tolerability</w:t>
      </w:r>
      <w:proofErr w:type="gramEnd"/>
      <w:r w:rsidR="006D79BE" w:rsidRPr="007F0A04">
        <w:t xml:space="preserve"> and antivir</w:t>
      </w:r>
      <w:r w:rsidR="00BF5180">
        <w:t>al activity of dolutegravir (GSK</w:t>
      </w:r>
      <w:r w:rsidR="006D79BE" w:rsidRPr="007F0A04">
        <w:t xml:space="preserve">1349572), a novel integrase inhibitor, in combination regimens in </w:t>
      </w:r>
      <w:r w:rsidR="00BF5180">
        <w:t>HIV</w:t>
      </w:r>
      <w:r w:rsidR="006D79BE" w:rsidRPr="007F0A04">
        <w:t xml:space="preserve">-1 infected infants, children and adolescents: </w:t>
      </w:r>
      <w:r w:rsidR="008C4EFA" w:rsidRPr="007F0A04">
        <w:t>Cohorts I</w:t>
      </w:r>
      <w:r w:rsidR="00AF5CB0">
        <w:t xml:space="preserve"> to </w:t>
      </w:r>
      <w:r w:rsidR="008C4EFA" w:rsidRPr="007F0A04">
        <w:t>V, Interim Report</w:t>
      </w:r>
      <w:r w:rsidR="008C4EFA" w:rsidRPr="00DD29C3">
        <w:rPr>
          <w:b/>
        </w:rPr>
        <w:t>.</w:t>
      </w:r>
    </w:p>
    <w:p w14:paraId="619F9F39" w14:textId="4B854FDB" w:rsidR="008C4EFA" w:rsidRDefault="008C4EFA" w:rsidP="008C4EFA">
      <w:r>
        <w:t xml:space="preserve">This was an open label </w:t>
      </w:r>
      <w:r w:rsidRPr="00164F72">
        <w:t>multicentre, non-comparative s</w:t>
      </w:r>
      <w:r w:rsidR="00BF5180">
        <w:t>tudy conducted at 34 sites in 9 </w:t>
      </w:r>
      <w:r w:rsidRPr="00164F72">
        <w:t>countries</w:t>
      </w:r>
      <w:r>
        <w:t xml:space="preserve"> from April 2011 </w:t>
      </w:r>
      <w:r w:rsidRPr="00164F72">
        <w:t>to</w:t>
      </w:r>
      <w:r>
        <w:t xml:space="preserve"> a</w:t>
      </w:r>
      <w:r w:rsidRPr="00164F72">
        <w:t xml:space="preserve"> cut-off date of 30 April 2019</w:t>
      </w:r>
      <w:r>
        <w:t>.</w:t>
      </w:r>
    </w:p>
    <w:p w14:paraId="43AC3D6D" w14:textId="0B1F21FF" w:rsidR="008C4EFA" w:rsidRDefault="008C4EFA" w:rsidP="008C4EFA">
      <w:r>
        <w:t>The evaluator commented that Study ING112578 was</w:t>
      </w:r>
      <w:r w:rsidRPr="002D62D8">
        <w:t xml:space="preserve"> an ongoing efficacy </w:t>
      </w:r>
      <w:proofErr w:type="gramStart"/>
      <w:r w:rsidRPr="002D62D8">
        <w:t>study</w:t>
      </w:r>
      <w:proofErr w:type="gramEnd"/>
      <w:r w:rsidRPr="002D62D8">
        <w:t xml:space="preserve"> but the </w:t>
      </w:r>
      <w:r w:rsidRPr="00BF5180">
        <w:t>interim report</w:t>
      </w:r>
      <w:r w:rsidRPr="00EF2CE7">
        <w:rPr>
          <w:b/>
        </w:rPr>
        <w:t xml:space="preserve"> </w:t>
      </w:r>
      <w:r w:rsidRPr="002D62D8">
        <w:t>inc</w:t>
      </w:r>
      <w:r>
        <w:t>luded in this submission related</w:t>
      </w:r>
      <w:r w:rsidRPr="002D62D8">
        <w:t xml:space="preserve"> to the PK results. The primary aim of this study was to select a </w:t>
      </w:r>
      <w:r w:rsidR="00BF5180">
        <w:t xml:space="preserve">dolutegravir </w:t>
      </w:r>
      <w:r w:rsidRPr="002D62D8">
        <w:t xml:space="preserve">dose that achieved similar exposure to the previously submitted and approved adult dose </w:t>
      </w:r>
      <w:r w:rsidR="00BF5180" w:rsidRPr="002D62D8">
        <w:t xml:space="preserve">for </w:t>
      </w:r>
      <w:r w:rsidR="00BF5180" w:rsidRPr="00BF5180">
        <w:t xml:space="preserve">integrase strand transfer inhibitor </w:t>
      </w:r>
      <w:r w:rsidR="00BF5180">
        <w:t>(INSTI)</w:t>
      </w:r>
      <w:r w:rsidRPr="002D62D8">
        <w:t xml:space="preserve">-naïve participants of 50 mg </w:t>
      </w:r>
      <w:r w:rsidR="00BF5180">
        <w:t xml:space="preserve">film-coated tablets </w:t>
      </w:r>
      <w:r w:rsidRPr="002D62D8">
        <w:t xml:space="preserve">once daily. The efficacy data was a secondary outcome of the study. </w:t>
      </w:r>
    </w:p>
    <w:p w14:paraId="41BD51C5" w14:textId="77777777" w:rsidR="008C4EFA" w:rsidRDefault="008C4EFA" w:rsidP="008C4EFA">
      <w:r>
        <w:t>Participants were enrolled into two sequential stages for each of five age defined cohorts which later included weight bands.</w:t>
      </w:r>
    </w:p>
    <w:p w14:paraId="16F6BDDF" w14:textId="3E25553C" w:rsidR="008C4EFA" w:rsidRDefault="008C4EFA" w:rsidP="00BF5180">
      <w:pPr>
        <w:pStyle w:val="ListBullet"/>
      </w:pPr>
      <w:r w:rsidRPr="00BF5180">
        <w:rPr>
          <w:i/>
        </w:rPr>
        <w:t>Stage 1</w:t>
      </w:r>
      <w:r>
        <w:t xml:space="preserve"> Participants underwent intensive PK sampling for 5 days and were monitored for safety and tolerability of </w:t>
      </w:r>
      <w:r w:rsidR="00703924">
        <w:t>dolutegravir</w:t>
      </w:r>
      <w:r>
        <w:t>. Once the dose was accep</w:t>
      </w:r>
      <w:r w:rsidR="00703924">
        <w:t>ted, Stage 1 was ceased.</w:t>
      </w:r>
    </w:p>
    <w:p w14:paraId="12DEDC8C" w14:textId="0D18156E" w:rsidR="008C4EFA" w:rsidRDefault="008C4EFA" w:rsidP="00BF5180">
      <w:pPr>
        <w:pStyle w:val="ListBullet"/>
      </w:pPr>
      <w:r w:rsidRPr="00BF5180">
        <w:rPr>
          <w:i/>
        </w:rPr>
        <w:t>Stage 2</w:t>
      </w:r>
      <w:r w:rsidR="00BF5180">
        <w:t xml:space="preserve"> </w:t>
      </w:r>
      <w:r>
        <w:t xml:space="preserve">Participants were treated for 48 weeks and evaluated for PK parameters, </w:t>
      </w:r>
      <w:proofErr w:type="gramStart"/>
      <w:r>
        <w:t>safety</w:t>
      </w:r>
      <w:proofErr w:type="gramEnd"/>
      <w:r>
        <w:t xml:space="preserve"> and tolerability.</w:t>
      </w:r>
    </w:p>
    <w:p w14:paraId="0ABF93BF" w14:textId="77777777" w:rsidR="008C4EFA" w:rsidRDefault="008C4EFA" w:rsidP="008C4EFA">
      <w:r>
        <w:t>After Week 48, all participants transitioned to long term follow up and could remain on the study for approximately 3 additional years (144 additional weeks of follow up, for a total of 192 weeks on study).</w:t>
      </w:r>
    </w:p>
    <w:p w14:paraId="7293B24B" w14:textId="608476ED" w:rsidR="008C4EFA" w:rsidRPr="00BF5180" w:rsidRDefault="00BF5180" w:rsidP="00BF5180">
      <w:r>
        <w:t>Primary o</w:t>
      </w:r>
      <w:r w:rsidR="008C4EFA" w:rsidRPr="00BF5180">
        <w:t>bjectives:</w:t>
      </w:r>
    </w:p>
    <w:p w14:paraId="1CDC0F2C" w14:textId="0440E8D4" w:rsidR="00BF5180" w:rsidRDefault="008C4EFA" w:rsidP="008C4EFA">
      <w:pPr>
        <w:pStyle w:val="ListBullet"/>
      </w:pPr>
      <w:r>
        <w:t xml:space="preserve">To select a dose for each formulation of </w:t>
      </w:r>
      <w:r w:rsidR="00BF5180">
        <w:t xml:space="preserve">dolutegravir </w:t>
      </w:r>
      <w:r>
        <w:t xml:space="preserve">for chronic dosing in infants, children and adolescents that achieves similar exposure to the </w:t>
      </w:r>
      <w:r w:rsidR="00703924">
        <w:t>dolutegravir</w:t>
      </w:r>
      <w:r>
        <w:t xml:space="preserve"> 50 mg once daily adult dose</w:t>
      </w:r>
      <w:r w:rsidR="00BF5180">
        <w:t>.</w:t>
      </w:r>
    </w:p>
    <w:p w14:paraId="15E79B1E" w14:textId="3DAADE3B" w:rsidR="00BF5180" w:rsidRDefault="008C4EFA" w:rsidP="008C4EFA">
      <w:pPr>
        <w:pStyle w:val="ListBullet"/>
      </w:pPr>
      <w:r>
        <w:t xml:space="preserve">To determine the safety and tolerability of </w:t>
      </w:r>
      <w:r w:rsidR="00BF5180">
        <w:t xml:space="preserve">dolutegravir </w:t>
      </w:r>
      <w:r>
        <w:t xml:space="preserve">in HIV-1 infected infants, </w:t>
      </w:r>
      <w:proofErr w:type="gramStart"/>
      <w:r>
        <w:t>children</w:t>
      </w:r>
      <w:proofErr w:type="gramEnd"/>
      <w:r>
        <w:t xml:space="preserve"> and adolescents at 24 and 48 weeks</w:t>
      </w:r>
      <w:r w:rsidR="00BF5180">
        <w:t>.</w:t>
      </w:r>
    </w:p>
    <w:p w14:paraId="3C52C04F" w14:textId="66558382" w:rsidR="008C4EFA" w:rsidRDefault="008C4EFA" w:rsidP="008C4EFA">
      <w:pPr>
        <w:pStyle w:val="ListBullet"/>
      </w:pPr>
      <w:r>
        <w:t xml:space="preserve">To evaluate the steady-state PK of </w:t>
      </w:r>
      <w:r w:rsidR="00BF5180">
        <w:t xml:space="preserve">dolutegravir </w:t>
      </w:r>
      <w:r>
        <w:t xml:space="preserve">in combination with an optimised background therapy in treatment experienced and treatment-naïve HIV-1 infected infants, </w:t>
      </w:r>
      <w:proofErr w:type="gramStart"/>
      <w:r>
        <w:t>children</w:t>
      </w:r>
      <w:proofErr w:type="gramEnd"/>
      <w:r>
        <w:t xml:space="preserve"> and adolescents and to determine the dose of </w:t>
      </w:r>
      <w:r w:rsidR="00BF5180">
        <w:t>dolutegravir.</w:t>
      </w:r>
    </w:p>
    <w:p w14:paraId="4DA868BF" w14:textId="05FB9159" w:rsidR="008C4EFA" w:rsidRPr="00BF5180" w:rsidRDefault="008C4EFA" w:rsidP="00BF5180">
      <w:r w:rsidRPr="00BF5180">
        <w:t>S</w:t>
      </w:r>
      <w:r w:rsidR="00BF5180" w:rsidRPr="00BF5180">
        <w:t>econdary o</w:t>
      </w:r>
      <w:r w:rsidRPr="00BF5180">
        <w:t>bjectives</w:t>
      </w:r>
      <w:r w:rsidR="00BF5180">
        <w:t>:</w:t>
      </w:r>
    </w:p>
    <w:p w14:paraId="293770A2" w14:textId="77777777" w:rsidR="00BF5180" w:rsidRDefault="008C4EFA" w:rsidP="008C4EFA">
      <w:pPr>
        <w:pStyle w:val="ListBullet"/>
      </w:pPr>
      <w:r>
        <w:t xml:space="preserve">To evaluate the antiviral activity of </w:t>
      </w:r>
      <w:r w:rsidR="00BF5180">
        <w:t xml:space="preserve">dolutegravir </w:t>
      </w:r>
      <w:r>
        <w:t xml:space="preserve">in combination with an </w:t>
      </w:r>
      <w:r w:rsidR="00BF5180">
        <w:t>optimised background therapy</w:t>
      </w:r>
      <w:r>
        <w:t xml:space="preserve"> by measuring virologic response in infants, </w:t>
      </w:r>
      <w:proofErr w:type="gramStart"/>
      <w:r>
        <w:t>children</w:t>
      </w:r>
      <w:proofErr w:type="gramEnd"/>
      <w:r>
        <w:t xml:space="preserve"> and adolescents at 24 and 48 weeks</w:t>
      </w:r>
    </w:p>
    <w:p w14:paraId="682C320C" w14:textId="6F54C57A" w:rsidR="00BF5180" w:rsidRDefault="008C4EFA" w:rsidP="008C4EFA">
      <w:pPr>
        <w:pStyle w:val="ListBullet"/>
      </w:pPr>
      <w:r>
        <w:t>To evaluate the effec</w:t>
      </w:r>
      <w:r w:rsidR="00BF5180">
        <w:t>t on immunologic response from B</w:t>
      </w:r>
      <w:r>
        <w:t>aseline to 24 and 48 weeks</w:t>
      </w:r>
    </w:p>
    <w:p w14:paraId="79B13B96" w14:textId="77777777" w:rsidR="00BF5180" w:rsidRDefault="008C4EFA" w:rsidP="008C4EFA">
      <w:pPr>
        <w:pStyle w:val="ListBullet"/>
      </w:pPr>
      <w:r>
        <w:t xml:space="preserve">To assess changes in HIV-1 genotype and phenotype to </w:t>
      </w:r>
      <w:r w:rsidR="00BF5180">
        <w:t xml:space="preserve">dolutegravir </w:t>
      </w:r>
      <w:r>
        <w:t xml:space="preserve">and other components of   the </w:t>
      </w:r>
      <w:r w:rsidR="00BF5180">
        <w:t xml:space="preserve">optimised background therapy </w:t>
      </w:r>
      <w:r>
        <w:t>in participants experiencing virologic failure</w:t>
      </w:r>
    </w:p>
    <w:p w14:paraId="44BE44D2" w14:textId="77777777" w:rsidR="00BF5180" w:rsidRDefault="008C4EFA" w:rsidP="008C4EFA">
      <w:pPr>
        <w:pStyle w:val="ListBullet"/>
      </w:pPr>
      <w:r>
        <w:lastRenderedPageBreak/>
        <w:t xml:space="preserve">To determine </w:t>
      </w:r>
      <w:r w:rsidR="00BF5180">
        <w:t xml:space="preserve">dolutegravir </w:t>
      </w:r>
      <w:r>
        <w:t xml:space="preserve">exposure, its variability and clinical covariates that impact </w:t>
      </w:r>
      <w:r w:rsidR="00BF5180">
        <w:t>dolutegravir disposition (for example:</w:t>
      </w:r>
      <w:r>
        <w:t xml:space="preserve"> age, weight) using intensive and sparse sampling and </w:t>
      </w:r>
      <w:proofErr w:type="spellStart"/>
      <w:r>
        <w:t>PopPK</w:t>
      </w:r>
      <w:proofErr w:type="spellEnd"/>
      <w:r>
        <w:t xml:space="preserve"> analysis</w:t>
      </w:r>
    </w:p>
    <w:p w14:paraId="766F1EFB" w14:textId="77777777" w:rsidR="00BF5180" w:rsidRDefault="008C4EFA" w:rsidP="008C4EFA">
      <w:pPr>
        <w:pStyle w:val="ListBullet"/>
      </w:pPr>
      <w:r>
        <w:t>To determine the extended long term (≥</w:t>
      </w:r>
      <w:r w:rsidR="00BF5180">
        <w:t xml:space="preserve"> </w:t>
      </w:r>
      <w:r>
        <w:t xml:space="preserve">48 weeks) safety, </w:t>
      </w:r>
      <w:proofErr w:type="gramStart"/>
      <w:r>
        <w:t>tolerability</w:t>
      </w:r>
      <w:proofErr w:type="gramEnd"/>
      <w:r>
        <w:t xml:space="preserve"> and efficacy of </w:t>
      </w:r>
      <w:r w:rsidR="00BF5180">
        <w:t xml:space="preserve">dolutegravir </w:t>
      </w:r>
      <w:r>
        <w:t>in HIV-1 infected infants, children and adolescents</w:t>
      </w:r>
    </w:p>
    <w:p w14:paraId="4E5991AE" w14:textId="77777777" w:rsidR="00BF5180" w:rsidRDefault="008C4EFA" w:rsidP="008C4EFA">
      <w:pPr>
        <w:pStyle w:val="ListBullet"/>
      </w:pPr>
      <w:r>
        <w:t xml:space="preserve">To explore the relationship between </w:t>
      </w:r>
      <w:r w:rsidR="00BF5180">
        <w:t xml:space="preserve">dolutegravir </w:t>
      </w:r>
      <w:r>
        <w:t>exposure and the antiviral activity</w:t>
      </w:r>
    </w:p>
    <w:p w14:paraId="542AA03D" w14:textId="4C7EB1C2" w:rsidR="008C4EFA" w:rsidRDefault="008C4EFA" w:rsidP="008C4EFA">
      <w:pPr>
        <w:pStyle w:val="ListBullet"/>
      </w:pPr>
      <w:r>
        <w:t xml:space="preserve">To evaluate PK, </w:t>
      </w:r>
      <w:proofErr w:type="gramStart"/>
      <w:r>
        <w:t>safety</w:t>
      </w:r>
      <w:proofErr w:type="gramEnd"/>
      <w:r>
        <w:t xml:space="preserve"> and tolerability profile of </w:t>
      </w:r>
      <w:r w:rsidR="00BF5180">
        <w:t xml:space="preserve">dolutegravir </w:t>
      </w:r>
      <w:r>
        <w:t>when dosed by weight bands</w:t>
      </w:r>
      <w:r w:rsidR="00BF5180">
        <w:t>.</w:t>
      </w:r>
    </w:p>
    <w:p w14:paraId="0252269F" w14:textId="77777777" w:rsidR="008C4EFA" w:rsidRDefault="008C4EFA" w:rsidP="00BF5180">
      <w:pPr>
        <w:pStyle w:val="Heading6"/>
      </w:pPr>
      <w:r w:rsidRPr="002E5BD7">
        <w:t>Results</w:t>
      </w:r>
    </w:p>
    <w:p w14:paraId="24A048CD" w14:textId="77777777" w:rsidR="008C4EFA" w:rsidRDefault="008C4EFA" w:rsidP="008C4EFA">
      <w:r>
        <w:t>The primary objective of the interim report was the pharmacokinetic outcome and dose finding.</w:t>
      </w:r>
    </w:p>
    <w:p w14:paraId="193499CE" w14:textId="0A54C400" w:rsidR="008C4EFA" w:rsidRPr="002E5BD7" w:rsidRDefault="008C4EFA" w:rsidP="008C4EFA">
      <w:r>
        <w:t>The</w:t>
      </w:r>
      <w:r w:rsidRPr="002E5BD7">
        <w:t xml:space="preserve"> </w:t>
      </w:r>
      <w:r w:rsidR="00BF5180">
        <w:t xml:space="preserve">clinical study report </w:t>
      </w:r>
      <w:r>
        <w:t xml:space="preserve">presented </w:t>
      </w:r>
      <w:r w:rsidRPr="002E5BD7">
        <w:t>efficacy data for participants who completed a minimum of the W</w:t>
      </w:r>
      <w:r>
        <w:t xml:space="preserve">eek 24 study visit and focused </w:t>
      </w:r>
      <w:r w:rsidRPr="002E5BD7">
        <w:t>on those participants who received the proposed dose (</w:t>
      </w:r>
      <w:r w:rsidR="00BF5180">
        <w:t>that is,</w:t>
      </w:r>
      <w:r w:rsidRPr="002E5BD7">
        <w:t xml:space="preserve"> </w:t>
      </w:r>
      <w:r>
        <w:t xml:space="preserve">the </w:t>
      </w:r>
      <w:r w:rsidR="00BF5180">
        <w:t xml:space="preserve">proposed dose </w:t>
      </w:r>
      <w:r w:rsidR="00BF5180" w:rsidRPr="002E5BD7">
        <w:t>efficacy population</w:t>
      </w:r>
      <w:r w:rsidRPr="002E5BD7">
        <w:t>).</w:t>
      </w:r>
    </w:p>
    <w:p w14:paraId="36602FA8" w14:textId="24FFD540" w:rsidR="008C4EFA" w:rsidRDefault="008C4EFA" w:rsidP="00BF5180">
      <w:pPr>
        <w:pStyle w:val="Tabletitle0"/>
      </w:pPr>
      <w:r>
        <w:t xml:space="preserve">Table </w:t>
      </w:r>
      <w:r w:rsidR="00D174B5">
        <w:fldChar w:fldCharType="begin"/>
      </w:r>
      <w:r w:rsidR="00D174B5">
        <w:instrText xml:space="preserve"> SEQ Table \* ARABIC </w:instrText>
      </w:r>
      <w:r w:rsidR="00D174B5">
        <w:fldChar w:fldCharType="separate"/>
      </w:r>
      <w:r w:rsidR="004D0F54">
        <w:rPr>
          <w:noProof/>
        </w:rPr>
        <w:t>3</w:t>
      </w:r>
      <w:r w:rsidR="00D174B5">
        <w:rPr>
          <w:noProof/>
        </w:rPr>
        <w:fldChar w:fldCharType="end"/>
      </w:r>
      <w:r>
        <w:t xml:space="preserve">: </w:t>
      </w:r>
      <w:r w:rsidR="00BF5180">
        <w:t>Study ING112578</w:t>
      </w:r>
      <w:r w:rsidRPr="00EC079A">
        <w:t xml:space="preserve"> Antiviral and immunological activity</w:t>
      </w:r>
      <w:r w:rsidR="00BF5180">
        <w:t xml:space="preserve"> through Week 24 and Week 48 (Proposed dose efficacy p</w:t>
      </w:r>
      <w:r w:rsidRPr="00EC079A">
        <w:t>opulation)</w:t>
      </w:r>
    </w:p>
    <w:tbl>
      <w:tblPr>
        <w:tblW w:w="8629" w:type="dxa"/>
        <w:tblInd w:w="106" w:type="dxa"/>
        <w:tblLayout w:type="fixed"/>
        <w:tblCellMar>
          <w:left w:w="0" w:type="dxa"/>
          <w:right w:w="0" w:type="dxa"/>
        </w:tblCellMar>
        <w:tblLook w:val="0000" w:firstRow="0" w:lastRow="0" w:firstColumn="0" w:lastColumn="0" w:noHBand="0" w:noVBand="0"/>
      </w:tblPr>
      <w:tblGrid>
        <w:gridCol w:w="3049"/>
        <w:gridCol w:w="1350"/>
        <w:gridCol w:w="1440"/>
        <w:gridCol w:w="1350"/>
        <w:gridCol w:w="1440"/>
      </w:tblGrid>
      <w:tr w:rsidR="008C4EFA" w:rsidRPr="002E5BD7" w14:paraId="13C95333" w14:textId="77777777" w:rsidTr="00703924">
        <w:trPr>
          <w:trHeight w:hRule="exact" w:val="559"/>
        </w:trPr>
        <w:tc>
          <w:tcPr>
            <w:tcW w:w="3049" w:type="dxa"/>
            <w:vMerge w:val="restart"/>
            <w:tcBorders>
              <w:top w:val="single" w:sz="4" w:space="0" w:color="000000"/>
              <w:left w:val="single" w:sz="4" w:space="0" w:color="000000"/>
              <w:right w:val="single" w:sz="4" w:space="0" w:color="000000"/>
            </w:tcBorders>
            <w:shd w:val="clear" w:color="auto" w:fill="auto"/>
          </w:tcPr>
          <w:p w14:paraId="7A6AAA9F" w14:textId="77777777" w:rsidR="008C4EFA" w:rsidRPr="002E5BD7" w:rsidRDefault="008C4EFA" w:rsidP="00827699">
            <w:pPr>
              <w:autoSpaceDE w:val="0"/>
              <w:autoSpaceDN w:val="0"/>
              <w:adjustRightInd w:val="0"/>
              <w:spacing w:before="0" w:after="0" w:line="240" w:lineRule="auto"/>
              <w:rPr>
                <w:rFonts w:ascii="Calibri" w:eastAsia="MS Mincho" w:hAnsi="Calibri" w:cs="Calibri"/>
                <w:sz w:val="20"/>
                <w:szCs w:val="20"/>
              </w:rPr>
            </w:pP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209656" w14:textId="77777777" w:rsidR="008C4EFA" w:rsidRPr="002E5BD7" w:rsidRDefault="008C4EFA" w:rsidP="00703924">
            <w:pPr>
              <w:autoSpaceDE w:val="0"/>
              <w:autoSpaceDN w:val="0"/>
              <w:adjustRightInd w:val="0"/>
              <w:spacing w:before="0" w:after="0" w:line="240" w:lineRule="auto"/>
              <w:ind w:right="964"/>
              <w:jc w:val="center"/>
              <w:rPr>
                <w:rFonts w:ascii="Calibri" w:eastAsia="MS Mincho" w:hAnsi="Calibri" w:cs="Calibri"/>
                <w:b/>
                <w:sz w:val="20"/>
                <w:szCs w:val="20"/>
              </w:rPr>
            </w:pPr>
            <w:r w:rsidRPr="002E5BD7">
              <w:rPr>
                <w:rFonts w:ascii="Calibri" w:eastAsia="MS Mincho" w:hAnsi="Calibri" w:cs="Calibri"/>
                <w:b/>
                <w:sz w:val="20"/>
                <w:szCs w:val="20"/>
              </w:rPr>
              <w:t>Week</w:t>
            </w:r>
            <w:r w:rsidRPr="002E5BD7">
              <w:rPr>
                <w:rFonts w:ascii="Calibri" w:eastAsia="MS Mincho" w:hAnsi="Calibri" w:cs="Calibri"/>
                <w:b/>
                <w:spacing w:val="10"/>
                <w:sz w:val="20"/>
                <w:szCs w:val="20"/>
              </w:rPr>
              <w:t xml:space="preserve"> </w:t>
            </w:r>
            <w:r w:rsidRPr="002E5BD7">
              <w:rPr>
                <w:rFonts w:ascii="Calibri" w:eastAsia="MS Mincho" w:hAnsi="Calibri" w:cs="Calibri"/>
                <w:b/>
                <w:sz w:val="20"/>
                <w:szCs w:val="20"/>
              </w:rPr>
              <w:t>24</w:t>
            </w:r>
          </w:p>
          <w:p w14:paraId="223455C2" w14:textId="72E20AD6" w:rsidR="008C4EFA" w:rsidRPr="002E5BD7" w:rsidRDefault="008C4EFA" w:rsidP="00703924">
            <w:pPr>
              <w:autoSpaceDE w:val="0"/>
              <w:autoSpaceDN w:val="0"/>
              <w:adjustRightInd w:val="0"/>
              <w:spacing w:before="0" w:after="0" w:line="240" w:lineRule="auto"/>
              <w:ind w:right="1120"/>
              <w:jc w:val="center"/>
              <w:rPr>
                <w:rFonts w:ascii="Calibri" w:eastAsia="MS Mincho" w:hAnsi="Calibri" w:cs="Calibri"/>
                <w:b/>
                <w:sz w:val="20"/>
                <w:szCs w:val="20"/>
              </w:rPr>
            </w:pPr>
            <w:r w:rsidRPr="002E5BD7">
              <w:rPr>
                <w:rFonts w:ascii="Calibri" w:eastAsia="MS Mincho" w:hAnsi="Calibri" w:cs="Calibri"/>
                <w:b/>
                <w:sz w:val="20"/>
                <w:szCs w:val="20"/>
              </w:rPr>
              <w:t>N</w:t>
            </w:r>
            <w:r w:rsidR="00BF5180">
              <w:rPr>
                <w:rFonts w:ascii="Calibri" w:eastAsia="MS Mincho" w:hAnsi="Calibri" w:cs="Calibri"/>
                <w:b/>
                <w:sz w:val="20"/>
                <w:szCs w:val="20"/>
              </w:rPr>
              <w:t xml:space="preserve"> </w:t>
            </w:r>
            <w:r w:rsidRPr="002E5BD7">
              <w:rPr>
                <w:rFonts w:ascii="Calibri" w:eastAsia="MS Mincho" w:hAnsi="Calibri" w:cs="Calibri"/>
                <w:b/>
                <w:sz w:val="20"/>
                <w:szCs w:val="20"/>
              </w:rPr>
              <w:t>=</w:t>
            </w:r>
            <w:r w:rsidR="00BF5180">
              <w:rPr>
                <w:rFonts w:ascii="Calibri" w:eastAsia="MS Mincho" w:hAnsi="Calibri" w:cs="Calibri"/>
                <w:b/>
                <w:sz w:val="20"/>
                <w:szCs w:val="20"/>
              </w:rPr>
              <w:t xml:space="preserve"> </w:t>
            </w:r>
            <w:r w:rsidRPr="002E5BD7">
              <w:rPr>
                <w:rFonts w:ascii="Calibri" w:eastAsia="MS Mincho" w:hAnsi="Calibri" w:cs="Calibri"/>
                <w:b/>
                <w:sz w:val="20"/>
                <w:szCs w:val="20"/>
              </w:rPr>
              <w:t>58</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CAB843" w14:textId="77777777" w:rsidR="008C4EFA" w:rsidRPr="002E5BD7" w:rsidRDefault="008C4EFA" w:rsidP="00703924">
            <w:pPr>
              <w:autoSpaceDE w:val="0"/>
              <w:autoSpaceDN w:val="0"/>
              <w:adjustRightInd w:val="0"/>
              <w:spacing w:before="0" w:after="0" w:line="240" w:lineRule="auto"/>
              <w:ind w:right="964"/>
              <w:jc w:val="center"/>
              <w:rPr>
                <w:rFonts w:ascii="Calibri" w:eastAsia="MS Mincho" w:hAnsi="Calibri" w:cs="Calibri"/>
                <w:b/>
                <w:sz w:val="20"/>
                <w:szCs w:val="20"/>
              </w:rPr>
            </w:pPr>
            <w:r w:rsidRPr="002E5BD7">
              <w:rPr>
                <w:rFonts w:ascii="Calibri" w:eastAsia="MS Mincho" w:hAnsi="Calibri" w:cs="Calibri"/>
                <w:b/>
                <w:sz w:val="20"/>
                <w:szCs w:val="20"/>
              </w:rPr>
              <w:t>Week</w:t>
            </w:r>
            <w:r w:rsidRPr="002E5BD7">
              <w:rPr>
                <w:rFonts w:ascii="Calibri" w:eastAsia="MS Mincho" w:hAnsi="Calibri" w:cs="Calibri"/>
                <w:b/>
                <w:spacing w:val="10"/>
                <w:sz w:val="20"/>
                <w:szCs w:val="20"/>
              </w:rPr>
              <w:t xml:space="preserve"> </w:t>
            </w:r>
            <w:r w:rsidRPr="002E5BD7">
              <w:rPr>
                <w:rFonts w:ascii="Calibri" w:eastAsia="MS Mincho" w:hAnsi="Calibri" w:cs="Calibri"/>
                <w:b/>
                <w:sz w:val="20"/>
                <w:szCs w:val="20"/>
              </w:rPr>
              <w:t>48</w:t>
            </w:r>
          </w:p>
          <w:p w14:paraId="180BB271" w14:textId="73D9F357" w:rsidR="008C4EFA" w:rsidRPr="002E5BD7" w:rsidRDefault="008C4EFA" w:rsidP="00703924">
            <w:pPr>
              <w:autoSpaceDE w:val="0"/>
              <w:autoSpaceDN w:val="0"/>
              <w:adjustRightInd w:val="0"/>
              <w:spacing w:before="0" w:after="0" w:line="240" w:lineRule="auto"/>
              <w:ind w:right="1120"/>
              <w:jc w:val="center"/>
              <w:rPr>
                <w:rFonts w:ascii="Calibri" w:eastAsia="MS Mincho" w:hAnsi="Calibri" w:cs="Calibri"/>
                <w:b/>
                <w:sz w:val="20"/>
                <w:szCs w:val="20"/>
              </w:rPr>
            </w:pPr>
            <w:r w:rsidRPr="002E5BD7">
              <w:rPr>
                <w:rFonts w:ascii="Calibri" w:eastAsia="MS Mincho" w:hAnsi="Calibri" w:cs="Calibri"/>
                <w:b/>
                <w:sz w:val="20"/>
                <w:szCs w:val="20"/>
              </w:rPr>
              <w:t>N</w:t>
            </w:r>
            <w:r w:rsidR="00BF5180">
              <w:rPr>
                <w:rFonts w:ascii="Calibri" w:eastAsia="MS Mincho" w:hAnsi="Calibri" w:cs="Calibri"/>
                <w:b/>
                <w:sz w:val="20"/>
                <w:szCs w:val="20"/>
              </w:rPr>
              <w:t xml:space="preserve"> </w:t>
            </w:r>
            <w:r w:rsidRPr="002E5BD7">
              <w:rPr>
                <w:rFonts w:ascii="Calibri" w:eastAsia="MS Mincho" w:hAnsi="Calibri" w:cs="Calibri"/>
                <w:b/>
                <w:sz w:val="20"/>
                <w:szCs w:val="20"/>
              </w:rPr>
              <w:t>=</w:t>
            </w:r>
            <w:r w:rsidR="00BF5180">
              <w:rPr>
                <w:rFonts w:ascii="Calibri" w:eastAsia="MS Mincho" w:hAnsi="Calibri" w:cs="Calibri"/>
                <w:b/>
                <w:sz w:val="20"/>
                <w:szCs w:val="20"/>
              </w:rPr>
              <w:t xml:space="preserve"> </w:t>
            </w:r>
            <w:r w:rsidRPr="002E5BD7">
              <w:rPr>
                <w:rFonts w:ascii="Calibri" w:eastAsia="MS Mincho" w:hAnsi="Calibri" w:cs="Calibri"/>
                <w:b/>
                <w:sz w:val="20"/>
                <w:szCs w:val="20"/>
              </w:rPr>
              <w:t>24</w:t>
            </w:r>
          </w:p>
        </w:tc>
      </w:tr>
      <w:tr w:rsidR="008C4EFA" w:rsidRPr="002E5BD7" w14:paraId="4902FF2D" w14:textId="77777777" w:rsidTr="00703924">
        <w:trPr>
          <w:trHeight w:hRule="exact" w:val="286"/>
        </w:trPr>
        <w:tc>
          <w:tcPr>
            <w:tcW w:w="3049" w:type="dxa"/>
            <w:vMerge/>
            <w:tcBorders>
              <w:left w:val="single" w:sz="4" w:space="0" w:color="000000"/>
              <w:bottom w:val="single" w:sz="4" w:space="0" w:color="000000"/>
              <w:right w:val="single" w:sz="4" w:space="0" w:color="000000"/>
            </w:tcBorders>
            <w:shd w:val="clear" w:color="auto" w:fill="auto"/>
          </w:tcPr>
          <w:p w14:paraId="2D897D35" w14:textId="77777777" w:rsidR="008C4EFA" w:rsidRPr="002E5BD7" w:rsidRDefault="008C4EFA" w:rsidP="00827699">
            <w:pPr>
              <w:autoSpaceDE w:val="0"/>
              <w:autoSpaceDN w:val="0"/>
              <w:adjustRightInd w:val="0"/>
              <w:spacing w:before="0" w:after="0" w:line="240" w:lineRule="auto"/>
              <w:rPr>
                <w:rFonts w:ascii="Calibri" w:eastAsia="MS Mincho" w:hAnsi="Calibri" w:cs="Calibri"/>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51E24"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b/>
                <w:sz w:val="20"/>
                <w:szCs w:val="20"/>
              </w:rPr>
            </w:pPr>
            <w:r w:rsidRPr="002E5BD7">
              <w:rPr>
                <w:rFonts w:ascii="Calibri" w:eastAsia="MS Mincho" w:hAnsi="Calibri" w:cs="Calibri"/>
                <w:b/>
                <w:w w:val="103"/>
                <w:sz w:val="20"/>
                <w:szCs w:val="20"/>
              </w:rPr>
              <w:t>n/N</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21449"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b/>
                <w:sz w:val="20"/>
                <w:szCs w:val="20"/>
              </w:rPr>
            </w:pPr>
            <w:r w:rsidRPr="002E5BD7">
              <w:rPr>
                <w:rFonts w:ascii="Calibri" w:eastAsia="MS Mincho" w:hAnsi="Calibri" w:cs="Calibri"/>
                <w:b/>
                <w:sz w:val="20"/>
                <w:szCs w:val="20"/>
              </w:rPr>
              <w:t>%</w:t>
            </w:r>
            <w:r w:rsidRPr="002E5BD7">
              <w:rPr>
                <w:rFonts w:ascii="Calibri" w:eastAsia="MS Mincho" w:hAnsi="Calibri" w:cs="Calibri"/>
                <w:b/>
                <w:spacing w:val="1"/>
                <w:sz w:val="20"/>
                <w:szCs w:val="20"/>
              </w:rPr>
              <w:t xml:space="preserve"> </w:t>
            </w:r>
            <w:r w:rsidRPr="002E5BD7">
              <w:rPr>
                <w:rFonts w:ascii="Calibri" w:eastAsia="MS Mincho" w:hAnsi="Calibri" w:cs="Calibri"/>
                <w:b/>
                <w:sz w:val="20"/>
                <w:szCs w:val="20"/>
              </w:rPr>
              <w:t>(95%</w:t>
            </w:r>
            <w:r w:rsidRPr="002E5BD7">
              <w:rPr>
                <w:rFonts w:ascii="Calibri" w:eastAsia="MS Mincho" w:hAnsi="Calibri" w:cs="Calibri"/>
                <w:b/>
                <w:spacing w:val="1"/>
                <w:sz w:val="20"/>
                <w:szCs w:val="20"/>
              </w:rPr>
              <w:t xml:space="preserve"> </w:t>
            </w:r>
            <w:r w:rsidRPr="002E5BD7">
              <w:rPr>
                <w:rFonts w:ascii="Calibri" w:eastAsia="MS Mincho" w:hAnsi="Calibri" w:cs="Calibri"/>
                <w:b/>
                <w:sz w:val="20"/>
                <w:szCs w:val="20"/>
              </w:rPr>
              <w:t>CI)</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0F9C2"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b/>
                <w:sz w:val="20"/>
                <w:szCs w:val="20"/>
              </w:rPr>
            </w:pPr>
            <w:r w:rsidRPr="002E5BD7">
              <w:rPr>
                <w:rFonts w:ascii="Calibri" w:eastAsia="MS Mincho" w:hAnsi="Calibri" w:cs="Calibri"/>
                <w:b/>
                <w:w w:val="103"/>
                <w:sz w:val="20"/>
                <w:szCs w:val="20"/>
              </w:rPr>
              <w:t>n/N</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A34A8"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b/>
                <w:sz w:val="20"/>
                <w:szCs w:val="20"/>
              </w:rPr>
            </w:pPr>
            <w:r w:rsidRPr="002E5BD7">
              <w:rPr>
                <w:rFonts w:ascii="Calibri" w:eastAsia="MS Mincho" w:hAnsi="Calibri" w:cs="Calibri"/>
                <w:b/>
                <w:sz w:val="20"/>
                <w:szCs w:val="20"/>
              </w:rPr>
              <w:t>%</w:t>
            </w:r>
            <w:r w:rsidRPr="002E5BD7">
              <w:rPr>
                <w:rFonts w:ascii="Calibri" w:eastAsia="MS Mincho" w:hAnsi="Calibri" w:cs="Calibri"/>
                <w:b/>
                <w:spacing w:val="1"/>
                <w:sz w:val="20"/>
                <w:szCs w:val="20"/>
              </w:rPr>
              <w:t xml:space="preserve"> </w:t>
            </w:r>
            <w:r w:rsidRPr="002E5BD7">
              <w:rPr>
                <w:rFonts w:ascii="Calibri" w:eastAsia="MS Mincho" w:hAnsi="Calibri" w:cs="Calibri"/>
                <w:b/>
                <w:sz w:val="20"/>
                <w:szCs w:val="20"/>
              </w:rPr>
              <w:t>(95%</w:t>
            </w:r>
            <w:r w:rsidRPr="002E5BD7">
              <w:rPr>
                <w:rFonts w:ascii="Calibri" w:eastAsia="MS Mincho" w:hAnsi="Calibri" w:cs="Calibri"/>
                <w:b/>
                <w:spacing w:val="1"/>
                <w:sz w:val="20"/>
                <w:szCs w:val="20"/>
              </w:rPr>
              <w:t xml:space="preserve"> </w:t>
            </w:r>
            <w:r w:rsidRPr="002E5BD7">
              <w:rPr>
                <w:rFonts w:ascii="Calibri" w:eastAsia="MS Mincho" w:hAnsi="Calibri" w:cs="Calibri"/>
                <w:b/>
                <w:sz w:val="20"/>
                <w:szCs w:val="20"/>
              </w:rPr>
              <w:t>CI)</w:t>
            </w:r>
          </w:p>
        </w:tc>
      </w:tr>
      <w:tr w:rsidR="008C4EFA" w:rsidRPr="002E5BD7" w14:paraId="580A3FBA" w14:textId="77777777" w:rsidTr="00703924">
        <w:trPr>
          <w:trHeight w:hRule="exact" w:val="510"/>
        </w:trPr>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13043BCA" w14:textId="3494FD15" w:rsidR="008C4EFA" w:rsidRPr="002E5BD7" w:rsidRDefault="008C4EFA" w:rsidP="00827699">
            <w:pPr>
              <w:autoSpaceDE w:val="0"/>
              <w:autoSpaceDN w:val="0"/>
              <w:adjustRightInd w:val="0"/>
              <w:spacing w:before="0" w:after="0" w:line="240" w:lineRule="auto"/>
              <w:ind w:left="102" w:right="-20"/>
              <w:rPr>
                <w:rFonts w:ascii="Calibri" w:eastAsia="MS Mincho" w:hAnsi="Calibri" w:cs="Calibri"/>
                <w:sz w:val="20"/>
                <w:szCs w:val="20"/>
              </w:rPr>
            </w:pPr>
            <w:r w:rsidRPr="002E5BD7">
              <w:rPr>
                <w:rFonts w:ascii="Calibri" w:eastAsia="MS Mincho" w:hAnsi="Calibri" w:cs="Calibri"/>
                <w:sz w:val="20"/>
                <w:szCs w:val="20"/>
              </w:rPr>
              <w:t>Proportion of participants with HIV RNA &lt;</w:t>
            </w:r>
            <w:r w:rsidR="00BF5180">
              <w:rPr>
                <w:rFonts w:ascii="Calibri" w:eastAsia="MS Mincho" w:hAnsi="Calibri" w:cs="Calibri"/>
                <w:sz w:val="20"/>
                <w:szCs w:val="20"/>
              </w:rPr>
              <w:t xml:space="preserve"> </w:t>
            </w:r>
            <w:r w:rsidRPr="002E5BD7">
              <w:rPr>
                <w:rFonts w:ascii="Calibri" w:eastAsia="MS Mincho" w:hAnsi="Calibri" w:cs="Calibri"/>
                <w:sz w:val="20"/>
                <w:szCs w:val="20"/>
              </w:rPr>
              <w:t>50</w:t>
            </w:r>
            <w:r w:rsidRPr="002E5BD7">
              <w:rPr>
                <w:rFonts w:ascii="Calibri" w:eastAsia="MS Mincho" w:hAnsi="Calibri" w:cs="Calibri"/>
                <w:spacing w:val="1"/>
                <w:sz w:val="20"/>
                <w:szCs w:val="20"/>
              </w:rPr>
              <w:t xml:space="preserve"> </w:t>
            </w:r>
            <w:r w:rsidRPr="002E5BD7">
              <w:rPr>
                <w:rFonts w:ascii="Calibri" w:eastAsia="MS Mincho" w:hAnsi="Calibri" w:cs="Calibri"/>
                <w:sz w:val="20"/>
                <w:szCs w:val="20"/>
              </w:rPr>
              <w:t>c</w:t>
            </w:r>
            <w:r w:rsidR="00C81E52">
              <w:rPr>
                <w:rFonts w:ascii="Calibri" w:eastAsia="MS Mincho" w:hAnsi="Calibri" w:cs="Calibri"/>
                <w:sz w:val="20"/>
                <w:szCs w:val="20"/>
              </w:rPr>
              <w:t>opies</w:t>
            </w:r>
            <w:r w:rsidRPr="002E5BD7">
              <w:rPr>
                <w:rFonts w:ascii="Calibri" w:eastAsia="MS Mincho" w:hAnsi="Calibri" w:cs="Calibri"/>
                <w:sz w:val="20"/>
                <w:szCs w:val="20"/>
              </w:rPr>
              <w:t>/</w:t>
            </w:r>
            <w:proofErr w:type="spellStart"/>
            <w:r w:rsidRPr="002E5BD7">
              <w:rPr>
                <w:rFonts w:ascii="Calibri" w:eastAsia="MS Mincho" w:hAnsi="Calibri" w:cs="Calibri"/>
                <w:sz w:val="20"/>
                <w:szCs w:val="20"/>
              </w:rPr>
              <w:t>mL</w:t>
            </w:r>
            <w:r w:rsidRPr="002E5BD7">
              <w:rPr>
                <w:rFonts w:ascii="Calibri" w:eastAsia="MS Mincho" w:hAnsi="Calibri" w:cs="Calibri"/>
                <w:sz w:val="20"/>
                <w:szCs w:val="20"/>
                <w:vertAlign w:val="superscript"/>
              </w:rPr>
              <w:t>a</w:t>
            </w:r>
            <w:proofErr w:type="spellEnd"/>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67114"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z w:val="20"/>
                <w:szCs w:val="20"/>
              </w:rPr>
              <w:t>36/58</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CC4AF"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z w:val="20"/>
                <w:szCs w:val="20"/>
              </w:rPr>
              <w:t>62.1</w:t>
            </w:r>
          </w:p>
          <w:p w14:paraId="26726529"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pacing w:val="1"/>
                <w:sz w:val="20"/>
                <w:szCs w:val="20"/>
              </w:rPr>
              <w:t>(48.</w:t>
            </w:r>
            <w:r w:rsidRPr="002E5BD7">
              <w:rPr>
                <w:rFonts w:ascii="Calibri" w:eastAsia="MS Mincho" w:hAnsi="Calibri" w:cs="Calibri"/>
                <w:sz w:val="20"/>
                <w:szCs w:val="20"/>
              </w:rPr>
              <w:t>4</w:t>
            </w:r>
            <w:r w:rsidRPr="002E5BD7">
              <w:rPr>
                <w:rFonts w:ascii="Calibri" w:eastAsia="MS Mincho" w:hAnsi="Calibri" w:cs="Calibri"/>
                <w:spacing w:val="1"/>
                <w:sz w:val="20"/>
                <w:szCs w:val="20"/>
              </w:rPr>
              <w:t xml:space="preserve"> </w:t>
            </w:r>
            <w:r w:rsidRPr="002E5BD7">
              <w:rPr>
                <w:rFonts w:ascii="Calibri" w:eastAsia="MS Mincho" w:hAnsi="Calibri" w:cs="Calibri"/>
                <w:sz w:val="20"/>
                <w:szCs w:val="20"/>
              </w:rPr>
              <w:t>-</w:t>
            </w:r>
            <w:r w:rsidRPr="002E5BD7">
              <w:rPr>
                <w:rFonts w:ascii="Calibri" w:eastAsia="MS Mincho" w:hAnsi="Calibri" w:cs="Calibri"/>
                <w:spacing w:val="-3"/>
                <w:sz w:val="20"/>
                <w:szCs w:val="20"/>
              </w:rPr>
              <w:t xml:space="preserve"> </w:t>
            </w:r>
            <w:r w:rsidRPr="002E5BD7">
              <w:rPr>
                <w:rFonts w:ascii="Calibri" w:eastAsia="MS Mincho" w:hAnsi="Calibri" w:cs="Calibri"/>
                <w:sz w:val="20"/>
                <w:szCs w:val="20"/>
              </w:rPr>
              <w:t>74.5)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ABD7"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z w:val="20"/>
                <w:szCs w:val="20"/>
              </w:rPr>
              <w:t>16/24</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017B2"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z w:val="20"/>
                <w:szCs w:val="20"/>
              </w:rPr>
              <w:t>66.7</w:t>
            </w:r>
          </w:p>
          <w:p w14:paraId="4FE9D12B"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pacing w:val="1"/>
                <w:sz w:val="20"/>
                <w:szCs w:val="20"/>
              </w:rPr>
              <w:t>(44.</w:t>
            </w:r>
            <w:r w:rsidRPr="002E5BD7">
              <w:rPr>
                <w:rFonts w:ascii="Calibri" w:eastAsia="MS Mincho" w:hAnsi="Calibri" w:cs="Calibri"/>
                <w:sz w:val="20"/>
                <w:szCs w:val="20"/>
              </w:rPr>
              <w:t>7</w:t>
            </w:r>
            <w:r w:rsidRPr="002E5BD7">
              <w:rPr>
                <w:rFonts w:ascii="Calibri" w:eastAsia="MS Mincho" w:hAnsi="Calibri" w:cs="Calibri"/>
                <w:spacing w:val="-1"/>
                <w:sz w:val="20"/>
                <w:szCs w:val="20"/>
              </w:rPr>
              <w:t xml:space="preserve"> </w:t>
            </w:r>
            <w:r w:rsidRPr="002E5BD7">
              <w:rPr>
                <w:rFonts w:ascii="Calibri" w:eastAsia="MS Mincho" w:hAnsi="Calibri" w:cs="Calibri"/>
                <w:sz w:val="20"/>
                <w:szCs w:val="20"/>
              </w:rPr>
              <w:t>–</w:t>
            </w:r>
            <w:r w:rsidRPr="002E5BD7">
              <w:rPr>
                <w:rFonts w:ascii="Calibri" w:eastAsia="MS Mincho" w:hAnsi="Calibri" w:cs="Calibri"/>
                <w:spacing w:val="1"/>
                <w:sz w:val="20"/>
                <w:szCs w:val="20"/>
              </w:rPr>
              <w:t xml:space="preserve"> </w:t>
            </w:r>
            <w:r w:rsidRPr="002E5BD7">
              <w:rPr>
                <w:rFonts w:ascii="Calibri" w:eastAsia="MS Mincho" w:hAnsi="Calibri" w:cs="Calibri"/>
                <w:sz w:val="20"/>
                <w:szCs w:val="20"/>
              </w:rPr>
              <w:t>84.4)</w:t>
            </w:r>
          </w:p>
        </w:tc>
      </w:tr>
      <w:tr w:rsidR="008C4EFA" w:rsidRPr="002E5BD7" w14:paraId="009B52EB" w14:textId="77777777" w:rsidTr="00703924">
        <w:trPr>
          <w:trHeight w:hRule="exact" w:val="510"/>
        </w:trPr>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1C3BABFF" w14:textId="40AA5CE7" w:rsidR="008C4EFA" w:rsidRPr="002E5BD7" w:rsidRDefault="008C4EFA" w:rsidP="00827699">
            <w:pPr>
              <w:autoSpaceDE w:val="0"/>
              <w:autoSpaceDN w:val="0"/>
              <w:adjustRightInd w:val="0"/>
              <w:spacing w:before="0" w:after="0" w:line="240" w:lineRule="auto"/>
              <w:ind w:left="102" w:right="-20"/>
              <w:rPr>
                <w:rFonts w:ascii="Calibri" w:eastAsia="MS Mincho" w:hAnsi="Calibri" w:cs="Calibri"/>
                <w:sz w:val="20"/>
                <w:szCs w:val="20"/>
              </w:rPr>
            </w:pPr>
            <w:r w:rsidRPr="002E5BD7">
              <w:rPr>
                <w:rFonts w:ascii="Calibri" w:eastAsia="MS Mincho" w:hAnsi="Calibri" w:cs="Calibri"/>
                <w:sz w:val="20"/>
                <w:szCs w:val="20"/>
              </w:rPr>
              <w:t>Proportion of participants with HIV RNA &lt;</w:t>
            </w:r>
            <w:r w:rsidR="00BF5180">
              <w:rPr>
                <w:rFonts w:ascii="Calibri" w:eastAsia="MS Mincho" w:hAnsi="Calibri" w:cs="Calibri"/>
                <w:sz w:val="20"/>
                <w:szCs w:val="20"/>
              </w:rPr>
              <w:t xml:space="preserve"> </w:t>
            </w:r>
            <w:r w:rsidRPr="002E5BD7">
              <w:rPr>
                <w:rFonts w:ascii="Calibri" w:eastAsia="MS Mincho" w:hAnsi="Calibri" w:cs="Calibri"/>
                <w:sz w:val="20"/>
                <w:szCs w:val="20"/>
              </w:rPr>
              <w:t>400</w:t>
            </w:r>
            <w:r w:rsidRPr="002E5BD7">
              <w:rPr>
                <w:rFonts w:ascii="Calibri" w:eastAsia="MS Mincho" w:hAnsi="Calibri" w:cs="Calibri"/>
                <w:spacing w:val="1"/>
                <w:sz w:val="20"/>
                <w:szCs w:val="20"/>
              </w:rPr>
              <w:t xml:space="preserve"> </w:t>
            </w:r>
            <w:proofErr w:type="spellStart"/>
            <w:r w:rsidRPr="002E5BD7">
              <w:rPr>
                <w:rFonts w:ascii="Calibri" w:eastAsia="MS Mincho" w:hAnsi="Calibri" w:cs="Calibri"/>
                <w:sz w:val="20"/>
                <w:szCs w:val="20"/>
              </w:rPr>
              <w:t>c</w:t>
            </w:r>
            <w:r w:rsidR="00703924">
              <w:rPr>
                <w:rFonts w:ascii="Calibri" w:eastAsia="MS Mincho" w:hAnsi="Calibri" w:cs="Calibri"/>
                <w:sz w:val="20"/>
                <w:szCs w:val="20"/>
              </w:rPr>
              <w:t>opiess</w:t>
            </w:r>
            <w:proofErr w:type="spellEnd"/>
            <w:r w:rsidRPr="002E5BD7">
              <w:rPr>
                <w:rFonts w:ascii="Calibri" w:eastAsia="MS Mincho" w:hAnsi="Calibri" w:cs="Calibri"/>
                <w:sz w:val="20"/>
                <w:szCs w:val="20"/>
              </w:rPr>
              <w:t>/mL</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21EEB"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z w:val="20"/>
                <w:szCs w:val="20"/>
              </w:rPr>
              <w:t>50/58</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8E992"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z w:val="20"/>
                <w:szCs w:val="20"/>
              </w:rPr>
              <w:t>86.2</w:t>
            </w:r>
          </w:p>
          <w:p w14:paraId="7A157BD3"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pacing w:val="1"/>
                <w:sz w:val="20"/>
                <w:szCs w:val="20"/>
              </w:rPr>
              <w:t>(74.</w:t>
            </w:r>
            <w:r w:rsidRPr="002E5BD7">
              <w:rPr>
                <w:rFonts w:ascii="Calibri" w:eastAsia="MS Mincho" w:hAnsi="Calibri" w:cs="Calibri"/>
                <w:sz w:val="20"/>
                <w:szCs w:val="20"/>
              </w:rPr>
              <w:t>6</w:t>
            </w:r>
            <w:r w:rsidRPr="002E5BD7">
              <w:rPr>
                <w:rFonts w:ascii="Calibri" w:eastAsia="MS Mincho" w:hAnsi="Calibri" w:cs="Calibri"/>
                <w:spacing w:val="1"/>
                <w:sz w:val="20"/>
                <w:szCs w:val="20"/>
              </w:rPr>
              <w:t xml:space="preserve"> </w:t>
            </w:r>
            <w:r w:rsidRPr="002E5BD7">
              <w:rPr>
                <w:rFonts w:ascii="Calibri" w:eastAsia="MS Mincho" w:hAnsi="Calibri" w:cs="Calibri"/>
                <w:sz w:val="20"/>
                <w:szCs w:val="20"/>
              </w:rPr>
              <w:t>-</w:t>
            </w:r>
            <w:r w:rsidRPr="002E5BD7">
              <w:rPr>
                <w:rFonts w:ascii="Calibri" w:eastAsia="MS Mincho" w:hAnsi="Calibri" w:cs="Calibri"/>
                <w:spacing w:val="-3"/>
                <w:sz w:val="20"/>
                <w:szCs w:val="20"/>
              </w:rPr>
              <w:t xml:space="preserve"> </w:t>
            </w:r>
            <w:r w:rsidRPr="002E5BD7">
              <w:rPr>
                <w:rFonts w:ascii="Calibri" w:eastAsia="MS Mincho" w:hAnsi="Calibri" w:cs="Calibri"/>
                <w:sz w:val="20"/>
                <w:szCs w:val="20"/>
              </w:rPr>
              <w:t>93.9)</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C3C2C"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z w:val="20"/>
                <w:szCs w:val="20"/>
              </w:rPr>
              <w:t>18/24</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D3AD4"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pacing w:val="1"/>
                <w:sz w:val="20"/>
                <w:szCs w:val="20"/>
              </w:rPr>
              <w:t>75</w:t>
            </w:r>
          </w:p>
          <w:p w14:paraId="4C269E7F"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pacing w:val="1"/>
                <w:sz w:val="20"/>
                <w:szCs w:val="20"/>
              </w:rPr>
              <w:t>(53.</w:t>
            </w:r>
            <w:r w:rsidRPr="002E5BD7">
              <w:rPr>
                <w:rFonts w:ascii="Calibri" w:eastAsia="MS Mincho" w:hAnsi="Calibri" w:cs="Calibri"/>
                <w:sz w:val="20"/>
                <w:szCs w:val="20"/>
              </w:rPr>
              <w:t>3</w:t>
            </w:r>
            <w:r w:rsidRPr="002E5BD7">
              <w:rPr>
                <w:rFonts w:ascii="Calibri" w:eastAsia="MS Mincho" w:hAnsi="Calibri" w:cs="Calibri"/>
                <w:spacing w:val="-1"/>
                <w:sz w:val="20"/>
                <w:szCs w:val="20"/>
              </w:rPr>
              <w:t xml:space="preserve"> </w:t>
            </w:r>
            <w:r w:rsidRPr="002E5BD7">
              <w:rPr>
                <w:rFonts w:ascii="Calibri" w:eastAsia="MS Mincho" w:hAnsi="Calibri" w:cs="Calibri"/>
                <w:sz w:val="20"/>
                <w:szCs w:val="20"/>
              </w:rPr>
              <w:t>–</w:t>
            </w:r>
            <w:r w:rsidRPr="002E5BD7">
              <w:rPr>
                <w:rFonts w:ascii="Calibri" w:eastAsia="MS Mincho" w:hAnsi="Calibri" w:cs="Calibri"/>
                <w:spacing w:val="1"/>
                <w:sz w:val="20"/>
                <w:szCs w:val="20"/>
              </w:rPr>
              <w:t xml:space="preserve"> </w:t>
            </w:r>
            <w:r w:rsidRPr="002E5BD7">
              <w:rPr>
                <w:rFonts w:ascii="Calibri" w:eastAsia="MS Mincho" w:hAnsi="Calibri" w:cs="Calibri"/>
                <w:sz w:val="20"/>
                <w:szCs w:val="20"/>
              </w:rPr>
              <w:t>90.2)</w:t>
            </w:r>
          </w:p>
        </w:tc>
      </w:tr>
      <w:tr w:rsidR="008C4EFA" w:rsidRPr="002E5BD7" w14:paraId="1B121F20" w14:textId="77777777" w:rsidTr="00703924">
        <w:trPr>
          <w:trHeight w:hRule="exact" w:val="286"/>
        </w:trPr>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61C8C09C" w14:textId="77777777" w:rsidR="008C4EFA" w:rsidRPr="002E5BD7" w:rsidRDefault="008C4EFA" w:rsidP="00827699">
            <w:pPr>
              <w:autoSpaceDE w:val="0"/>
              <w:autoSpaceDN w:val="0"/>
              <w:adjustRightInd w:val="0"/>
              <w:spacing w:before="0" w:after="0" w:line="240" w:lineRule="auto"/>
              <w:rPr>
                <w:rFonts w:ascii="Calibri" w:eastAsia="MS Mincho" w:hAnsi="Calibri" w:cs="Calibri"/>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20633"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b/>
                <w:sz w:val="20"/>
                <w:szCs w:val="20"/>
              </w:rPr>
            </w:pPr>
            <w:r w:rsidRPr="002E5BD7">
              <w:rPr>
                <w:rFonts w:ascii="Calibri" w:eastAsia="MS Mincho" w:hAnsi="Calibri" w:cs="Calibri"/>
                <w:b/>
                <w:sz w:val="20"/>
                <w:szCs w:val="20"/>
              </w:rPr>
              <w:t>Median</w:t>
            </w:r>
            <w:r w:rsidRPr="002E5BD7">
              <w:rPr>
                <w:rFonts w:ascii="Calibri" w:eastAsia="MS Mincho" w:hAnsi="Calibri" w:cs="Calibri"/>
                <w:b/>
                <w:spacing w:val="32"/>
                <w:sz w:val="20"/>
                <w:szCs w:val="20"/>
              </w:rPr>
              <w:t xml:space="preserve"> </w:t>
            </w:r>
            <w:r w:rsidRPr="002E5BD7">
              <w:rPr>
                <w:rFonts w:ascii="Calibri" w:eastAsia="MS Mincho" w:hAnsi="Calibri" w:cs="Calibri"/>
                <w:b/>
                <w:w w:val="103"/>
                <w:sz w:val="20"/>
                <w:szCs w:val="20"/>
              </w:rPr>
              <w:t>(n*)</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4BC8E"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b/>
                <w:sz w:val="20"/>
                <w:szCs w:val="20"/>
              </w:rPr>
            </w:pPr>
            <w:r w:rsidRPr="002E5BD7">
              <w:rPr>
                <w:rFonts w:ascii="Calibri" w:eastAsia="MS Mincho" w:hAnsi="Calibri" w:cs="Calibri"/>
                <w:b/>
                <w:sz w:val="20"/>
                <w:szCs w:val="20"/>
              </w:rPr>
              <w:t>(Q1,</w:t>
            </w:r>
            <w:r w:rsidRPr="002E5BD7">
              <w:rPr>
                <w:rFonts w:ascii="Calibri" w:eastAsia="MS Mincho" w:hAnsi="Calibri" w:cs="Calibri"/>
                <w:b/>
                <w:spacing w:val="1"/>
                <w:sz w:val="20"/>
                <w:szCs w:val="20"/>
              </w:rPr>
              <w:t xml:space="preserve"> </w:t>
            </w:r>
            <w:r w:rsidRPr="002E5BD7">
              <w:rPr>
                <w:rFonts w:ascii="Calibri" w:eastAsia="MS Mincho" w:hAnsi="Calibri" w:cs="Calibri"/>
                <w:b/>
                <w:sz w:val="20"/>
                <w:szCs w:val="20"/>
              </w:rPr>
              <w:t>Q3)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247F6"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b/>
                <w:sz w:val="20"/>
                <w:szCs w:val="20"/>
              </w:rPr>
            </w:pPr>
            <w:r w:rsidRPr="002E5BD7">
              <w:rPr>
                <w:rFonts w:ascii="Calibri" w:eastAsia="MS Mincho" w:hAnsi="Calibri" w:cs="Calibri"/>
                <w:b/>
                <w:sz w:val="20"/>
                <w:szCs w:val="20"/>
              </w:rPr>
              <w:t>Median</w:t>
            </w:r>
            <w:r w:rsidRPr="002E5BD7">
              <w:rPr>
                <w:rFonts w:ascii="Calibri" w:eastAsia="MS Mincho" w:hAnsi="Calibri" w:cs="Calibri"/>
                <w:b/>
                <w:spacing w:val="32"/>
                <w:sz w:val="20"/>
                <w:szCs w:val="20"/>
              </w:rPr>
              <w:t xml:space="preserve"> </w:t>
            </w:r>
            <w:r w:rsidRPr="002E5BD7">
              <w:rPr>
                <w:rFonts w:ascii="Calibri" w:eastAsia="MS Mincho" w:hAnsi="Calibri" w:cs="Calibri"/>
                <w:b/>
                <w:w w:val="103"/>
                <w:sz w:val="20"/>
                <w:szCs w:val="20"/>
              </w:rPr>
              <w:t>(n*)</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F80F0"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b/>
                <w:sz w:val="20"/>
                <w:szCs w:val="20"/>
              </w:rPr>
            </w:pPr>
            <w:r w:rsidRPr="002E5BD7">
              <w:rPr>
                <w:rFonts w:ascii="Calibri" w:eastAsia="MS Mincho" w:hAnsi="Calibri" w:cs="Calibri"/>
                <w:b/>
                <w:sz w:val="20"/>
                <w:szCs w:val="20"/>
              </w:rPr>
              <w:t>(Q1,</w:t>
            </w:r>
            <w:r w:rsidRPr="002E5BD7">
              <w:rPr>
                <w:rFonts w:ascii="Calibri" w:eastAsia="MS Mincho" w:hAnsi="Calibri" w:cs="Calibri"/>
                <w:b/>
                <w:spacing w:val="1"/>
                <w:sz w:val="20"/>
                <w:szCs w:val="20"/>
              </w:rPr>
              <w:t xml:space="preserve"> </w:t>
            </w:r>
            <w:r w:rsidRPr="002E5BD7">
              <w:rPr>
                <w:rFonts w:ascii="Calibri" w:eastAsia="MS Mincho" w:hAnsi="Calibri" w:cs="Calibri"/>
                <w:b/>
                <w:sz w:val="20"/>
                <w:szCs w:val="20"/>
              </w:rPr>
              <w:t>Q3)</w:t>
            </w:r>
          </w:p>
        </w:tc>
      </w:tr>
      <w:tr w:rsidR="008C4EFA" w:rsidRPr="002E5BD7" w14:paraId="2B19BB10" w14:textId="77777777" w:rsidTr="00703924">
        <w:trPr>
          <w:trHeight w:hRule="exact" w:val="510"/>
        </w:trPr>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2140E159" w14:textId="58079FD7" w:rsidR="008C4EFA" w:rsidRPr="002E5BD7" w:rsidRDefault="00BF5180" w:rsidP="00827699">
            <w:pPr>
              <w:autoSpaceDE w:val="0"/>
              <w:autoSpaceDN w:val="0"/>
              <w:adjustRightInd w:val="0"/>
              <w:spacing w:before="0" w:after="0" w:line="240" w:lineRule="auto"/>
              <w:ind w:left="102" w:right="-20"/>
              <w:rPr>
                <w:rFonts w:ascii="Calibri" w:eastAsia="MS Mincho" w:hAnsi="Calibri" w:cs="Calibri"/>
                <w:sz w:val="20"/>
                <w:szCs w:val="20"/>
              </w:rPr>
            </w:pPr>
            <w:r>
              <w:rPr>
                <w:rFonts w:ascii="Calibri" w:eastAsia="MS Mincho" w:hAnsi="Calibri" w:cs="Calibri"/>
                <w:sz w:val="20"/>
                <w:szCs w:val="20"/>
              </w:rPr>
              <w:t>Change from B</w:t>
            </w:r>
            <w:r w:rsidR="008C4EFA" w:rsidRPr="002E5BD7">
              <w:rPr>
                <w:rFonts w:ascii="Calibri" w:eastAsia="MS Mincho" w:hAnsi="Calibri" w:cs="Calibri"/>
                <w:sz w:val="20"/>
                <w:szCs w:val="20"/>
              </w:rPr>
              <w:t>aseline in CD4+ cell count (cells/mm)</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1DB30"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z w:val="20"/>
                <w:szCs w:val="20"/>
              </w:rPr>
              <w:t>105</w:t>
            </w:r>
            <w:r w:rsidRPr="002E5BD7">
              <w:rPr>
                <w:rFonts w:ascii="Calibri" w:eastAsia="MS Mincho" w:hAnsi="Calibri" w:cs="Calibri"/>
                <w:spacing w:val="1"/>
                <w:sz w:val="20"/>
                <w:szCs w:val="20"/>
              </w:rPr>
              <w:t xml:space="preserve"> </w:t>
            </w:r>
            <w:r w:rsidRPr="002E5BD7">
              <w:rPr>
                <w:rFonts w:ascii="Calibri" w:eastAsia="MS Mincho" w:hAnsi="Calibri" w:cs="Calibri"/>
                <w:sz w:val="20"/>
                <w:szCs w:val="20"/>
              </w:rPr>
              <w:t>(57)</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2A1B2"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pacing w:val="-1"/>
                <w:sz w:val="20"/>
                <w:szCs w:val="20"/>
              </w:rPr>
              <w:t>(-</w:t>
            </w:r>
            <w:r w:rsidRPr="002E5BD7">
              <w:rPr>
                <w:rFonts w:ascii="Calibri" w:eastAsia="MS Mincho" w:hAnsi="Calibri" w:cs="Calibri"/>
                <w:sz w:val="20"/>
                <w:szCs w:val="20"/>
              </w:rPr>
              <w:t>93,</w:t>
            </w:r>
            <w:r w:rsidRPr="002E5BD7">
              <w:rPr>
                <w:rFonts w:ascii="Calibri" w:eastAsia="MS Mincho" w:hAnsi="Calibri" w:cs="Calibri"/>
                <w:spacing w:val="1"/>
                <w:sz w:val="20"/>
                <w:szCs w:val="20"/>
              </w:rPr>
              <w:t xml:space="preserve"> </w:t>
            </w:r>
            <w:r w:rsidRPr="002E5BD7">
              <w:rPr>
                <w:rFonts w:ascii="Calibri" w:eastAsia="MS Mincho" w:hAnsi="Calibri" w:cs="Calibri"/>
                <w:sz w:val="20"/>
                <w:szCs w:val="20"/>
              </w:rPr>
              <w:t>338)</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1FAAA"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z w:val="20"/>
                <w:szCs w:val="20"/>
              </w:rPr>
              <w:t>149</w:t>
            </w:r>
            <w:r w:rsidRPr="002E5BD7">
              <w:rPr>
                <w:rFonts w:ascii="Calibri" w:eastAsia="MS Mincho" w:hAnsi="Calibri" w:cs="Calibri"/>
                <w:spacing w:val="1"/>
                <w:sz w:val="20"/>
                <w:szCs w:val="20"/>
              </w:rPr>
              <w:t xml:space="preserve"> </w:t>
            </w:r>
            <w:r w:rsidRPr="002E5BD7">
              <w:rPr>
                <w:rFonts w:ascii="Calibri" w:eastAsia="MS Mincho" w:hAnsi="Calibri" w:cs="Calibri"/>
                <w:sz w:val="20"/>
                <w:szCs w:val="20"/>
              </w:rPr>
              <w:t>(23)</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A0CCB"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pacing w:val="-1"/>
                <w:sz w:val="20"/>
                <w:szCs w:val="20"/>
              </w:rPr>
              <w:t>(-</w:t>
            </w:r>
            <w:r w:rsidRPr="002E5BD7">
              <w:rPr>
                <w:rFonts w:ascii="Calibri" w:eastAsia="MS Mincho" w:hAnsi="Calibri" w:cs="Calibri"/>
                <w:sz w:val="20"/>
                <w:szCs w:val="20"/>
              </w:rPr>
              <w:t>17,</w:t>
            </w:r>
            <w:r w:rsidRPr="002E5BD7">
              <w:rPr>
                <w:rFonts w:ascii="Calibri" w:eastAsia="MS Mincho" w:hAnsi="Calibri" w:cs="Calibri"/>
                <w:spacing w:val="1"/>
                <w:sz w:val="20"/>
                <w:szCs w:val="20"/>
              </w:rPr>
              <w:t xml:space="preserve"> </w:t>
            </w:r>
            <w:r w:rsidRPr="002E5BD7">
              <w:rPr>
                <w:rFonts w:ascii="Calibri" w:eastAsia="MS Mincho" w:hAnsi="Calibri" w:cs="Calibri"/>
                <w:sz w:val="20"/>
                <w:szCs w:val="20"/>
              </w:rPr>
              <w:t>291)</w:t>
            </w:r>
          </w:p>
        </w:tc>
      </w:tr>
      <w:tr w:rsidR="008C4EFA" w:rsidRPr="002E5BD7" w14:paraId="271AE490" w14:textId="77777777" w:rsidTr="00703924">
        <w:trPr>
          <w:trHeight w:hRule="exact" w:val="510"/>
        </w:trPr>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152A1D32" w14:textId="04113A07" w:rsidR="008C4EFA" w:rsidRPr="002E5BD7" w:rsidRDefault="00BF5180" w:rsidP="00827699">
            <w:pPr>
              <w:autoSpaceDE w:val="0"/>
              <w:autoSpaceDN w:val="0"/>
              <w:adjustRightInd w:val="0"/>
              <w:spacing w:before="0" w:after="0" w:line="240" w:lineRule="auto"/>
              <w:ind w:left="102" w:right="-20"/>
              <w:rPr>
                <w:rFonts w:ascii="Calibri" w:eastAsia="MS Mincho" w:hAnsi="Calibri" w:cs="Calibri"/>
                <w:sz w:val="20"/>
                <w:szCs w:val="20"/>
              </w:rPr>
            </w:pPr>
            <w:r>
              <w:rPr>
                <w:rFonts w:ascii="Calibri" w:eastAsia="MS Mincho" w:hAnsi="Calibri" w:cs="Calibri"/>
                <w:sz w:val="20"/>
                <w:szCs w:val="20"/>
              </w:rPr>
              <w:t>Change from B</w:t>
            </w:r>
            <w:r w:rsidR="008C4EFA" w:rsidRPr="002E5BD7">
              <w:rPr>
                <w:rFonts w:ascii="Calibri" w:eastAsia="MS Mincho" w:hAnsi="Calibri" w:cs="Calibri"/>
                <w:sz w:val="20"/>
                <w:szCs w:val="20"/>
              </w:rPr>
              <w:t xml:space="preserve">aseline in CD4+ </w:t>
            </w:r>
            <w:r w:rsidR="008C4EFA" w:rsidRPr="002E5BD7">
              <w:rPr>
                <w:rFonts w:ascii="Calibri" w:eastAsia="MS Mincho" w:hAnsi="Calibri" w:cs="Calibri"/>
                <w:spacing w:val="1"/>
                <w:sz w:val="20"/>
                <w:szCs w:val="20"/>
              </w:rPr>
              <w:t>percent</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ECC7A"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z w:val="20"/>
                <w:szCs w:val="20"/>
              </w:rPr>
              <w:t>5.1 (57)</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71878"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pacing w:val="1"/>
                <w:sz w:val="20"/>
                <w:szCs w:val="20"/>
              </w:rPr>
              <w:t>(1</w:t>
            </w:r>
            <w:r w:rsidRPr="002E5BD7">
              <w:rPr>
                <w:rFonts w:ascii="Calibri" w:eastAsia="MS Mincho" w:hAnsi="Calibri" w:cs="Calibri"/>
                <w:sz w:val="20"/>
                <w:szCs w:val="20"/>
              </w:rPr>
              <w:t>,</w:t>
            </w:r>
            <w:r w:rsidRPr="002E5BD7">
              <w:rPr>
                <w:rFonts w:ascii="Calibri" w:eastAsia="MS Mincho" w:hAnsi="Calibri" w:cs="Calibri"/>
                <w:spacing w:val="1"/>
                <w:sz w:val="20"/>
                <w:szCs w:val="20"/>
              </w:rPr>
              <w:t xml:space="preserve"> 9.3)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29D9D"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z w:val="20"/>
                <w:szCs w:val="20"/>
              </w:rPr>
              <w:t>8</w:t>
            </w:r>
            <w:r w:rsidRPr="002E5BD7">
              <w:rPr>
                <w:rFonts w:ascii="Calibri" w:eastAsia="MS Mincho" w:hAnsi="Calibri" w:cs="Calibri"/>
                <w:spacing w:val="1"/>
                <w:sz w:val="20"/>
                <w:szCs w:val="20"/>
              </w:rPr>
              <w:t xml:space="preserve"> </w:t>
            </w:r>
            <w:r w:rsidRPr="002E5BD7">
              <w:rPr>
                <w:rFonts w:ascii="Calibri" w:eastAsia="MS Mincho" w:hAnsi="Calibri" w:cs="Calibri"/>
                <w:sz w:val="20"/>
                <w:szCs w:val="20"/>
              </w:rPr>
              <w:t>(23)</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59110" w14:textId="77777777" w:rsidR="008C4EFA" w:rsidRPr="002E5BD7" w:rsidRDefault="008C4EFA" w:rsidP="00827699">
            <w:pPr>
              <w:autoSpaceDE w:val="0"/>
              <w:autoSpaceDN w:val="0"/>
              <w:adjustRightInd w:val="0"/>
              <w:spacing w:before="0" w:after="0" w:line="240" w:lineRule="auto"/>
              <w:jc w:val="center"/>
              <w:rPr>
                <w:rFonts w:ascii="Calibri" w:eastAsia="MS Mincho" w:hAnsi="Calibri" w:cs="Calibri"/>
                <w:sz w:val="20"/>
                <w:szCs w:val="20"/>
              </w:rPr>
            </w:pPr>
            <w:r w:rsidRPr="002E5BD7">
              <w:rPr>
                <w:rFonts w:ascii="Calibri" w:eastAsia="MS Mincho" w:hAnsi="Calibri" w:cs="Calibri"/>
                <w:spacing w:val="1"/>
                <w:sz w:val="20"/>
                <w:szCs w:val="20"/>
              </w:rPr>
              <w:t>(0</w:t>
            </w:r>
            <w:r w:rsidRPr="002E5BD7">
              <w:rPr>
                <w:rFonts w:ascii="Calibri" w:eastAsia="MS Mincho" w:hAnsi="Calibri" w:cs="Calibri"/>
                <w:sz w:val="20"/>
                <w:szCs w:val="20"/>
              </w:rPr>
              <w:t>,</w:t>
            </w:r>
            <w:r w:rsidRPr="002E5BD7">
              <w:rPr>
                <w:rFonts w:ascii="Calibri" w:eastAsia="MS Mincho" w:hAnsi="Calibri" w:cs="Calibri"/>
                <w:spacing w:val="1"/>
                <w:sz w:val="20"/>
                <w:szCs w:val="20"/>
              </w:rPr>
              <w:t xml:space="preserve"> 11)</w:t>
            </w:r>
          </w:p>
        </w:tc>
      </w:tr>
    </w:tbl>
    <w:p w14:paraId="4903A7CA" w14:textId="77777777" w:rsidR="008C4EFA" w:rsidRPr="002E5BD7" w:rsidRDefault="008C4EFA" w:rsidP="00703924">
      <w:pPr>
        <w:pStyle w:val="TableDescription"/>
      </w:pPr>
      <w:r w:rsidRPr="002E5BD7">
        <w:t xml:space="preserve">N = Number of participants in each </w:t>
      </w:r>
      <w:proofErr w:type="gramStart"/>
      <w:r w:rsidRPr="002E5BD7">
        <w:t>cohort;</w:t>
      </w:r>
      <w:proofErr w:type="gramEnd"/>
    </w:p>
    <w:p w14:paraId="2C48D83C" w14:textId="77777777" w:rsidR="008C4EFA" w:rsidRPr="002E5BD7" w:rsidRDefault="008C4EFA" w:rsidP="00703924">
      <w:pPr>
        <w:pStyle w:val="TableDescription"/>
      </w:pPr>
      <w:r w:rsidRPr="002E5BD7">
        <w:t>n* = Number of participants contributing data</w:t>
      </w:r>
    </w:p>
    <w:p w14:paraId="019C51AA" w14:textId="77777777" w:rsidR="008C4EFA" w:rsidRPr="002E5BD7" w:rsidRDefault="008C4EFA" w:rsidP="00703924">
      <w:pPr>
        <w:pStyle w:val="TableDescription"/>
      </w:pPr>
      <w:r w:rsidRPr="002E5BD7">
        <w:t>For binary endpoints: n/N with % (95% CI) was reported for each cohort, where n/N=</w:t>
      </w:r>
      <w:proofErr w:type="gramStart"/>
      <w:r w:rsidRPr="002E5BD7">
        <w:t>number</w:t>
      </w:r>
      <w:proofErr w:type="gramEnd"/>
      <w:r w:rsidRPr="002E5BD7">
        <w:t xml:space="preserve"> of responders/number of participants.</w:t>
      </w:r>
    </w:p>
    <w:p w14:paraId="64F58E65" w14:textId="77777777" w:rsidR="008C4EFA" w:rsidRPr="002E5BD7" w:rsidRDefault="008C4EFA" w:rsidP="00703924">
      <w:pPr>
        <w:pStyle w:val="TableDescription"/>
      </w:pPr>
      <w:r w:rsidRPr="002E5BD7">
        <w:t>For continuous endpoints: median changes with the first and third quartiles were reported. Normal distributions were assumed for continuous endpoints.</w:t>
      </w:r>
    </w:p>
    <w:p w14:paraId="3B6495E7" w14:textId="77777777" w:rsidR="008C4EFA" w:rsidRPr="002E5BD7" w:rsidRDefault="008C4EFA" w:rsidP="00703924">
      <w:pPr>
        <w:pStyle w:val="TableDescription"/>
      </w:pPr>
      <w:r w:rsidRPr="002E5BD7">
        <w:t>Snapshot algorithm was used in the RNA analyses.</w:t>
      </w:r>
    </w:p>
    <w:p w14:paraId="1CD7A2BA" w14:textId="1A0274C9" w:rsidR="008C4EFA" w:rsidRPr="002E5BD7" w:rsidRDefault="008C4EFA" w:rsidP="00703924">
      <w:pPr>
        <w:pStyle w:val="TableDescription"/>
      </w:pPr>
      <w:r w:rsidRPr="002E5BD7">
        <w:t>Failures include participants with missing data due to discontinuation of study for lack of efficacy, change in the background regimen, change in ART without the consent of the Protocol Team, and discontinuation for non-treatment related reasons with the last HIV RNA ≥ 400/50/LLQ c</w:t>
      </w:r>
      <w:r w:rsidR="00703924">
        <w:t>opies</w:t>
      </w:r>
      <w:r w:rsidRPr="002E5BD7">
        <w:t>/</w:t>
      </w:r>
      <w:proofErr w:type="spellStart"/>
      <w:r w:rsidRPr="002E5BD7">
        <w:t>mL.</w:t>
      </w:r>
      <w:proofErr w:type="spellEnd"/>
    </w:p>
    <w:p w14:paraId="178A6AF3" w14:textId="6EE09B79" w:rsidR="008C4EFA" w:rsidRPr="002E5BD7" w:rsidRDefault="008C4EFA" w:rsidP="00703924">
      <w:pPr>
        <w:pStyle w:val="TableDescription"/>
      </w:pPr>
      <w:r w:rsidRPr="002E5BD7">
        <w:t>a Results of &lt;</w:t>
      </w:r>
      <w:r w:rsidR="00703924">
        <w:t xml:space="preserve"> </w:t>
      </w:r>
      <w:r w:rsidRPr="002E5BD7">
        <w:t>200 c</w:t>
      </w:r>
      <w:r w:rsidR="00703924">
        <w:t>opies</w:t>
      </w:r>
      <w:r w:rsidRPr="002E5BD7">
        <w:t>/mL from HIV-1 RNA testing using a</w:t>
      </w:r>
      <w:r w:rsidR="00AF5CB0">
        <w:t xml:space="preserve"> lower limit of determination </w:t>
      </w:r>
      <w:r w:rsidRPr="002E5BD7">
        <w:t>of 200</w:t>
      </w:r>
      <w:r w:rsidR="00AF5CB0">
        <w:t> </w:t>
      </w:r>
      <w:r w:rsidRPr="002E5BD7">
        <w:t>c</w:t>
      </w:r>
      <w:r w:rsidR="00AF5CB0">
        <w:t>opies</w:t>
      </w:r>
      <w:r w:rsidRPr="002E5BD7">
        <w:t>/mL were censored to &gt;</w:t>
      </w:r>
      <w:r w:rsidR="00703924">
        <w:t> 50 </w:t>
      </w:r>
      <w:r w:rsidRPr="002E5BD7">
        <w:t>c</w:t>
      </w:r>
      <w:r w:rsidR="00703924">
        <w:t>opies</w:t>
      </w:r>
      <w:r w:rsidRPr="002E5BD7">
        <w:t>/mL in this analysis</w:t>
      </w:r>
    </w:p>
    <w:p w14:paraId="21404BC3" w14:textId="625E8520" w:rsidR="002161FA" w:rsidRDefault="002161FA" w:rsidP="00703924">
      <w:pPr>
        <w:pStyle w:val="Tabletitle0"/>
      </w:pPr>
      <w:r>
        <w:lastRenderedPageBreak/>
        <w:t xml:space="preserve">Table </w:t>
      </w:r>
      <w:r w:rsidR="00D174B5">
        <w:fldChar w:fldCharType="begin"/>
      </w:r>
      <w:r w:rsidR="00D174B5">
        <w:instrText xml:space="preserve"> SEQ Table \* ARABIC </w:instrText>
      </w:r>
      <w:r w:rsidR="00D174B5">
        <w:fldChar w:fldCharType="separate"/>
      </w:r>
      <w:r w:rsidR="004D0F54">
        <w:rPr>
          <w:noProof/>
        </w:rPr>
        <w:t>4</w:t>
      </w:r>
      <w:r w:rsidR="00D174B5">
        <w:rPr>
          <w:noProof/>
        </w:rPr>
        <w:fldChar w:fldCharType="end"/>
      </w:r>
      <w:r w:rsidR="00BF5180">
        <w:t>: Study ING112578</w:t>
      </w:r>
      <w:r>
        <w:t xml:space="preserve"> </w:t>
      </w:r>
      <w:r w:rsidR="00BF5180">
        <w:t>O</w:t>
      </w:r>
      <w:r>
        <w:t>utcomes based on plasma HIV-1 RNA &lt;</w:t>
      </w:r>
      <w:r w:rsidR="00BF5180">
        <w:t xml:space="preserve"> </w:t>
      </w:r>
      <w:r>
        <w:t>50 c</w:t>
      </w:r>
      <w:r w:rsidR="00BF5180">
        <w:t>opies/mL</w:t>
      </w:r>
      <w:r>
        <w:t xml:space="preserve"> </w:t>
      </w:r>
      <w:r w:rsidR="00BF5180">
        <w:t>(</w:t>
      </w:r>
      <w:r>
        <w:t xml:space="preserve">Proposed </w:t>
      </w:r>
      <w:r w:rsidR="00BF5180">
        <w:t>dose efficacy population; snapshot a</w:t>
      </w:r>
      <w:r>
        <w:t>nalysis)</w:t>
      </w:r>
    </w:p>
    <w:tbl>
      <w:tblPr>
        <w:tblW w:w="85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28"/>
        <w:gridCol w:w="1755"/>
        <w:gridCol w:w="1472"/>
      </w:tblGrid>
      <w:tr w:rsidR="008C4EFA" w:rsidRPr="00B84A1A" w14:paraId="313ADE5F" w14:textId="77777777" w:rsidTr="002161FA">
        <w:trPr>
          <w:trHeight w:hRule="exact" w:val="510"/>
        </w:trPr>
        <w:tc>
          <w:tcPr>
            <w:tcW w:w="5328" w:type="dxa"/>
          </w:tcPr>
          <w:p w14:paraId="31D6FE70" w14:textId="77777777" w:rsidR="008C4EFA" w:rsidRPr="00B84A1A" w:rsidRDefault="008C4EFA" w:rsidP="00703924">
            <w:pPr>
              <w:keepNext/>
              <w:autoSpaceDE w:val="0"/>
              <w:autoSpaceDN w:val="0"/>
              <w:adjustRightInd w:val="0"/>
              <w:spacing w:before="0" w:after="0" w:line="240" w:lineRule="auto"/>
              <w:rPr>
                <w:rFonts w:ascii="Calibri" w:eastAsia="MS Mincho" w:hAnsi="Calibri" w:cs="Calibri"/>
                <w:sz w:val="20"/>
                <w:szCs w:val="20"/>
              </w:rPr>
            </w:pPr>
          </w:p>
        </w:tc>
        <w:tc>
          <w:tcPr>
            <w:tcW w:w="1755" w:type="dxa"/>
            <w:vAlign w:val="center"/>
          </w:tcPr>
          <w:p w14:paraId="1FEBD1AD" w14:textId="77777777" w:rsidR="008C4EFA" w:rsidRPr="00B84A1A" w:rsidRDefault="008C4EFA" w:rsidP="00703924">
            <w:pPr>
              <w:keepNext/>
              <w:autoSpaceDE w:val="0"/>
              <w:autoSpaceDN w:val="0"/>
              <w:adjustRightInd w:val="0"/>
              <w:spacing w:before="0" w:after="0" w:line="240" w:lineRule="auto"/>
              <w:ind w:left="-42"/>
              <w:jc w:val="center"/>
              <w:rPr>
                <w:rFonts w:ascii="Calibri" w:eastAsia="MS Mincho" w:hAnsi="Calibri" w:cs="Calibri"/>
                <w:b/>
                <w:sz w:val="20"/>
                <w:szCs w:val="20"/>
              </w:rPr>
            </w:pPr>
            <w:r w:rsidRPr="00B84A1A">
              <w:rPr>
                <w:rFonts w:ascii="Calibri" w:eastAsia="MS Mincho" w:hAnsi="Calibri" w:cs="Calibri"/>
                <w:b/>
                <w:sz w:val="20"/>
                <w:szCs w:val="20"/>
              </w:rPr>
              <w:t>Week</w:t>
            </w:r>
            <w:r w:rsidRPr="00B84A1A">
              <w:rPr>
                <w:rFonts w:ascii="Calibri" w:eastAsia="MS Mincho" w:hAnsi="Calibri" w:cs="Calibri"/>
                <w:b/>
                <w:spacing w:val="10"/>
                <w:sz w:val="20"/>
                <w:szCs w:val="20"/>
              </w:rPr>
              <w:t xml:space="preserve"> </w:t>
            </w:r>
            <w:r w:rsidRPr="00B84A1A">
              <w:rPr>
                <w:rFonts w:ascii="Calibri" w:eastAsia="MS Mincho" w:hAnsi="Calibri" w:cs="Calibri"/>
                <w:b/>
                <w:sz w:val="20"/>
                <w:szCs w:val="20"/>
              </w:rPr>
              <w:t>24</w:t>
            </w:r>
          </w:p>
          <w:p w14:paraId="34D79C29" w14:textId="77777777" w:rsidR="008C4EFA" w:rsidRPr="00B84A1A" w:rsidRDefault="008C4EFA" w:rsidP="00703924">
            <w:pPr>
              <w:keepNext/>
              <w:autoSpaceDE w:val="0"/>
              <w:autoSpaceDN w:val="0"/>
              <w:adjustRightInd w:val="0"/>
              <w:spacing w:before="0" w:after="0" w:line="240" w:lineRule="auto"/>
              <w:ind w:left="-42"/>
              <w:jc w:val="center"/>
              <w:rPr>
                <w:rFonts w:ascii="Calibri" w:eastAsia="MS Mincho" w:hAnsi="Calibri" w:cs="Calibri"/>
                <w:b/>
                <w:sz w:val="20"/>
                <w:szCs w:val="20"/>
              </w:rPr>
            </w:pPr>
            <w:r w:rsidRPr="00B84A1A">
              <w:rPr>
                <w:rFonts w:ascii="Calibri" w:eastAsia="MS Mincho" w:hAnsi="Calibri" w:cs="Calibri"/>
                <w:b/>
                <w:sz w:val="20"/>
                <w:szCs w:val="20"/>
              </w:rPr>
              <w:t>N=58 n</w:t>
            </w:r>
            <w:r w:rsidRPr="00B84A1A">
              <w:rPr>
                <w:rFonts w:ascii="Calibri" w:eastAsia="MS Mincho" w:hAnsi="Calibri" w:cs="Calibri"/>
                <w:b/>
                <w:spacing w:val="10"/>
                <w:sz w:val="20"/>
                <w:szCs w:val="20"/>
              </w:rPr>
              <w:t xml:space="preserve"> </w:t>
            </w:r>
            <w:r w:rsidRPr="00B84A1A">
              <w:rPr>
                <w:rFonts w:ascii="Calibri" w:eastAsia="MS Mincho" w:hAnsi="Calibri" w:cs="Calibri"/>
                <w:b/>
                <w:sz w:val="20"/>
                <w:szCs w:val="20"/>
              </w:rPr>
              <w:t>(%)</w:t>
            </w:r>
          </w:p>
        </w:tc>
        <w:tc>
          <w:tcPr>
            <w:tcW w:w="1472" w:type="dxa"/>
            <w:vAlign w:val="center"/>
          </w:tcPr>
          <w:p w14:paraId="4E8EA138" w14:textId="77777777" w:rsidR="008C4EFA" w:rsidRPr="00B84A1A" w:rsidRDefault="008C4EFA" w:rsidP="00703924">
            <w:pPr>
              <w:keepNext/>
              <w:autoSpaceDE w:val="0"/>
              <w:autoSpaceDN w:val="0"/>
              <w:adjustRightInd w:val="0"/>
              <w:spacing w:before="0" w:after="0" w:line="240" w:lineRule="auto"/>
              <w:ind w:left="-42"/>
              <w:jc w:val="center"/>
              <w:rPr>
                <w:rFonts w:ascii="Calibri" w:eastAsia="MS Mincho" w:hAnsi="Calibri" w:cs="Calibri"/>
                <w:b/>
                <w:sz w:val="20"/>
                <w:szCs w:val="20"/>
              </w:rPr>
            </w:pPr>
            <w:r w:rsidRPr="00B84A1A">
              <w:rPr>
                <w:rFonts w:ascii="Calibri" w:eastAsia="MS Mincho" w:hAnsi="Calibri" w:cs="Calibri"/>
                <w:b/>
                <w:sz w:val="20"/>
                <w:szCs w:val="20"/>
              </w:rPr>
              <w:t>Week</w:t>
            </w:r>
            <w:r w:rsidRPr="00B84A1A">
              <w:rPr>
                <w:rFonts w:ascii="Calibri" w:eastAsia="MS Mincho" w:hAnsi="Calibri" w:cs="Calibri"/>
                <w:b/>
                <w:spacing w:val="10"/>
                <w:sz w:val="20"/>
                <w:szCs w:val="20"/>
              </w:rPr>
              <w:t xml:space="preserve"> </w:t>
            </w:r>
            <w:r w:rsidRPr="00B84A1A">
              <w:rPr>
                <w:rFonts w:ascii="Calibri" w:eastAsia="MS Mincho" w:hAnsi="Calibri" w:cs="Calibri"/>
                <w:b/>
                <w:sz w:val="20"/>
                <w:szCs w:val="20"/>
              </w:rPr>
              <w:t>48</w:t>
            </w:r>
          </w:p>
          <w:p w14:paraId="50CBB064" w14:textId="77777777" w:rsidR="008C4EFA" w:rsidRPr="00B84A1A" w:rsidRDefault="008C4EFA" w:rsidP="00703924">
            <w:pPr>
              <w:keepNext/>
              <w:autoSpaceDE w:val="0"/>
              <w:autoSpaceDN w:val="0"/>
              <w:adjustRightInd w:val="0"/>
              <w:spacing w:before="0" w:after="0" w:line="240" w:lineRule="auto"/>
              <w:ind w:left="-42"/>
              <w:jc w:val="center"/>
              <w:rPr>
                <w:rFonts w:ascii="Calibri" w:eastAsia="MS Mincho" w:hAnsi="Calibri" w:cs="Calibri"/>
                <w:b/>
                <w:sz w:val="20"/>
                <w:szCs w:val="20"/>
              </w:rPr>
            </w:pPr>
            <w:r w:rsidRPr="00B84A1A">
              <w:rPr>
                <w:rFonts w:ascii="Calibri" w:eastAsia="MS Mincho" w:hAnsi="Calibri" w:cs="Calibri"/>
                <w:b/>
                <w:sz w:val="20"/>
                <w:szCs w:val="20"/>
              </w:rPr>
              <w:t>N=24 n</w:t>
            </w:r>
            <w:r w:rsidRPr="00B84A1A">
              <w:rPr>
                <w:rFonts w:ascii="Calibri" w:eastAsia="MS Mincho" w:hAnsi="Calibri" w:cs="Calibri"/>
                <w:b/>
                <w:spacing w:val="10"/>
                <w:sz w:val="20"/>
                <w:szCs w:val="20"/>
              </w:rPr>
              <w:t xml:space="preserve"> </w:t>
            </w:r>
            <w:r w:rsidRPr="00B84A1A">
              <w:rPr>
                <w:rFonts w:ascii="Calibri" w:eastAsia="MS Mincho" w:hAnsi="Calibri" w:cs="Calibri"/>
                <w:b/>
                <w:sz w:val="20"/>
                <w:szCs w:val="20"/>
              </w:rPr>
              <w:t>(%)</w:t>
            </w:r>
          </w:p>
        </w:tc>
      </w:tr>
      <w:tr w:rsidR="008C4EFA" w:rsidRPr="00B84A1A" w14:paraId="36DB20FD" w14:textId="77777777" w:rsidTr="002161FA">
        <w:trPr>
          <w:trHeight w:hRule="exact" w:val="286"/>
        </w:trPr>
        <w:tc>
          <w:tcPr>
            <w:tcW w:w="5328" w:type="dxa"/>
            <w:vAlign w:val="center"/>
          </w:tcPr>
          <w:p w14:paraId="3A71A785" w14:textId="77777777" w:rsidR="008C4EFA" w:rsidRPr="00B84A1A" w:rsidRDefault="008C4EFA" w:rsidP="00703924">
            <w:pPr>
              <w:keepNext/>
              <w:autoSpaceDE w:val="0"/>
              <w:autoSpaceDN w:val="0"/>
              <w:adjustRightInd w:val="0"/>
              <w:spacing w:before="0" w:after="0" w:line="240" w:lineRule="auto"/>
              <w:ind w:left="102" w:right="-20"/>
              <w:rPr>
                <w:rFonts w:ascii="Calibri" w:eastAsia="MS Mincho" w:hAnsi="Calibri" w:cs="Calibri"/>
                <w:w w:val="107"/>
                <w:sz w:val="20"/>
                <w:szCs w:val="20"/>
              </w:rPr>
            </w:pPr>
            <w:r w:rsidRPr="00B84A1A">
              <w:rPr>
                <w:rFonts w:ascii="Calibri" w:eastAsia="MS Mincho" w:hAnsi="Calibri" w:cs="Calibri"/>
                <w:w w:val="107"/>
                <w:sz w:val="20"/>
                <w:szCs w:val="20"/>
              </w:rPr>
              <w:t xml:space="preserve">Virologic </w:t>
            </w:r>
            <w:proofErr w:type="spellStart"/>
            <w:r w:rsidRPr="00B84A1A">
              <w:rPr>
                <w:rFonts w:ascii="Calibri" w:eastAsia="MS Mincho" w:hAnsi="Calibri" w:cs="Calibri"/>
                <w:w w:val="107"/>
                <w:sz w:val="20"/>
                <w:szCs w:val="20"/>
              </w:rPr>
              <w:t>Success</w:t>
            </w:r>
            <w:r w:rsidRPr="00B84A1A">
              <w:rPr>
                <w:rFonts w:ascii="Calibri" w:eastAsia="MS Mincho" w:hAnsi="Calibri" w:cs="Calibri"/>
                <w:w w:val="107"/>
                <w:sz w:val="20"/>
                <w:szCs w:val="20"/>
                <w:vertAlign w:val="superscript"/>
              </w:rPr>
              <w:t>a</w:t>
            </w:r>
            <w:proofErr w:type="spellEnd"/>
          </w:p>
        </w:tc>
        <w:tc>
          <w:tcPr>
            <w:tcW w:w="1755" w:type="dxa"/>
            <w:vAlign w:val="center"/>
          </w:tcPr>
          <w:p w14:paraId="35347E52" w14:textId="77777777" w:rsidR="008C4EFA" w:rsidRPr="00B84A1A" w:rsidRDefault="008C4EFA" w:rsidP="00703924">
            <w:pPr>
              <w:keepNext/>
              <w:autoSpaceDE w:val="0"/>
              <w:autoSpaceDN w:val="0"/>
              <w:adjustRightInd w:val="0"/>
              <w:spacing w:before="0" w:after="0" w:line="240" w:lineRule="auto"/>
              <w:ind w:left="-42"/>
              <w:jc w:val="center"/>
              <w:rPr>
                <w:rFonts w:ascii="Calibri" w:eastAsia="MS Mincho" w:hAnsi="Calibri" w:cs="Calibri"/>
                <w:sz w:val="20"/>
                <w:szCs w:val="20"/>
              </w:rPr>
            </w:pPr>
            <w:r w:rsidRPr="00B84A1A">
              <w:rPr>
                <w:rFonts w:ascii="Calibri" w:eastAsia="MS Mincho" w:hAnsi="Calibri" w:cs="Calibri"/>
                <w:sz w:val="20"/>
                <w:szCs w:val="20"/>
              </w:rPr>
              <w:t>36</w:t>
            </w:r>
            <w:r w:rsidRPr="00B84A1A">
              <w:rPr>
                <w:rFonts w:ascii="Calibri" w:eastAsia="MS Mincho" w:hAnsi="Calibri" w:cs="Calibri"/>
                <w:spacing w:val="1"/>
                <w:sz w:val="20"/>
                <w:szCs w:val="20"/>
              </w:rPr>
              <w:t xml:space="preserve"> </w:t>
            </w:r>
            <w:r w:rsidRPr="00B84A1A">
              <w:rPr>
                <w:rFonts w:ascii="Calibri" w:eastAsia="MS Mincho" w:hAnsi="Calibri" w:cs="Calibri"/>
                <w:sz w:val="20"/>
                <w:szCs w:val="20"/>
              </w:rPr>
              <w:t>(62.1)</w:t>
            </w:r>
          </w:p>
        </w:tc>
        <w:tc>
          <w:tcPr>
            <w:tcW w:w="1472" w:type="dxa"/>
            <w:vAlign w:val="center"/>
          </w:tcPr>
          <w:p w14:paraId="39DEE3EF" w14:textId="77777777" w:rsidR="008C4EFA" w:rsidRPr="00B84A1A" w:rsidRDefault="008C4EFA" w:rsidP="00703924">
            <w:pPr>
              <w:keepNext/>
              <w:autoSpaceDE w:val="0"/>
              <w:autoSpaceDN w:val="0"/>
              <w:adjustRightInd w:val="0"/>
              <w:spacing w:before="0" w:after="0" w:line="240" w:lineRule="auto"/>
              <w:ind w:left="-42"/>
              <w:jc w:val="center"/>
              <w:rPr>
                <w:rFonts w:ascii="Calibri" w:eastAsia="MS Mincho" w:hAnsi="Calibri" w:cs="Calibri"/>
                <w:sz w:val="20"/>
                <w:szCs w:val="20"/>
              </w:rPr>
            </w:pPr>
            <w:r w:rsidRPr="00B84A1A">
              <w:rPr>
                <w:rFonts w:ascii="Calibri" w:eastAsia="MS Mincho" w:hAnsi="Calibri" w:cs="Calibri"/>
                <w:sz w:val="20"/>
                <w:szCs w:val="20"/>
              </w:rPr>
              <w:t>16</w:t>
            </w:r>
            <w:r w:rsidRPr="00B84A1A">
              <w:rPr>
                <w:rFonts w:ascii="Calibri" w:eastAsia="MS Mincho" w:hAnsi="Calibri" w:cs="Calibri"/>
                <w:spacing w:val="1"/>
                <w:sz w:val="20"/>
                <w:szCs w:val="20"/>
              </w:rPr>
              <w:t xml:space="preserve"> </w:t>
            </w:r>
            <w:r w:rsidRPr="00B84A1A">
              <w:rPr>
                <w:rFonts w:ascii="Calibri" w:eastAsia="MS Mincho" w:hAnsi="Calibri" w:cs="Calibri"/>
                <w:sz w:val="20"/>
                <w:szCs w:val="20"/>
              </w:rPr>
              <w:t>(66.7)</w:t>
            </w:r>
          </w:p>
        </w:tc>
      </w:tr>
      <w:tr w:rsidR="008C4EFA" w:rsidRPr="00B84A1A" w14:paraId="525E9E2A" w14:textId="77777777" w:rsidTr="002161FA">
        <w:trPr>
          <w:trHeight w:hRule="exact" w:val="286"/>
        </w:trPr>
        <w:tc>
          <w:tcPr>
            <w:tcW w:w="5328" w:type="dxa"/>
            <w:vAlign w:val="center"/>
          </w:tcPr>
          <w:p w14:paraId="0F8D6999" w14:textId="77777777" w:rsidR="008C4EFA" w:rsidRPr="00B84A1A" w:rsidRDefault="008C4EFA" w:rsidP="00703924">
            <w:pPr>
              <w:keepNext/>
              <w:autoSpaceDE w:val="0"/>
              <w:autoSpaceDN w:val="0"/>
              <w:adjustRightInd w:val="0"/>
              <w:spacing w:before="0" w:after="0" w:line="240" w:lineRule="auto"/>
              <w:ind w:left="102" w:right="-20"/>
              <w:rPr>
                <w:rFonts w:ascii="Calibri" w:eastAsia="MS Mincho" w:hAnsi="Calibri" w:cs="Calibri"/>
                <w:w w:val="107"/>
                <w:sz w:val="20"/>
                <w:szCs w:val="20"/>
              </w:rPr>
            </w:pPr>
            <w:r w:rsidRPr="00B84A1A">
              <w:rPr>
                <w:rFonts w:ascii="Calibri" w:eastAsia="MS Mincho" w:hAnsi="Calibri" w:cs="Calibri"/>
                <w:w w:val="107"/>
                <w:sz w:val="20"/>
                <w:szCs w:val="20"/>
              </w:rPr>
              <w:t xml:space="preserve">Virological </w:t>
            </w:r>
            <w:proofErr w:type="spellStart"/>
            <w:r w:rsidRPr="00B84A1A">
              <w:rPr>
                <w:rFonts w:ascii="Calibri" w:eastAsia="MS Mincho" w:hAnsi="Calibri" w:cs="Calibri"/>
                <w:w w:val="107"/>
                <w:sz w:val="20"/>
                <w:szCs w:val="20"/>
              </w:rPr>
              <w:t>Failure</w:t>
            </w:r>
            <w:r w:rsidRPr="00B84A1A">
              <w:rPr>
                <w:rFonts w:ascii="Calibri" w:eastAsia="MS Mincho" w:hAnsi="Calibri" w:cs="Calibri"/>
                <w:w w:val="107"/>
                <w:sz w:val="20"/>
                <w:szCs w:val="20"/>
                <w:vertAlign w:val="superscript"/>
              </w:rPr>
              <w:t>b</w:t>
            </w:r>
            <w:proofErr w:type="spellEnd"/>
          </w:p>
        </w:tc>
        <w:tc>
          <w:tcPr>
            <w:tcW w:w="1755" w:type="dxa"/>
            <w:vAlign w:val="center"/>
          </w:tcPr>
          <w:p w14:paraId="3F18C456" w14:textId="77777777" w:rsidR="008C4EFA" w:rsidRPr="00B84A1A" w:rsidRDefault="008C4EFA" w:rsidP="00703924">
            <w:pPr>
              <w:keepNext/>
              <w:autoSpaceDE w:val="0"/>
              <w:autoSpaceDN w:val="0"/>
              <w:adjustRightInd w:val="0"/>
              <w:spacing w:before="0" w:after="0" w:line="240" w:lineRule="auto"/>
              <w:ind w:left="-42"/>
              <w:jc w:val="center"/>
              <w:rPr>
                <w:rFonts w:ascii="Calibri" w:eastAsia="MS Mincho" w:hAnsi="Calibri" w:cs="Calibri"/>
                <w:sz w:val="20"/>
                <w:szCs w:val="20"/>
              </w:rPr>
            </w:pPr>
            <w:r w:rsidRPr="00B84A1A">
              <w:rPr>
                <w:rFonts w:ascii="Calibri" w:eastAsia="MS Mincho" w:hAnsi="Calibri" w:cs="Calibri"/>
                <w:sz w:val="20"/>
                <w:szCs w:val="20"/>
              </w:rPr>
              <w:t>22</w:t>
            </w:r>
            <w:r w:rsidRPr="00B84A1A">
              <w:rPr>
                <w:rFonts w:ascii="Calibri" w:eastAsia="MS Mincho" w:hAnsi="Calibri" w:cs="Calibri"/>
                <w:spacing w:val="1"/>
                <w:sz w:val="20"/>
                <w:szCs w:val="20"/>
              </w:rPr>
              <w:t xml:space="preserve"> </w:t>
            </w:r>
            <w:r w:rsidRPr="00B84A1A">
              <w:rPr>
                <w:rFonts w:ascii="Calibri" w:eastAsia="MS Mincho" w:hAnsi="Calibri" w:cs="Calibri"/>
                <w:sz w:val="20"/>
                <w:szCs w:val="20"/>
              </w:rPr>
              <w:t>(37.9)</w:t>
            </w:r>
          </w:p>
        </w:tc>
        <w:tc>
          <w:tcPr>
            <w:tcW w:w="1472" w:type="dxa"/>
            <w:vAlign w:val="center"/>
          </w:tcPr>
          <w:p w14:paraId="3430E219" w14:textId="77777777" w:rsidR="008C4EFA" w:rsidRPr="00B84A1A" w:rsidRDefault="008C4EFA" w:rsidP="00703924">
            <w:pPr>
              <w:keepNext/>
              <w:autoSpaceDE w:val="0"/>
              <w:autoSpaceDN w:val="0"/>
              <w:adjustRightInd w:val="0"/>
              <w:spacing w:before="0" w:after="0" w:line="240" w:lineRule="auto"/>
              <w:ind w:left="-42"/>
              <w:jc w:val="center"/>
              <w:rPr>
                <w:rFonts w:ascii="Calibri" w:eastAsia="MS Mincho" w:hAnsi="Calibri" w:cs="Calibri"/>
                <w:sz w:val="20"/>
                <w:szCs w:val="20"/>
              </w:rPr>
            </w:pPr>
            <w:r w:rsidRPr="00B84A1A">
              <w:rPr>
                <w:rFonts w:ascii="Calibri" w:eastAsia="MS Mincho" w:hAnsi="Calibri" w:cs="Calibri"/>
                <w:sz w:val="20"/>
                <w:szCs w:val="20"/>
              </w:rPr>
              <w:t>8 (33.3)</w:t>
            </w:r>
          </w:p>
        </w:tc>
      </w:tr>
      <w:tr w:rsidR="008C4EFA" w:rsidRPr="00B84A1A" w14:paraId="41184C28" w14:textId="77777777" w:rsidTr="002161FA">
        <w:trPr>
          <w:trHeight w:hRule="exact" w:val="283"/>
        </w:trPr>
        <w:tc>
          <w:tcPr>
            <w:tcW w:w="5328" w:type="dxa"/>
            <w:vAlign w:val="center"/>
          </w:tcPr>
          <w:p w14:paraId="12E69D3C" w14:textId="77777777" w:rsidR="008C4EFA" w:rsidRPr="00B84A1A" w:rsidRDefault="008C4EFA" w:rsidP="00703924">
            <w:pPr>
              <w:keepNext/>
              <w:autoSpaceDE w:val="0"/>
              <w:autoSpaceDN w:val="0"/>
              <w:adjustRightInd w:val="0"/>
              <w:spacing w:before="0" w:after="0" w:line="240" w:lineRule="auto"/>
              <w:ind w:left="282" w:right="-20"/>
              <w:rPr>
                <w:rFonts w:ascii="Calibri" w:eastAsia="MS Mincho" w:hAnsi="Calibri" w:cs="Calibri"/>
                <w:sz w:val="20"/>
                <w:szCs w:val="20"/>
              </w:rPr>
            </w:pPr>
            <w:r w:rsidRPr="00B84A1A">
              <w:rPr>
                <w:rFonts w:ascii="Calibri" w:eastAsia="MS Mincho" w:hAnsi="Calibri" w:cs="Calibri"/>
                <w:sz w:val="20"/>
                <w:szCs w:val="20"/>
              </w:rPr>
              <w:t>Data in window not below threshold</w:t>
            </w:r>
          </w:p>
        </w:tc>
        <w:tc>
          <w:tcPr>
            <w:tcW w:w="1755" w:type="dxa"/>
            <w:vAlign w:val="center"/>
          </w:tcPr>
          <w:p w14:paraId="342AB075" w14:textId="77777777" w:rsidR="008C4EFA" w:rsidRPr="00B84A1A" w:rsidRDefault="008C4EFA" w:rsidP="00703924">
            <w:pPr>
              <w:keepNext/>
              <w:autoSpaceDE w:val="0"/>
              <w:autoSpaceDN w:val="0"/>
              <w:adjustRightInd w:val="0"/>
              <w:spacing w:before="0" w:after="0" w:line="240" w:lineRule="auto"/>
              <w:ind w:left="-42"/>
              <w:jc w:val="center"/>
              <w:rPr>
                <w:rFonts w:ascii="Calibri" w:eastAsia="MS Mincho" w:hAnsi="Calibri" w:cs="Calibri"/>
                <w:sz w:val="20"/>
                <w:szCs w:val="20"/>
              </w:rPr>
            </w:pPr>
            <w:r w:rsidRPr="00B84A1A">
              <w:rPr>
                <w:rFonts w:ascii="Calibri" w:eastAsia="MS Mincho" w:hAnsi="Calibri" w:cs="Calibri"/>
                <w:sz w:val="20"/>
                <w:szCs w:val="20"/>
              </w:rPr>
              <w:t>22</w:t>
            </w:r>
            <w:r w:rsidRPr="00B84A1A">
              <w:rPr>
                <w:rFonts w:ascii="Calibri" w:eastAsia="MS Mincho" w:hAnsi="Calibri" w:cs="Calibri"/>
                <w:spacing w:val="1"/>
                <w:sz w:val="20"/>
                <w:szCs w:val="20"/>
              </w:rPr>
              <w:t xml:space="preserve"> </w:t>
            </w:r>
            <w:r w:rsidRPr="00B84A1A">
              <w:rPr>
                <w:rFonts w:ascii="Calibri" w:eastAsia="MS Mincho" w:hAnsi="Calibri" w:cs="Calibri"/>
                <w:sz w:val="20"/>
                <w:szCs w:val="20"/>
              </w:rPr>
              <w:t>(37.9)</w:t>
            </w:r>
          </w:p>
        </w:tc>
        <w:tc>
          <w:tcPr>
            <w:tcW w:w="1472" w:type="dxa"/>
            <w:vAlign w:val="center"/>
          </w:tcPr>
          <w:p w14:paraId="64C0520B" w14:textId="77777777" w:rsidR="008C4EFA" w:rsidRPr="00B84A1A" w:rsidRDefault="008C4EFA" w:rsidP="00703924">
            <w:pPr>
              <w:keepNext/>
              <w:autoSpaceDE w:val="0"/>
              <w:autoSpaceDN w:val="0"/>
              <w:adjustRightInd w:val="0"/>
              <w:spacing w:before="0" w:after="0" w:line="240" w:lineRule="auto"/>
              <w:ind w:left="-42"/>
              <w:jc w:val="center"/>
              <w:rPr>
                <w:rFonts w:ascii="Calibri" w:eastAsia="MS Mincho" w:hAnsi="Calibri" w:cs="Calibri"/>
                <w:sz w:val="20"/>
                <w:szCs w:val="20"/>
              </w:rPr>
            </w:pPr>
            <w:r w:rsidRPr="00B84A1A">
              <w:rPr>
                <w:rFonts w:ascii="Calibri" w:eastAsia="MS Mincho" w:hAnsi="Calibri" w:cs="Calibri"/>
                <w:sz w:val="20"/>
                <w:szCs w:val="20"/>
              </w:rPr>
              <w:t>6</w:t>
            </w:r>
            <w:r w:rsidRPr="00B84A1A">
              <w:rPr>
                <w:rFonts w:ascii="Calibri" w:eastAsia="MS Mincho" w:hAnsi="Calibri" w:cs="Calibri"/>
                <w:spacing w:val="1"/>
                <w:sz w:val="20"/>
                <w:szCs w:val="20"/>
              </w:rPr>
              <w:t xml:space="preserve"> (25)</w:t>
            </w:r>
          </w:p>
        </w:tc>
      </w:tr>
      <w:tr w:rsidR="008C4EFA" w:rsidRPr="00B84A1A" w14:paraId="0E17C4ED" w14:textId="77777777" w:rsidTr="002161FA">
        <w:trPr>
          <w:trHeight w:hRule="exact" w:val="286"/>
        </w:trPr>
        <w:tc>
          <w:tcPr>
            <w:tcW w:w="5328" w:type="dxa"/>
            <w:vAlign w:val="center"/>
          </w:tcPr>
          <w:p w14:paraId="5C2E8467" w14:textId="77777777" w:rsidR="008C4EFA" w:rsidRPr="00B84A1A" w:rsidRDefault="008C4EFA" w:rsidP="00703924">
            <w:pPr>
              <w:keepNext/>
              <w:autoSpaceDE w:val="0"/>
              <w:autoSpaceDN w:val="0"/>
              <w:adjustRightInd w:val="0"/>
              <w:spacing w:before="0" w:after="0" w:line="240" w:lineRule="auto"/>
              <w:ind w:left="282" w:right="-20"/>
              <w:rPr>
                <w:rFonts w:ascii="Calibri" w:eastAsia="MS Mincho" w:hAnsi="Calibri" w:cs="Calibri"/>
                <w:sz w:val="20"/>
                <w:szCs w:val="20"/>
              </w:rPr>
            </w:pPr>
            <w:r w:rsidRPr="00B84A1A">
              <w:rPr>
                <w:rFonts w:ascii="Calibri" w:eastAsia="MS Mincho" w:hAnsi="Calibri" w:cs="Calibri"/>
                <w:sz w:val="20"/>
                <w:szCs w:val="20"/>
              </w:rPr>
              <w:t>Discontinued while not below threshold</w:t>
            </w:r>
          </w:p>
        </w:tc>
        <w:tc>
          <w:tcPr>
            <w:tcW w:w="1755" w:type="dxa"/>
            <w:vAlign w:val="center"/>
          </w:tcPr>
          <w:p w14:paraId="7F9A5681" w14:textId="77777777" w:rsidR="008C4EFA" w:rsidRPr="00B84A1A" w:rsidRDefault="008C4EFA" w:rsidP="00703924">
            <w:pPr>
              <w:keepNext/>
              <w:autoSpaceDE w:val="0"/>
              <w:autoSpaceDN w:val="0"/>
              <w:adjustRightInd w:val="0"/>
              <w:spacing w:before="0" w:after="0" w:line="240" w:lineRule="auto"/>
              <w:ind w:left="-42"/>
              <w:jc w:val="center"/>
              <w:rPr>
                <w:rFonts w:ascii="Calibri" w:eastAsia="MS Mincho" w:hAnsi="Calibri" w:cs="Calibri"/>
                <w:sz w:val="20"/>
                <w:szCs w:val="20"/>
              </w:rPr>
            </w:pPr>
            <w:r w:rsidRPr="00B84A1A">
              <w:rPr>
                <w:rFonts w:ascii="Calibri" w:eastAsia="MS Mincho" w:hAnsi="Calibri" w:cs="Calibri"/>
                <w:sz w:val="20"/>
                <w:szCs w:val="20"/>
              </w:rPr>
              <w:t>0</w:t>
            </w:r>
          </w:p>
        </w:tc>
        <w:tc>
          <w:tcPr>
            <w:tcW w:w="1472" w:type="dxa"/>
            <w:vAlign w:val="center"/>
          </w:tcPr>
          <w:p w14:paraId="5EF59310" w14:textId="77777777" w:rsidR="008C4EFA" w:rsidRPr="00B84A1A" w:rsidRDefault="008C4EFA" w:rsidP="00703924">
            <w:pPr>
              <w:keepNext/>
              <w:autoSpaceDE w:val="0"/>
              <w:autoSpaceDN w:val="0"/>
              <w:adjustRightInd w:val="0"/>
              <w:spacing w:before="0" w:after="0" w:line="240" w:lineRule="auto"/>
              <w:ind w:left="-42"/>
              <w:jc w:val="center"/>
              <w:rPr>
                <w:rFonts w:ascii="Calibri" w:eastAsia="MS Mincho" w:hAnsi="Calibri" w:cs="Calibri"/>
                <w:sz w:val="20"/>
                <w:szCs w:val="20"/>
              </w:rPr>
            </w:pPr>
            <w:r w:rsidRPr="00B84A1A">
              <w:rPr>
                <w:rFonts w:ascii="Calibri" w:eastAsia="MS Mincho" w:hAnsi="Calibri" w:cs="Calibri"/>
                <w:sz w:val="20"/>
                <w:szCs w:val="20"/>
              </w:rPr>
              <w:t>2</w:t>
            </w:r>
            <w:r w:rsidRPr="00B84A1A">
              <w:rPr>
                <w:rFonts w:ascii="Calibri" w:eastAsia="MS Mincho" w:hAnsi="Calibri" w:cs="Calibri"/>
                <w:spacing w:val="1"/>
                <w:sz w:val="20"/>
                <w:szCs w:val="20"/>
              </w:rPr>
              <w:t xml:space="preserve"> (8.3)</w:t>
            </w:r>
          </w:p>
        </w:tc>
      </w:tr>
      <w:tr w:rsidR="008C4EFA" w:rsidRPr="00B84A1A" w14:paraId="6BE46F1C" w14:textId="77777777" w:rsidTr="002161FA">
        <w:trPr>
          <w:trHeight w:hRule="exact" w:val="286"/>
        </w:trPr>
        <w:tc>
          <w:tcPr>
            <w:tcW w:w="5328" w:type="dxa"/>
            <w:vAlign w:val="center"/>
          </w:tcPr>
          <w:p w14:paraId="40EA7218" w14:textId="77777777" w:rsidR="008C4EFA" w:rsidRPr="00B84A1A" w:rsidRDefault="008C4EFA" w:rsidP="00827699">
            <w:pPr>
              <w:autoSpaceDE w:val="0"/>
              <w:autoSpaceDN w:val="0"/>
              <w:adjustRightInd w:val="0"/>
              <w:spacing w:before="0" w:after="0" w:line="240" w:lineRule="auto"/>
              <w:ind w:left="102" w:right="-20"/>
              <w:rPr>
                <w:rFonts w:ascii="Calibri" w:eastAsia="MS Mincho" w:hAnsi="Calibri" w:cs="Calibri"/>
                <w:sz w:val="20"/>
                <w:szCs w:val="20"/>
              </w:rPr>
            </w:pPr>
            <w:r w:rsidRPr="00B84A1A">
              <w:rPr>
                <w:rFonts w:ascii="Calibri" w:eastAsia="MS Mincho" w:hAnsi="Calibri" w:cs="Calibri"/>
                <w:sz w:val="20"/>
                <w:szCs w:val="20"/>
              </w:rPr>
              <w:t>No</w:t>
            </w:r>
            <w:r w:rsidRPr="00B84A1A">
              <w:rPr>
                <w:rFonts w:ascii="Calibri" w:eastAsia="MS Mincho" w:hAnsi="Calibri" w:cs="Calibri"/>
                <w:spacing w:val="10"/>
                <w:sz w:val="20"/>
                <w:szCs w:val="20"/>
              </w:rPr>
              <w:t xml:space="preserve"> </w:t>
            </w:r>
            <w:r w:rsidRPr="00B84A1A">
              <w:rPr>
                <w:rFonts w:ascii="Calibri" w:eastAsia="MS Mincho" w:hAnsi="Calibri" w:cs="Calibri"/>
                <w:w w:val="106"/>
                <w:sz w:val="20"/>
                <w:szCs w:val="20"/>
              </w:rPr>
              <w:t>Virologic</w:t>
            </w:r>
            <w:r w:rsidRPr="00B84A1A">
              <w:rPr>
                <w:rFonts w:ascii="Calibri" w:eastAsia="MS Mincho" w:hAnsi="Calibri" w:cs="Calibri"/>
                <w:spacing w:val="34"/>
                <w:w w:val="106"/>
                <w:sz w:val="20"/>
                <w:szCs w:val="20"/>
              </w:rPr>
              <w:t xml:space="preserve"> </w:t>
            </w:r>
            <w:r w:rsidRPr="00B84A1A">
              <w:rPr>
                <w:rFonts w:ascii="Calibri" w:eastAsia="MS Mincho" w:hAnsi="Calibri" w:cs="Calibri"/>
                <w:w w:val="106"/>
                <w:sz w:val="20"/>
                <w:szCs w:val="20"/>
              </w:rPr>
              <w:t>Data</w:t>
            </w:r>
          </w:p>
        </w:tc>
        <w:tc>
          <w:tcPr>
            <w:tcW w:w="1755" w:type="dxa"/>
            <w:vAlign w:val="center"/>
          </w:tcPr>
          <w:p w14:paraId="7D27CCD2" w14:textId="77777777" w:rsidR="008C4EFA" w:rsidRPr="00B84A1A" w:rsidRDefault="008C4EFA" w:rsidP="00827699">
            <w:pPr>
              <w:autoSpaceDE w:val="0"/>
              <w:autoSpaceDN w:val="0"/>
              <w:adjustRightInd w:val="0"/>
              <w:spacing w:before="0" w:after="0" w:line="240" w:lineRule="auto"/>
              <w:ind w:left="-42"/>
              <w:jc w:val="center"/>
              <w:rPr>
                <w:rFonts w:ascii="Calibri" w:eastAsia="MS Mincho" w:hAnsi="Calibri" w:cs="Calibri"/>
                <w:sz w:val="20"/>
                <w:szCs w:val="20"/>
              </w:rPr>
            </w:pPr>
            <w:r w:rsidRPr="00B84A1A">
              <w:rPr>
                <w:rFonts w:ascii="Calibri" w:eastAsia="MS Mincho" w:hAnsi="Calibri" w:cs="Calibri"/>
                <w:sz w:val="20"/>
                <w:szCs w:val="20"/>
              </w:rPr>
              <w:t>0</w:t>
            </w:r>
          </w:p>
        </w:tc>
        <w:tc>
          <w:tcPr>
            <w:tcW w:w="1472" w:type="dxa"/>
            <w:vAlign w:val="center"/>
          </w:tcPr>
          <w:p w14:paraId="7AE986C7" w14:textId="77777777" w:rsidR="008C4EFA" w:rsidRPr="00B84A1A" w:rsidRDefault="008C4EFA" w:rsidP="00827699">
            <w:pPr>
              <w:autoSpaceDE w:val="0"/>
              <w:autoSpaceDN w:val="0"/>
              <w:adjustRightInd w:val="0"/>
              <w:spacing w:before="0" w:after="0" w:line="240" w:lineRule="auto"/>
              <w:ind w:left="-42"/>
              <w:jc w:val="center"/>
              <w:rPr>
                <w:rFonts w:ascii="Calibri" w:eastAsia="MS Mincho" w:hAnsi="Calibri" w:cs="Calibri"/>
                <w:sz w:val="20"/>
                <w:szCs w:val="20"/>
              </w:rPr>
            </w:pPr>
            <w:r w:rsidRPr="00B84A1A">
              <w:rPr>
                <w:rFonts w:ascii="Calibri" w:eastAsia="MS Mincho" w:hAnsi="Calibri" w:cs="Calibri"/>
                <w:sz w:val="20"/>
                <w:szCs w:val="20"/>
              </w:rPr>
              <w:t>0</w:t>
            </w:r>
          </w:p>
        </w:tc>
      </w:tr>
    </w:tbl>
    <w:p w14:paraId="358777E3" w14:textId="77777777" w:rsidR="008C4EFA" w:rsidRPr="00B84A1A" w:rsidRDefault="008C4EFA" w:rsidP="00703924">
      <w:pPr>
        <w:pStyle w:val="TableDescription"/>
      </w:pPr>
      <w:r w:rsidRPr="00B84A1A">
        <w:t>Note: n (%) = Number (percent) of participants in each subcategory.</w:t>
      </w:r>
    </w:p>
    <w:p w14:paraId="290F1CE7" w14:textId="573DDDAE" w:rsidR="008C4EFA" w:rsidRPr="00B84A1A" w:rsidRDefault="008C4EFA" w:rsidP="00703924">
      <w:pPr>
        <w:pStyle w:val="TableDescription"/>
      </w:pPr>
      <w:r w:rsidRPr="00B84A1A">
        <w:t>Note: Results of &lt;200 c/mL from HIV-1 RNA testing using an LLOD of 200 c</w:t>
      </w:r>
      <w:r w:rsidR="00703924">
        <w:t>opies</w:t>
      </w:r>
      <w:r w:rsidRPr="00B84A1A">
        <w:t>/mL were censored to &gt;</w:t>
      </w:r>
      <w:r w:rsidR="00703924">
        <w:t> </w:t>
      </w:r>
      <w:r w:rsidRPr="00B84A1A">
        <w:t>50 c</w:t>
      </w:r>
      <w:r w:rsidR="00703924">
        <w:t>opies</w:t>
      </w:r>
      <w:r w:rsidRPr="00B84A1A">
        <w:t>/mL in this analysis.</w:t>
      </w:r>
    </w:p>
    <w:p w14:paraId="43D490CD" w14:textId="36A3A9B8" w:rsidR="008C4EFA" w:rsidRPr="00B84A1A" w:rsidRDefault="008C4EFA" w:rsidP="00703924">
      <w:pPr>
        <w:pStyle w:val="TableDescription"/>
      </w:pPr>
      <w:r w:rsidRPr="00B84A1A">
        <w:t>a. Virologic success was defined as plasma HIV-1 RNA &lt;</w:t>
      </w:r>
      <w:r w:rsidR="00703924">
        <w:t xml:space="preserve"> </w:t>
      </w:r>
      <w:r w:rsidRPr="00B84A1A">
        <w:t>50 c</w:t>
      </w:r>
      <w:r w:rsidR="00703924">
        <w:t>opies</w:t>
      </w:r>
      <w:r w:rsidRPr="00B84A1A">
        <w:t>/mL; Snapshot algorithm was used in HIV-1 RNA analysis</w:t>
      </w:r>
    </w:p>
    <w:p w14:paraId="4CC3DBDE" w14:textId="2DD2C6C0" w:rsidR="008C4EFA" w:rsidRPr="00B84A1A" w:rsidRDefault="008C4EFA" w:rsidP="00703924">
      <w:pPr>
        <w:pStyle w:val="TableDescription"/>
      </w:pPr>
      <w:r w:rsidRPr="00B84A1A">
        <w:t>b. Failures include participants with missing data due to discontinuation of study for lack of efficacy, change in the background regimen, change in ART without the consent of the protocol team, and discontinuation for non-treatment related reasons with the last HIV RNA ≥</w:t>
      </w:r>
      <w:r w:rsidR="00703924">
        <w:t xml:space="preserve"> </w:t>
      </w:r>
      <w:r w:rsidRPr="00B84A1A">
        <w:t>50 c</w:t>
      </w:r>
      <w:r w:rsidR="00703924">
        <w:t>opies</w:t>
      </w:r>
      <w:r w:rsidRPr="00B84A1A">
        <w:t>/</w:t>
      </w:r>
      <w:proofErr w:type="spellStart"/>
      <w:r w:rsidRPr="00B84A1A">
        <w:t>mL.</w:t>
      </w:r>
      <w:proofErr w:type="spellEnd"/>
    </w:p>
    <w:p w14:paraId="47F91976" w14:textId="42F74BA3" w:rsidR="002161FA" w:rsidRPr="00C81E52" w:rsidRDefault="008C4EFA" w:rsidP="00C81E52">
      <w:r w:rsidRPr="00B84A1A">
        <w:t>The antiviral efficacy at &lt;</w:t>
      </w:r>
      <w:r w:rsidR="00C81E52">
        <w:t xml:space="preserve"> </w:t>
      </w:r>
      <w:r w:rsidRPr="00B84A1A">
        <w:t>400 c</w:t>
      </w:r>
      <w:r w:rsidR="00C81E52">
        <w:t>opies</w:t>
      </w:r>
      <w:r w:rsidRPr="00B84A1A">
        <w:t>/mL through Week 24 and Week 48</w:t>
      </w:r>
      <w:r>
        <w:t xml:space="preserve"> and &lt;</w:t>
      </w:r>
      <w:r w:rsidR="00C81E52">
        <w:t> 50 </w:t>
      </w:r>
      <w:r>
        <w:t>c</w:t>
      </w:r>
      <w:r w:rsidR="00C81E52">
        <w:t>opies</w:t>
      </w:r>
      <w:r>
        <w:t>/mL through Week 48 was</w:t>
      </w:r>
      <w:r w:rsidRPr="00B84A1A">
        <w:t xml:space="preserve"> comparable to that observed in a similar treatment-experienced adult study of </w:t>
      </w:r>
      <w:r w:rsidR="00C81E52">
        <w:t xml:space="preserve">dolutegravir </w:t>
      </w:r>
      <w:r w:rsidRPr="00B84A1A">
        <w:t>(</w:t>
      </w:r>
      <w:r w:rsidR="00C81E52">
        <w:t xml:space="preserve">Study </w:t>
      </w:r>
      <w:r w:rsidRPr="00B84A1A">
        <w:t>ING111762, SAILING</w:t>
      </w:r>
      <w:r w:rsidR="00C81E52">
        <w:t xml:space="preserve"> trial</w:t>
      </w:r>
      <w:r w:rsidRPr="00B84A1A">
        <w:t>).</w:t>
      </w:r>
    </w:p>
    <w:p w14:paraId="74DF070E" w14:textId="0118C9AE" w:rsidR="00C81E52" w:rsidRDefault="00C81E52" w:rsidP="00C81E52">
      <w:pPr>
        <w:pStyle w:val="Tabletitle0"/>
      </w:pPr>
      <w:r>
        <w:t xml:space="preserve">Table </w:t>
      </w:r>
      <w:r w:rsidR="00D174B5">
        <w:fldChar w:fldCharType="begin"/>
      </w:r>
      <w:r w:rsidR="00D174B5">
        <w:instrText xml:space="preserve"> SEQ Table \* ARABIC </w:instrText>
      </w:r>
      <w:r w:rsidR="00D174B5">
        <w:fldChar w:fldCharType="separate"/>
      </w:r>
      <w:r w:rsidR="004D0F54">
        <w:rPr>
          <w:noProof/>
        </w:rPr>
        <w:t>5</w:t>
      </w:r>
      <w:r w:rsidR="00D174B5">
        <w:rPr>
          <w:noProof/>
        </w:rPr>
        <w:fldChar w:fldCharType="end"/>
      </w:r>
      <w:r>
        <w:t>: Study ING112578</w:t>
      </w:r>
      <w:r w:rsidRPr="00DD3A38">
        <w:t xml:space="preserve"> Antiviral response in Study ING112578 compared to that of adult data from </w:t>
      </w:r>
      <w:r>
        <w:t xml:space="preserve">Study </w:t>
      </w:r>
      <w:r w:rsidRPr="00DD3A38">
        <w:t>ING111762</w:t>
      </w:r>
      <w:r>
        <w:t xml:space="preserve"> (Sailing trial) (Snapshot a</w:t>
      </w:r>
      <w:r w:rsidRPr="00DD3A38">
        <w:t>nalysis</w:t>
      </w:r>
      <w:r>
        <w:t>)</w:t>
      </w:r>
    </w:p>
    <w:tbl>
      <w:tblPr>
        <w:tblW w:w="89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80"/>
        <w:gridCol w:w="2041"/>
        <w:gridCol w:w="2041"/>
      </w:tblGrid>
      <w:tr w:rsidR="002161FA" w:rsidRPr="00B84A1A" w14:paraId="77FE646D" w14:textId="77777777" w:rsidTr="00827699">
        <w:trPr>
          <w:trHeight w:hRule="exact" w:val="1020"/>
        </w:trPr>
        <w:tc>
          <w:tcPr>
            <w:tcW w:w="4880" w:type="dxa"/>
            <w:shd w:val="clear" w:color="auto" w:fill="auto"/>
          </w:tcPr>
          <w:p w14:paraId="3A52A068" w14:textId="77777777" w:rsidR="002161FA" w:rsidRPr="00B84A1A" w:rsidRDefault="002161FA" w:rsidP="00827699">
            <w:pPr>
              <w:autoSpaceDE w:val="0"/>
              <w:autoSpaceDN w:val="0"/>
              <w:adjustRightInd w:val="0"/>
              <w:spacing w:before="0" w:after="0" w:line="240" w:lineRule="auto"/>
              <w:rPr>
                <w:rFonts w:ascii="Calibri" w:eastAsia="MS Mincho" w:hAnsi="Calibri" w:cs="Calibri"/>
                <w:sz w:val="20"/>
                <w:szCs w:val="20"/>
              </w:rPr>
            </w:pPr>
          </w:p>
        </w:tc>
        <w:tc>
          <w:tcPr>
            <w:tcW w:w="2041" w:type="dxa"/>
            <w:shd w:val="clear" w:color="auto" w:fill="auto"/>
            <w:vAlign w:val="center"/>
          </w:tcPr>
          <w:p w14:paraId="0EE075C6"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b/>
                <w:sz w:val="20"/>
                <w:szCs w:val="20"/>
              </w:rPr>
            </w:pPr>
            <w:r w:rsidRPr="00B84A1A">
              <w:rPr>
                <w:rFonts w:ascii="Calibri" w:eastAsia="MS Mincho" w:hAnsi="Calibri" w:cs="Calibri"/>
                <w:b/>
                <w:sz w:val="20"/>
                <w:szCs w:val="20"/>
              </w:rPr>
              <w:t>P1093</w:t>
            </w:r>
            <w:r w:rsidRPr="00B84A1A">
              <w:rPr>
                <w:rFonts w:ascii="Calibri" w:eastAsia="MS Mincho" w:hAnsi="Calibri" w:cs="Calibri"/>
                <w:b/>
                <w:sz w:val="20"/>
                <w:szCs w:val="20"/>
                <w:vertAlign w:val="superscript"/>
              </w:rPr>
              <w:t>a</w:t>
            </w:r>
          </w:p>
          <w:p w14:paraId="5412E50D"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b/>
                <w:sz w:val="20"/>
                <w:szCs w:val="20"/>
              </w:rPr>
            </w:pPr>
            <w:r w:rsidRPr="00B84A1A">
              <w:rPr>
                <w:rFonts w:ascii="Calibri" w:eastAsia="MS Mincho" w:hAnsi="Calibri" w:cs="Calibri"/>
                <w:b/>
                <w:sz w:val="20"/>
                <w:szCs w:val="20"/>
              </w:rPr>
              <w:t>PD Efficacy Population (N=58)</w:t>
            </w:r>
          </w:p>
        </w:tc>
        <w:tc>
          <w:tcPr>
            <w:tcW w:w="2041" w:type="dxa"/>
            <w:shd w:val="clear" w:color="auto" w:fill="auto"/>
            <w:vAlign w:val="center"/>
          </w:tcPr>
          <w:p w14:paraId="73E9FF6F"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b/>
                <w:sz w:val="20"/>
                <w:szCs w:val="20"/>
              </w:rPr>
            </w:pPr>
            <w:proofErr w:type="spellStart"/>
            <w:r w:rsidRPr="00B84A1A">
              <w:rPr>
                <w:rFonts w:ascii="Calibri" w:eastAsia="MS Mincho" w:hAnsi="Calibri" w:cs="Calibri"/>
                <w:b/>
                <w:sz w:val="20"/>
                <w:szCs w:val="20"/>
              </w:rPr>
              <w:t>SAILING</w:t>
            </w:r>
            <w:r w:rsidRPr="00B84A1A">
              <w:rPr>
                <w:rFonts w:ascii="Calibri" w:eastAsia="MS Mincho" w:hAnsi="Calibri" w:cs="Calibri"/>
                <w:b/>
                <w:sz w:val="20"/>
                <w:szCs w:val="20"/>
                <w:vertAlign w:val="superscript"/>
              </w:rPr>
              <w:t>b</w:t>
            </w:r>
            <w:proofErr w:type="spellEnd"/>
          </w:p>
          <w:p w14:paraId="72F92BC0"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b/>
                <w:sz w:val="20"/>
                <w:szCs w:val="20"/>
              </w:rPr>
            </w:pPr>
            <w:r w:rsidRPr="00B84A1A">
              <w:rPr>
                <w:rFonts w:ascii="Calibri" w:eastAsia="MS Mincho" w:hAnsi="Calibri" w:cs="Calibri"/>
                <w:b/>
                <w:sz w:val="20"/>
                <w:szCs w:val="20"/>
              </w:rPr>
              <w:t>Per Protocol Population</w:t>
            </w:r>
          </w:p>
          <w:p w14:paraId="5C104A47"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b/>
                <w:sz w:val="20"/>
                <w:szCs w:val="20"/>
              </w:rPr>
            </w:pPr>
            <w:r w:rsidRPr="00B84A1A">
              <w:rPr>
                <w:rFonts w:ascii="Calibri" w:eastAsia="MS Mincho" w:hAnsi="Calibri" w:cs="Calibri"/>
                <w:b/>
                <w:sz w:val="20"/>
                <w:szCs w:val="20"/>
              </w:rPr>
              <w:t>(N=354)</w:t>
            </w:r>
          </w:p>
        </w:tc>
      </w:tr>
      <w:tr w:rsidR="002161FA" w:rsidRPr="00B84A1A" w14:paraId="69801B4C" w14:textId="77777777" w:rsidTr="00827699">
        <w:trPr>
          <w:trHeight w:hRule="exact" w:val="286"/>
        </w:trPr>
        <w:tc>
          <w:tcPr>
            <w:tcW w:w="4880" w:type="dxa"/>
            <w:vAlign w:val="center"/>
          </w:tcPr>
          <w:p w14:paraId="755F933E" w14:textId="77777777" w:rsidR="002161FA" w:rsidRPr="00B84A1A" w:rsidRDefault="002161FA" w:rsidP="00827699">
            <w:pPr>
              <w:autoSpaceDE w:val="0"/>
              <w:autoSpaceDN w:val="0"/>
              <w:adjustRightInd w:val="0"/>
              <w:spacing w:before="0" w:after="0" w:line="240" w:lineRule="auto"/>
              <w:ind w:left="102" w:right="-20"/>
              <w:rPr>
                <w:rFonts w:ascii="Calibri" w:eastAsia="MS Mincho" w:hAnsi="Calibri" w:cs="Calibri"/>
                <w:b/>
                <w:sz w:val="20"/>
                <w:szCs w:val="20"/>
              </w:rPr>
            </w:pPr>
            <w:r w:rsidRPr="00B84A1A">
              <w:rPr>
                <w:rFonts w:ascii="Calibri" w:eastAsia="MS Mincho" w:hAnsi="Calibri" w:cs="Calibri"/>
                <w:b/>
                <w:sz w:val="20"/>
                <w:szCs w:val="20"/>
              </w:rPr>
              <w:t>Week</w:t>
            </w:r>
            <w:r w:rsidRPr="00B84A1A">
              <w:rPr>
                <w:rFonts w:ascii="Calibri" w:eastAsia="MS Mincho" w:hAnsi="Calibri" w:cs="Calibri"/>
                <w:b/>
                <w:spacing w:val="10"/>
                <w:sz w:val="20"/>
                <w:szCs w:val="20"/>
              </w:rPr>
              <w:t xml:space="preserve"> </w:t>
            </w:r>
            <w:r w:rsidRPr="00B84A1A">
              <w:rPr>
                <w:rFonts w:ascii="Calibri" w:eastAsia="MS Mincho" w:hAnsi="Calibri" w:cs="Calibri"/>
                <w:b/>
                <w:sz w:val="20"/>
                <w:szCs w:val="20"/>
              </w:rPr>
              <w:t>24</w:t>
            </w:r>
          </w:p>
        </w:tc>
        <w:tc>
          <w:tcPr>
            <w:tcW w:w="2041" w:type="dxa"/>
            <w:vAlign w:val="center"/>
          </w:tcPr>
          <w:p w14:paraId="6EA0B638"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sz w:val="20"/>
                <w:szCs w:val="20"/>
              </w:rPr>
            </w:pPr>
            <w:r w:rsidRPr="00B84A1A">
              <w:rPr>
                <w:rFonts w:ascii="Calibri" w:eastAsia="MS Mincho" w:hAnsi="Calibri" w:cs="Calibri"/>
                <w:sz w:val="20"/>
                <w:szCs w:val="20"/>
              </w:rPr>
              <w:t>n/N</w:t>
            </w:r>
            <w:r w:rsidRPr="00B84A1A">
              <w:rPr>
                <w:rFonts w:ascii="Calibri" w:eastAsia="MS Mincho" w:hAnsi="Calibri" w:cs="Calibri"/>
                <w:spacing w:val="9"/>
                <w:sz w:val="20"/>
                <w:szCs w:val="20"/>
              </w:rPr>
              <w:t xml:space="preserve"> </w:t>
            </w:r>
            <w:r w:rsidRPr="00B84A1A">
              <w:rPr>
                <w:rFonts w:ascii="Calibri" w:eastAsia="MS Mincho" w:hAnsi="Calibri" w:cs="Calibri"/>
                <w:sz w:val="20"/>
                <w:szCs w:val="20"/>
              </w:rPr>
              <w:t>(%)</w:t>
            </w:r>
          </w:p>
        </w:tc>
        <w:tc>
          <w:tcPr>
            <w:tcW w:w="2041" w:type="dxa"/>
            <w:vAlign w:val="center"/>
          </w:tcPr>
          <w:p w14:paraId="267B768F"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sz w:val="20"/>
                <w:szCs w:val="20"/>
              </w:rPr>
            </w:pPr>
            <w:r w:rsidRPr="00B84A1A">
              <w:rPr>
                <w:rFonts w:ascii="Calibri" w:eastAsia="MS Mincho" w:hAnsi="Calibri" w:cs="Calibri"/>
                <w:sz w:val="20"/>
                <w:szCs w:val="20"/>
              </w:rPr>
              <w:t>n/N</w:t>
            </w:r>
            <w:r w:rsidRPr="00B84A1A">
              <w:rPr>
                <w:rFonts w:ascii="Calibri" w:eastAsia="MS Mincho" w:hAnsi="Calibri" w:cs="Calibri"/>
                <w:spacing w:val="9"/>
                <w:sz w:val="20"/>
                <w:szCs w:val="20"/>
              </w:rPr>
              <w:t xml:space="preserve"> </w:t>
            </w:r>
            <w:r w:rsidRPr="00B84A1A">
              <w:rPr>
                <w:rFonts w:ascii="Calibri" w:eastAsia="MS Mincho" w:hAnsi="Calibri" w:cs="Calibri"/>
                <w:sz w:val="20"/>
                <w:szCs w:val="20"/>
              </w:rPr>
              <w:t>(%)</w:t>
            </w:r>
          </w:p>
        </w:tc>
      </w:tr>
      <w:tr w:rsidR="002161FA" w:rsidRPr="00B84A1A" w14:paraId="3F7486D3" w14:textId="77777777" w:rsidTr="00827699">
        <w:trPr>
          <w:trHeight w:hRule="exact" w:val="286"/>
        </w:trPr>
        <w:tc>
          <w:tcPr>
            <w:tcW w:w="4880" w:type="dxa"/>
            <w:vAlign w:val="center"/>
          </w:tcPr>
          <w:p w14:paraId="72A41A28" w14:textId="3FDF6918" w:rsidR="002161FA" w:rsidRPr="00B84A1A" w:rsidRDefault="002161FA" w:rsidP="00827699">
            <w:pPr>
              <w:autoSpaceDE w:val="0"/>
              <w:autoSpaceDN w:val="0"/>
              <w:adjustRightInd w:val="0"/>
              <w:spacing w:before="0" w:after="0" w:line="240" w:lineRule="auto"/>
              <w:ind w:left="102" w:right="-20"/>
              <w:rPr>
                <w:rFonts w:ascii="Calibri" w:eastAsia="MS Mincho" w:hAnsi="Calibri" w:cs="Calibri"/>
                <w:sz w:val="20"/>
                <w:szCs w:val="20"/>
              </w:rPr>
            </w:pPr>
            <w:r w:rsidRPr="00B84A1A">
              <w:rPr>
                <w:rFonts w:ascii="Calibri" w:eastAsia="MS Mincho" w:hAnsi="Calibri" w:cs="Calibri"/>
                <w:sz w:val="20"/>
                <w:szCs w:val="20"/>
              </w:rPr>
              <w:t>Proportion of participants with HIV RNA &lt;</w:t>
            </w:r>
            <w:r w:rsidR="00935AB2">
              <w:rPr>
                <w:rFonts w:ascii="Calibri" w:eastAsia="MS Mincho" w:hAnsi="Calibri" w:cs="Calibri"/>
                <w:sz w:val="20"/>
                <w:szCs w:val="20"/>
              </w:rPr>
              <w:t xml:space="preserve"> </w:t>
            </w:r>
            <w:r w:rsidRPr="00B84A1A">
              <w:rPr>
                <w:rFonts w:ascii="Calibri" w:eastAsia="MS Mincho" w:hAnsi="Calibri" w:cs="Calibri"/>
                <w:sz w:val="20"/>
                <w:szCs w:val="20"/>
              </w:rPr>
              <w:t>50 c</w:t>
            </w:r>
            <w:r w:rsidR="00935AB2">
              <w:rPr>
                <w:rFonts w:ascii="Calibri" w:eastAsia="MS Mincho" w:hAnsi="Calibri" w:cs="Calibri"/>
                <w:sz w:val="20"/>
                <w:szCs w:val="20"/>
              </w:rPr>
              <w:t>opies</w:t>
            </w:r>
            <w:r w:rsidRPr="00B84A1A">
              <w:rPr>
                <w:rFonts w:ascii="Calibri" w:eastAsia="MS Mincho" w:hAnsi="Calibri" w:cs="Calibri"/>
                <w:sz w:val="20"/>
                <w:szCs w:val="20"/>
              </w:rPr>
              <w:t>/mL</w:t>
            </w:r>
          </w:p>
        </w:tc>
        <w:tc>
          <w:tcPr>
            <w:tcW w:w="2041" w:type="dxa"/>
            <w:vAlign w:val="center"/>
          </w:tcPr>
          <w:p w14:paraId="1C8C71C9"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sz w:val="20"/>
                <w:szCs w:val="20"/>
              </w:rPr>
            </w:pPr>
            <w:r w:rsidRPr="00B84A1A">
              <w:rPr>
                <w:rFonts w:ascii="Calibri" w:eastAsia="MS Mincho" w:hAnsi="Calibri" w:cs="Calibri"/>
                <w:sz w:val="20"/>
                <w:szCs w:val="20"/>
              </w:rPr>
              <w:t>36/58</w:t>
            </w:r>
            <w:r w:rsidRPr="00B84A1A">
              <w:rPr>
                <w:rFonts w:ascii="Calibri" w:eastAsia="MS Mincho" w:hAnsi="Calibri" w:cs="Calibri"/>
                <w:spacing w:val="1"/>
                <w:sz w:val="20"/>
                <w:szCs w:val="20"/>
              </w:rPr>
              <w:t xml:space="preserve"> </w:t>
            </w:r>
            <w:r w:rsidRPr="00B84A1A">
              <w:rPr>
                <w:rFonts w:ascii="Calibri" w:eastAsia="MS Mincho" w:hAnsi="Calibri" w:cs="Calibri"/>
                <w:sz w:val="20"/>
                <w:szCs w:val="20"/>
              </w:rPr>
              <w:t>(62)</w:t>
            </w:r>
          </w:p>
        </w:tc>
        <w:tc>
          <w:tcPr>
            <w:tcW w:w="2041" w:type="dxa"/>
            <w:vAlign w:val="center"/>
          </w:tcPr>
          <w:p w14:paraId="52F5EC3B"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sz w:val="20"/>
                <w:szCs w:val="20"/>
              </w:rPr>
            </w:pPr>
            <w:r w:rsidRPr="00B84A1A">
              <w:rPr>
                <w:rFonts w:ascii="Calibri" w:eastAsia="MS Mincho" w:hAnsi="Calibri" w:cs="Calibri"/>
                <w:spacing w:val="1"/>
                <w:sz w:val="20"/>
                <w:szCs w:val="20"/>
              </w:rPr>
              <w:t>281</w:t>
            </w:r>
            <w:r w:rsidRPr="00B84A1A">
              <w:rPr>
                <w:rFonts w:ascii="Calibri" w:eastAsia="MS Mincho" w:hAnsi="Calibri" w:cs="Calibri"/>
                <w:spacing w:val="-2"/>
                <w:sz w:val="20"/>
                <w:szCs w:val="20"/>
              </w:rPr>
              <w:t>/</w:t>
            </w:r>
            <w:r w:rsidRPr="00B84A1A">
              <w:rPr>
                <w:rFonts w:ascii="Calibri" w:eastAsia="MS Mincho" w:hAnsi="Calibri" w:cs="Calibri"/>
                <w:sz w:val="20"/>
                <w:szCs w:val="20"/>
              </w:rPr>
              <w:t>354</w:t>
            </w:r>
            <w:r w:rsidRPr="00B84A1A">
              <w:rPr>
                <w:rFonts w:ascii="Calibri" w:eastAsia="MS Mincho" w:hAnsi="Calibri" w:cs="Calibri"/>
                <w:spacing w:val="1"/>
                <w:sz w:val="20"/>
                <w:szCs w:val="20"/>
              </w:rPr>
              <w:t xml:space="preserve"> </w:t>
            </w:r>
            <w:r w:rsidRPr="00B84A1A">
              <w:rPr>
                <w:rFonts w:ascii="Calibri" w:eastAsia="MS Mincho" w:hAnsi="Calibri" w:cs="Calibri"/>
                <w:sz w:val="20"/>
                <w:szCs w:val="20"/>
              </w:rPr>
              <w:t>(79)</w:t>
            </w:r>
          </w:p>
        </w:tc>
      </w:tr>
      <w:tr w:rsidR="002161FA" w:rsidRPr="00B84A1A" w14:paraId="765D4F6A" w14:textId="77777777" w:rsidTr="00827699">
        <w:trPr>
          <w:trHeight w:hRule="exact" w:val="286"/>
        </w:trPr>
        <w:tc>
          <w:tcPr>
            <w:tcW w:w="4880" w:type="dxa"/>
            <w:vAlign w:val="center"/>
          </w:tcPr>
          <w:p w14:paraId="74651C00" w14:textId="7F4B6C70" w:rsidR="002161FA" w:rsidRPr="00B84A1A" w:rsidRDefault="002161FA" w:rsidP="00827699">
            <w:pPr>
              <w:autoSpaceDE w:val="0"/>
              <w:autoSpaceDN w:val="0"/>
              <w:adjustRightInd w:val="0"/>
              <w:spacing w:before="0" w:after="0" w:line="240" w:lineRule="auto"/>
              <w:ind w:left="102" w:right="-20"/>
              <w:rPr>
                <w:rFonts w:ascii="Calibri" w:eastAsia="MS Mincho" w:hAnsi="Calibri" w:cs="Calibri"/>
                <w:sz w:val="20"/>
                <w:szCs w:val="20"/>
              </w:rPr>
            </w:pPr>
            <w:r w:rsidRPr="00B84A1A">
              <w:rPr>
                <w:rFonts w:ascii="Calibri" w:eastAsia="MS Mincho" w:hAnsi="Calibri" w:cs="Calibri"/>
                <w:sz w:val="20"/>
                <w:szCs w:val="20"/>
              </w:rPr>
              <w:t>Proportion of participants with HIV RNA &lt;</w:t>
            </w:r>
            <w:r w:rsidR="00935AB2">
              <w:rPr>
                <w:rFonts w:ascii="Calibri" w:eastAsia="MS Mincho" w:hAnsi="Calibri" w:cs="Calibri"/>
                <w:sz w:val="20"/>
                <w:szCs w:val="20"/>
              </w:rPr>
              <w:t xml:space="preserve"> </w:t>
            </w:r>
            <w:r w:rsidRPr="00B84A1A">
              <w:rPr>
                <w:rFonts w:ascii="Calibri" w:eastAsia="MS Mincho" w:hAnsi="Calibri" w:cs="Calibri"/>
                <w:sz w:val="20"/>
                <w:szCs w:val="20"/>
              </w:rPr>
              <w:t>400</w:t>
            </w:r>
            <w:r w:rsidRPr="00B84A1A">
              <w:rPr>
                <w:rFonts w:ascii="Calibri" w:eastAsia="MS Mincho" w:hAnsi="Calibri" w:cs="Calibri"/>
                <w:spacing w:val="2"/>
                <w:sz w:val="20"/>
                <w:szCs w:val="20"/>
              </w:rPr>
              <w:t xml:space="preserve"> </w:t>
            </w:r>
            <w:r w:rsidRPr="00B84A1A">
              <w:rPr>
                <w:rFonts w:ascii="Calibri" w:eastAsia="MS Mincho" w:hAnsi="Calibri" w:cs="Calibri"/>
                <w:sz w:val="20"/>
                <w:szCs w:val="20"/>
              </w:rPr>
              <w:t>c</w:t>
            </w:r>
            <w:r w:rsidR="00935AB2">
              <w:rPr>
                <w:rFonts w:ascii="Calibri" w:eastAsia="MS Mincho" w:hAnsi="Calibri" w:cs="Calibri"/>
                <w:sz w:val="20"/>
                <w:szCs w:val="20"/>
              </w:rPr>
              <w:t>opies</w:t>
            </w:r>
            <w:r w:rsidRPr="00B84A1A">
              <w:rPr>
                <w:rFonts w:ascii="Calibri" w:eastAsia="MS Mincho" w:hAnsi="Calibri" w:cs="Calibri"/>
                <w:sz w:val="20"/>
                <w:szCs w:val="20"/>
              </w:rPr>
              <w:t>/mL</w:t>
            </w:r>
          </w:p>
        </w:tc>
        <w:tc>
          <w:tcPr>
            <w:tcW w:w="2041" w:type="dxa"/>
            <w:vAlign w:val="center"/>
          </w:tcPr>
          <w:p w14:paraId="65F0138D"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sz w:val="20"/>
                <w:szCs w:val="20"/>
              </w:rPr>
            </w:pPr>
            <w:r w:rsidRPr="00B84A1A">
              <w:rPr>
                <w:rFonts w:ascii="Calibri" w:eastAsia="MS Mincho" w:hAnsi="Calibri" w:cs="Calibri"/>
                <w:sz w:val="20"/>
                <w:szCs w:val="20"/>
              </w:rPr>
              <w:t>50/58</w:t>
            </w:r>
            <w:r w:rsidRPr="00B84A1A">
              <w:rPr>
                <w:rFonts w:ascii="Calibri" w:eastAsia="MS Mincho" w:hAnsi="Calibri" w:cs="Calibri"/>
                <w:spacing w:val="1"/>
                <w:sz w:val="20"/>
                <w:szCs w:val="20"/>
              </w:rPr>
              <w:t xml:space="preserve"> </w:t>
            </w:r>
            <w:r w:rsidRPr="00B84A1A">
              <w:rPr>
                <w:rFonts w:ascii="Calibri" w:eastAsia="MS Mincho" w:hAnsi="Calibri" w:cs="Calibri"/>
                <w:sz w:val="20"/>
                <w:szCs w:val="20"/>
              </w:rPr>
              <w:t>(86)</w:t>
            </w:r>
          </w:p>
        </w:tc>
        <w:tc>
          <w:tcPr>
            <w:tcW w:w="2041" w:type="dxa"/>
            <w:vAlign w:val="center"/>
          </w:tcPr>
          <w:p w14:paraId="462AE343"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sz w:val="20"/>
                <w:szCs w:val="20"/>
              </w:rPr>
            </w:pPr>
            <w:r w:rsidRPr="00B84A1A">
              <w:rPr>
                <w:rFonts w:ascii="Calibri" w:eastAsia="MS Mincho" w:hAnsi="Calibri" w:cs="Calibri"/>
                <w:sz w:val="20"/>
                <w:szCs w:val="20"/>
              </w:rPr>
              <w:t>307/354 (87)</w:t>
            </w:r>
          </w:p>
        </w:tc>
      </w:tr>
      <w:tr w:rsidR="002161FA" w:rsidRPr="00B84A1A" w14:paraId="7CA07627" w14:textId="77777777" w:rsidTr="00827699">
        <w:trPr>
          <w:trHeight w:hRule="exact" w:val="57"/>
        </w:trPr>
        <w:tc>
          <w:tcPr>
            <w:tcW w:w="4880" w:type="dxa"/>
            <w:vAlign w:val="center"/>
          </w:tcPr>
          <w:p w14:paraId="74BC79AF" w14:textId="77777777" w:rsidR="002161FA" w:rsidRPr="00B84A1A" w:rsidRDefault="002161FA" w:rsidP="00827699">
            <w:pPr>
              <w:autoSpaceDE w:val="0"/>
              <w:autoSpaceDN w:val="0"/>
              <w:adjustRightInd w:val="0"/>
              <w:spacing w:before="0" w:after="0" w:line="240" w:lineRule="auto"/>
              <w:rPr>
                <w:rFonts w:ascii="Calibri" w:eastAsia="MS Mincho" w:hAnsi="Calibri" w:cs="Calibri"/>
                <w:sz w:val="10"/>
                <w:szCs w:val="10"/>
              </w:rPr>
            </w:pPr>
          </w:p>
        </w:tc>
        <w:tc>
          <w:tcPr>
            <w:tcW w:w="2041" w:type="dxa"/>
            <w:vAlign w:val="center"/>
          </w:tcPr>
          <w:p w14:paraId="7D95293A"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sz w:val="20"/>
                <w:szCs w:val="20"/>
              </w:rPr>
            </w:pPr>
          </w:p>
        </w:tc>
        <w:tc>
          <w:tcPr>
            <w:tcW w:w="2041" w:type="dxa"/>
            <w:vAlign w:val="center"/>
          </w:tcPr>
          <w:p w14:paraId="5E5BA39C"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sz w:val="20"/>
                <w:szCs w:val="20"/>
              </w:rPr>
            </w:pPr>
          </w:p>
        </w:tc>
      </w:tr>
      <w:tr w:rsidR="002161FA" w:rsidRPr="00B84A1A" w14:paraId="41D0D886" w14:textId="77777777" w:rsidTr="00827699">
        <w:trPr>
          <w:trHeight w:hRule="exact" w:val="286"/>
        </w:trPr>
        <w:tc>
          <w:tcPr>
            <w:tcW w:w="4880" w:type="dxa"/>
            <w:vAlign w:val="center"/>
          </w:tcPr>
          <w:p w14:paraId="32E1B83F" w14:textId="77777777" w:rsidR="002161FA" w:rsidRPr="00B84A1A" w:rsidRDefault="002161FA" w:rsidP="00827699">
            <w:pPr>
              <w:autoSpaceDE w:val="0"/>
              <w:autoSpaceDN w:val="0"/>
              <w:adjustRightInd w:val="0"/>
              <w:spacing w:before="0" w:after="0" w:line="240" w:lineRule="auto"/>
              <w:ind w:left="102" w:right="-20"/>
              <w:rPr>
                <w:rFonts w:ascii="Calibri" w:eastAsia="MS Mincho" w:hAnsi="Calibri" w:cs="Calibri"/>
                <w:b/>
                <w:sz w:val="20"/>
                <w:szCs w:val="20"/>
              </w:rPr>
            </w:pPr>
            <w:r w:rsidRPr="00B84A1A">
              <w:rPr>
                <w:rFonts w:ascii="Calibri" w:eastAsia="MS Mincho" w:hAnsi="Calibri" w:cs="Calibri"/>
                <w:b/>
                <w:sz w:val="20"/>
                <w:szCs w:val="20"/>
              </w:rPr>
              <w:t>Week</w:t>
            </w:r>
            <w:r w:rsidRPr="00B84A1A">
              <w:rPr>
                <w:rFonts w:ascii="Calibri" w:eastAsia="MS Mincho" w:hAnsi="Calibri" w:cs="Calibri"/>
                <w:b/>
                <w:spacing w:val="10"/>
                <w:sz w:val="20"/>
                <w:szCs w:val="20"/>
              </w:rPr>
              <w:t xml:space="preserve"> </w:t>
            </w:r>
            <w:r w:rsidRPr="00B84A1A">
              <w:rPr>
                <w:rFonts w:ascii="Calibri" w:eastAsia="MS Mincho" w:hAnsi="Calibri" w:cs="Calibri"/>
                <w:b/>
                <w:sz w:val="20"/>
                <w:szCs w:val="20"/>
              </w:rPr>
              <w:t>48</w:t>
            </w:r>
          </w:p>
        </w:tc>
        <w:tc>
          <w:tcPr>
            <w:tcW w:w="2041" w:type="dxa"/>
            <w:vAlign w:val="center"/>
          </w:tcPr>
          <w:p w14:paraId="186608F4"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sz w:val="20"/>
                <w:szCs w:val="20"/>
              </w:rPr>
            </w:pPr>
            <w:r w:rsidRPr="00B84A1A">
              <w:rPr>
                <w:rFonts w:ascii="Calibri" w:eastAsia="MS Mincho" w:hAnsi="Calibri" w:cs="Calibri"/>
                <w:sz w:val="20"/>
                <w:szCs w:val="20"/>
              </w:rPr>
              <w:t>n/N</w:t>
            </w:r>
            <w:r w:rsidRPr="00B84A1A">
              <w:rPr>
                <w:rFonts w:ascii="Calibri" w:eastAsia="MS Mincho" w:hAnsi="Calibri" w:cs="Calibri"/>
                <w:spacing w:val="9"/>
                <w:sz w:val="20"/>
                <w:szCs w:val="20"/>
              </w:rPr>
              <w:t xml:space="preserve"> </w:t>
            </w:r>
            <w:r w:rsidRPr="00B84A1A">
              <w:rPr>
                <w:rFonts w:ascii="Calibri" w:eastAsia="MS Mincho" w:hAnsi="Calibri" w:cs="Calibri"/>
                <w:sz w:val="20"/>
                <w:szCs w:val="20"/>
              </w:rPr>
              <w:t>(%)</w:t>
            </w:r>
          </w:p>
        </w:tc>
        <w:tc>
          <w:tcPr>
            <w:tcW w:w="2041" w:type="dxa"/>
            <w:vAlign w:val="center"/>
          </w:tcPr>
          <w:p w14:paraId="1D7237BC"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sz w:val="20"/>
                <w:szCs w:val="20"/>
              </w:rPr>
            </w:pPr>
            <w:r w:rsidRPr="00B84A1A">
              <w:rPr>
                <w:rFonts w:ascii="Calibri" w:eastAsia="MS Mincho" w:hAnsi="Calibri" w:cs="Calibri"/>
                <w:sz w:val="20"/>
                <w:szCs w:val="20"/>
              </w:rPr>
              <w:t>n/N</w:t>
            </w:r>
            <w:r w:rsidRPr="00B84A1A">
              <w:rPr>
                <w:rFonts w:ascii="Calibri" w:eastAsia="MS Mincho" w:hAnsi="Calibri" w:cs="Calibri"/>
                <w:spacing w:val="9"/>
                <w:sz w:val="20"/>
                <w:szCs w:val="20"/>
              </w:rPr>
              <w:t xml:space="preserve"> </w:t>
            </w:r>
            <w:r w:rsidRPr="00B84A1A">
              <w:rPr>
                <w:rFonts w:ascii="Calibri" w:eastAsia="MS Mincho" w:hAnsi="Calibri" w:cs="Calibri"/>
                <w:sz w:val="20"/>
                <w:szCs w:val="20"/>
              </w:rPr>
              <w:t>(%)</w:t>
            </w:r>
          </w:p>
        </w:tc>
      </w:tr>
      <w:tr w:rsidR="002161FA" w:rsidRPr="00B84A1A" w14:paraId="68C35746" w14:textId="77777777" w:rsidTr="00827699">
        <w:trPr>
          <w:trHeight w:hRule="exact" w:val="286"/>
        </w:trPr>
        <w:tc>
          <w:tcPr>
            <w:tcW w:w="4880" w:type="dxa"/>
            <w:vAlign w:val="center"/>
          </w:tcPr>
          <w:p w14:paraId="040F737C" w14:textId="11CB8790" w:rsidR="002161FA" w:rsidRPr="00B84A1A" w:rsidRDefault="002161FA" w:rsidP="00827699">
            <w:pPr>
              <w:autoSpaceDE w:val="0"/>
              <w:autoSpaceDN w:val="0"/>
              <w:adjustRightInd w:val="0"/>
              <w:spacing w:before="0" w:after="0" w:line="240" w:lineRule="auto"/>
              <w:ind w:left="102" w:right="-20"/>
              <w:rPr>
                <w:rFonts w:ascii="Calibri" w:eastAsia="MS Mincho" w:hAnsi="Calibri" w:cs="Calibri"/>
                <w:sz w:val="20"/>
                <w:szCs w:val="20"/>
              </w:rPr>
            </w:pPr>
            <w:r w:rsidRPr="00B84A1A">
              <w:rPr>
                <w:rFonts w:ascii="Calibri" w:eastAsia="MS Mincho" w:hAnsi="Calibri" w:cs="Calibri"/>
                <w:sz w:val="20"/>
                <w:szCs w:val="20"/>
              </w:rPr>
              <w:t>Proportion of participants with HIV RNA &lt;</w:t>
            </w:r>
            <w:r w:rsidR="00935AB2">
              <w:rPr>
                <w:rFonts w:ascii="Calibri" w:eastAsia="MS Mincho" w:hAnsi="Calibri" w:cs="Calibri"/>
                <w:sz w:val="20"/>
                <w:szCs w:val="20"/>
              </w:rPr>
              <w:t xml:space="preserve"> </w:t>
            </w:r>
            <w:r w:rsidRPr="00B84A1A">
              <w:rPr>
                <w:rFonts w:ascii="Calibri" w:eastAsia="MS Mincho" w:hAnsi="Calibri" w:cs="Calibri"/>
                <w:sz w:val="20"/>
                <w:szCs w:val="20"/>
              </w:rPr>
              <w:t>50 c</w:t>
            </w:r>
            <w:r w:rsidR="00935AB2">
              <w:rPr>
                <w:rFonts w:ascii="Calibri" w:eastAsia="MS Mincho" w:hAnsi="Calibri" w:cs="Calibri"/>
                <w:sz w:val="20"/>
                <w:szCs w:val="20"/>
              </w:rPr>
              <w:t>opies</w:t>
            </w:r>
            <w:r w:rsidRPr="00B84A1A">
              <w:rPr>
                <w:rFonts w:ascii="Calibri" w:eastAsia="MS Mincho" w:hAnsi="Calibri" w:cs="Calibri"/>
                <w:sz w:val="20"/>
                <w:szCs w:val="20"/>
              </w:rPr>
              <w:t>/mL</w:t>
            </w:r>
          </w:p>
        </w:tc>
        <w:tc>
          <w:tcPr>
            <w:tcW w:w="2041" w:type="dxa"/>
            <w:vAlign w:val="center"/>
          </w:tcPr>
          <w:p w14:paraId="5FCE179D"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sz w:val="20"/>
                <w:szCs w:val="20"/>
              </w:rPr>
            </w:pPr>
            <w:r w:rsidRPr="00B84A1A">
              <w:rPr>
                <w:rFonts w:ascii="Calibri" w:eastAsia="MS Mincho" w:hAnsi="Calibri" w:cs="Calibri"/>
                <w:sz w:val="20"/>
                <w:szCs w:val="20"/>
              </w:rPr>
              <w:t>16/24</w:t>
            </w:r>
            <w:r w:rsidRPr="00B84A1A">
              <w:rPr>
                <w:rFonts w:ascii="Calibri" w:eastAsia="MS Mincho" w:hAnsi="Calibri" w:cs="Calibri"/>
                <w:spacing w:val="1"/>
                <w:sz w:val="20"/>
                <w:szCs w:val="20"/>
              </w:rPr>
              <w:t xml:space="preserve"> </w:t>
            </w:r>
            <w:r w:rsidRPr="00B84A1A">
              <w:rPr>
                <w:rFonts w:ascii="Calibri" w:eastAsia="MS Mincho" w:hAnsi="Calibri" w:cs="Calibri"/>
                <w:sz w:val="20"/>
                <w:szCs w:val="20"/>
              </w:rPr>
              <w:t>(67)</w:t>
            </w:r>
          </w:p>
        </w:tc>
        <w:tc>
          <w:tcPr>
            <w:tcW w:w="2041" w:type="dxa"/>
            <w:vAlign w:val="center"/>
          </w:tcPr>
          <w:p w14:paraId="006CCB63"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sz w:val="20"/>
                <w:szCs w:val="20"/>
              </w:rPr>
            </w:pPr>
            <w:r w:rsidRPr="00B84A1A">
              <w:rPr>
                <w:rFonts w:ascii="Calibri" w:eastAsia="MS Mincho" w:hAnsi="Calibri" w:cs="Calibri"/>
                <w:sz w:val="20"/>
                <w:szCs w:val="20"/>
              </w:rPr>
              <w:t>251/354 (71)</w:t>
            </w:r>
          </w:p>
        </w:tc>
      </w:tr>
      <w:tr w:rsidR="002161FA" w:rsidRPr="00B84A1A" w14:paraId="2103C649" w14:textId="77777777" w:rsidTr="00827699">
        <w:trPr>
          <w:trHeight w:hRule="exact" w:val="286"/>
        </w:trPr>
        <w:tc>
          <w:tcPr>
            <w:tcW w:w="4880" w:type="dxa"/>
            <w:vAlign w:val="center"/>
          </w:tcPr>
          <w:p w14:paraId="28F80F1E" w14:textId="42FC330B" w:rsidR="002161FA" w:rsidRPr="00B84A1A" w:rsidRDefault="002161FA" w:rsidP="00827699">
            <w:pPr>
              <w:autoSpaceDE w:val="0"/>
              <w:autoSpaceDN w:val="0"/>
              <w:adjustRightInd w:val="0"/>
              <w:spacing w:before="0" w:after="0" w:line="240" w:lineRule="auto"/>
              <w:ind w:left="102" w:right="-20"/>
              <w:rPr>
                <w:rFonts w:ascii="Calibri" w:eastAsia="MS Mincho" w:hAnsi="Calibri" w:cs="Calibri"/>
                <w:sz w:val="20"/>
                <w:szCs w:val="20"/>
              </w:rPr>
            </w:pPr>
            <w:r w:rsidRPr="00B84A1A">
              <w:rPr>
                <w:rFonts w:ascii="Calibri" w:eastAsia="MS Mincho" w:hAnsi="Calibri" w:cs="Calibri"/>
                <w:sz w:val="20"/>
                <w:szCs w:val="20"/>
              </w:rPr>
              <w:t>Proportion of participants with HIV RNA &lt;</w:t>
            </w:r>
            <w:r w:rsidR="00935AB2">
              <w:rPr>
                <w:rFonts w:ascii="Calibri" w:eastAsia="MS Mincho" w:hAnsi="Calibri" w:cs="Calibri"/>
                <w:sz w:val="20"/>
                <w:szCs w:val="20"/>
              </w:rPr>
              <w:t xml:space="preserve"> </w:t>
            </w:r>
            <w:r w:rsidRPr="00B84A1A">
              <w:rPr>
                <w:rFonts w:ascii="Calibri" w:eastAsia="MS Mincho" w:hAnsi="Calibri" w:cs="Calibri"/>
                <w:sz w:val="20"/>
                <w:szCs w:val="20"/>
              </w:rPr>
              <w:t>400</w:t>
            </w:r>
            <w:r w:rsidRPr="00B84A1A">
              <w:rPr>
                <w:rFonts w:ascii="Calibri" w:eastAsia="MS Mincho" w:hAnsi="Calibri" w:cs="Calibri"/>
                <w:spacing w:val="2"/>
                <w:sz w:val="20"/>
                <w:szCs w:val="20"/>
              </w:rPr>
              <w:t xml:space="preserve"> </w:t>
            </w:r>
            <w:r w:rsidRPr="00B84A1A">
              <w:rPr>
                <w:rFonts w:ascii="Calibri" w:eastAsia="MS Mincho" w:hAnsi="Calibri" w:cs="Calibri"/>
                <w:sz w:val="20"/>
                <w:szCs w:val="20"/>
              </w:rPr>
              <w:t>c</w:t>
            </w:r>
            <w:r w:rsidR="00935AB2">
              <w:rPr>
                <w:rFonts w:ascii="Calibri" w:eastAsia="MS Mincho" w:hAnsi="Calibri" w:cs="Calibri"/>
                <w:sz w:val="20"/>
                <w:szCs w:val="20"/>
              </w:rPr>
              <w:t>opies</w:t>
            </w:r>
            <w:r w:rsidRPr="00B84A1A">
              <w:rPr>
                <w:rFonts w:ascii="Calibri" w:eastAsia="MS Mincho" w:hAnsi="Calibri" w:cs="Calibri"/>
                <w:sz w:val="20"/>
                <w:szCs w:val="20"/>
              </w:rPr>
              <w:t>/mL</w:t>
            </w:r>
          </w:p>
        </w:tc>
        <w:tc>
          <w:tcPr>
            <w:tcW w:w="2041" w:type="dxa"/>
            <w:vAlign w:val="center"/>
          </w:tcPr>
          <w:p w14:paraId="4F68CC69"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sz w:val="20"/>
                <w:szCs w:val="20"/>
              </w:rPr>
            </w:pPr>
            <w:r w:rsidRPr="00B84A1A">
              <w:rPr>
                <w:rFonts w:ascii="Calibri" w:eastAsia="MS Mincho" w:hAnsi="Calibri" w:cs="Calibri"/>
                <w:sz w:val="20"/>
                <w:szCs w:val="20"/>
              </w:rPr>
              <w:t>18/24</w:t>
            </w:r>
            <w:r w:rsidRPr="00B84A1A">
              <w:rPr>
                <w:rFonts w:ascii="Calibri" w:eastAsia="MS Mincho" w:hAnsi="Calibri" w:cs="Calibri"/>
                <w:spacing w:val="1"/>
                <w:sz w:val="20"/>
                <w:szCs w:val="20"/>
              </w:rPr>
              <w:t xml:space="preserve"> </w:t>
            </w:r>
            <w:r w:rsidRPr="00B84A1A">
              <w:rPr>
                <w:rFonts w:ascii="Calibri" w:eastAsia="MS Mincho" w:hAnsi="Calibri" w:cs="Calibri"/>
                <w:sz w:val="20"/>
                <w:szCs w:val="20"/>
              </w:rPr>
              <w:t>(75)</w:t>
            </w:r>
          </w:p>
        </w:tc>
        <w:tc>
          <w:tcPr>
            <w:tcW w:w="2041" w:type="dxa"/>
            <w:vAlign w:val="center"/>
          </w:tcPr>
          <w:p w14:paraId="0276C22C" w14:textId="77777777" w:rsidR="002161FA" w:rsidRPr="00B84A1A" w:rsidRDefault="002161FA" w:rsidP="00827699">
            <w:pPr>
              <w:autoSpaceDE w:val="0"/>
              <w:autoSpaceDN w:val="0"/>
              <w:adjustRightInd w:val="0"/>
              <w:spacing w:before="0" w:after="0" w:line="240" w:lineRule="auto"/>
              <w:jc w:val="center"/>
              <w:rPr>
                <w:rFonts w:ascii="Calibri" w:eastAsia="MS Mincho" w:hAnsi="Calibri" w:cs="Calibri"/>
                <w:sz w:val="20"/>
                <w:szCs w:val="20"/>
              </w:rPr>
            </w:pPr>
            <w:r w:rsidRPr="00B84A1A">
              <w:rPr>
                <w:rFonts w:ascii="Calibri" w:eastAsia="MS Mincho" w:hAnsi="Calibri" w:cs="Calibri"/>
                <w:sz w:val="20"/>
                <w:szCs w:val="20"/>
              </w:rPr>
              <w:t>278/354</w:t>
            </w:r>
            <w:r w:rsidRPr="00B84A1A">
              <w:rPr>
                <w:rFonts w:ascii="Calibri" w:eastAsia="MS Mincho" w:hAnsi="Calibri" w:cs="Calibri"/>
                <w:spacing w:val="2"/>
                <w:sz w:val="20"/>
                <w:szCs w:val="20"/>
              </w:rPr>
              <w:t xml:space="preserve"> </w:t>
            </w:r>
            <w:r w:rsidRPr="00B84A1A">
              <w:rPr>
                <w:rFonts w:ascii="Calibri" w:eastAsia="MS Mincho" w:hAnsi="Calibri" w:cs="Calibri"/>
                <w:sz w:val="20"/>
                <w:szCs w:val="20"/>
              </w:rPr>
              <w:t>(79)</w:t>
            </w:r>
          </w:p>
        </w:tc>
      </w:tr>
    </w:tbl>
    <w:p w14:paraId="28DAB01F" w14:textId="77777777" w:rsidR="002161FA" w:rsidRPr="00B84A1A" w:rsidRDefault="002161FA" w:rsidP="00703924">
      <w:pPr>
        <w:pStyle w:val="TableDescription"/>
      </w:pPr>
      <w:r w:rsidRPr="00B84A1A">
        <w:t>P1093 = Study ING112578, SAILING = Study ING111762 (submitted in initial application)</w:t>
      </w:r>
    </w:p>
    <w:p w14:paraId="68A35852" w14:textId="77777777" w:rsidR="002161FA" w:rsidRPr="00B84A1A" w:rsidRDefault="002161FA" w:rsidP="00703924">
      <w:pPr>
        <w:pStyle w:val="TableDescription"/>
      </w:pPr>
      <w:r w:rsidRPr="00B84A1A">
        <w:t>Note: n/N=</w:t>
      </w:r>
      <w:proofErr w:type="gramStart"/>
      <w:r w:rsidRPr="00B84A1A">
        <w:t>number</w:t>
      </w:r>
      <w:proofErr w:type="gramEnd"/>
      <w:r w:rsidRPr="00B84A1A">
        <w:t xml:space="preserve"> of responders/number of participants</w:t>
      </w:r>
    </w:p>
    <w:p w14:paraId="5D80316E" w14:textId="7E528329" w:rsidR="002161FA" w:rsidRPr="00B84A1A" w:rsidRDefault="006368E7" w:rsidP="00703924">
      <w:pPr>
        <w:pStyle w:val="TableDescription"/>
      </w:pPr>
      <w:r>
        <w:t>a Proposed dose efficacy p</w:t>
      </w:r>
      <w:r w:rsidR="002161FA" w:rsidRPr="00B84A1A">
        <w:t xml:space="preserve">opulation from </w:t>
      </w:r>
      <w:r>
        <w:t xml:space="preserve">Study </w:t>
      </w:r>
      <w:r w:rsidR="002161FA" w:rsidRPr="00B84A1A">
        <w:t>P1093 (Table 61)</w:t>
      </w:r>
    </w:p>
    <w:p w14:paraId="19F53B87" w14:textId="77777777" w:rsidR="002161FA" w:rsidRPr="00B84A1A" w:rsidRDefault="002161FA" w:rsidP="00703924">
      <w:pPr>
        <w:pStyle w:val="TableDescription"/>
      </w:pPr>
      <w:r w:rsidRPr="00B84A1A">
        <w:t xml:space="preserve">b </w:t>
      </w:r>
      <w:r w:rsidRPr="00B84A1A">
        <w:rPr>
          <w:i/>
        </w:rPr>
        <w:t>Cahn, 2013</w:t>
      </w:r>
      <w:r w:rsidRPr="00B84A1A">
        <w:t xml:space="preserve"> and public results database for NCT01231516, 2019</w:t>
      </w:r>
    </w:p>
    <w:p w14:paraId="667D7497" w14:textId="32613C4B" w:rsidR="002161FA" w:rsidRDefault="002161FA" w:rsidP="002161FA">
      <w:r>
        <w:t>Efficacy was a secondary objective of this ongoing study, which is planned for 96 weeks of treatment.</w:t>
      </w:r>
      <w:r w:rsidRPr="00B84A1A">
        <w:t xml:space="preserve"> </w:t>
      </w:r>
      <w:r>
        <w:t>Complete results we</w:t>
      </w:r>
      <w:r w:rsidRPr="00B84A1A">
        <w:t>re available for 24 w</w:t>
      </w:r>
      <w:r w:rsidR="00C81E52">
        <w:t>eeks and incomplete data for 48 </w:t>
      </w:r>
      <w:r w:rsidRPr="00B84A1A">
        <w:t>weeks.</w:t>
      </w:r>
    </w:p>
    <w:p w14:paraId="75EEB2B3" w14:textId="2EDA88EE" w:rsidR="002161FA" w:rsidRPr="00B84A1A" w:rsidRDefault="002161FA" w:rsidP="002161FA">
      <w:r w:rsidRPr="00B84A1A">
        <w:t>Participants with results through Week 48 came exclusively from the ≥</w:t>
      </w:r>
      <w:r w:rsidR="00C81E52">
        <w:t xml:space="preserve"> </w:t>
      </w:r>
      <w:r w:rsidRPr="00B84A1A">
        <w:t xml:space="preserve">35 kg weight band recruited into Cohort I and </w:t>
      </w:r>
      <w:r>
        <w:t xml:space="preserve">IIA and receiving the 50 mg </w:t>
      </w:r>
      <w:r w:rsidR="00C81E52">
        <w:t>film-coated tablets</w:t>
      </w:r>
      <w:r>
        <w:t>, due to the sequential enrolment strategy of the study.</w:t>
      </w:r>
    </w:p>
    <w:p w14:paraId="614A61CE" w14:textId="2A9F8F96" w:rsidR="002161FA" w:rsidRDefault="002161FA" w:rsidP="002161FA">
      <w:r>
        <w:t>Favourable antiviral activity (&lt;</w:t>
      </w:r>
      <w:r w:rsidR="00C81E52">
        <w:t xml:space="preserve"> </w:t>
      </w:r>
      <w:r>
        <w:t>400 c</w:t>
      </w:r>
      <w:r w:rsidR="00C81E52">
        <w:t>opies</w:t>
      </w:r>
      <w:r>
        <w:t>/mL and &lt;</w:t>
      </w:r>
      <w:r w:rsidR="00C81E52">
        <w:t xml:space="preserve"> </w:t>
      </w:r>
      <w:r>
        <w:t>50 c</w:t>
      </w:r>
      <w:r w:rsidR="00C81E52">
        <w:t>opies</w:t>
      </w:r>
      <w:r>
        <w:t xml:space="preserve">/mL) was demonstrated through Week 24 in the </w:t>
      </w:r>
      <w:r w:rsidR="00C81E52">
        <w:t>proposed dose efficacy p</w:t>
      </w:r>
      <w:r>
        <w:t xml:space="preserve">opulation for participants taking </w:t>
      </w:r>
      <w:r w:rsidR="00C81E52">
        <w:t xml:space="preserve">dolutegravir </w:t>
      </w:r>
      <w:r>
        <w:t>with optimised background therapy). Immunologic benefit was also observed when considering change from Baseline in CD4+ cell count and CD4+ percent.</w:t>
      </w:r>
    </w:p>
    <w:p w14:paraId="7D970183" w14:textId="2D6CC6E9" w:rsidR="002161FA" w:rsidRDefault="002161FA" w:rsidP="002161FA">
      <w:r>
        <w:lastRenderedPageBreak/>
        <w:t xml:space="preserve">Sustained antiviral activity and immunological benefit was maintained through Week 48 in the </w:t>
      </w:r>
      <w:r w:rsidR="00C81E52">
        <w:t>proposed dose efficacy p</w:t>
      </w:r>
      <w:r>
        <w:t>opulation (N</w:t>
      </w:r>
      <w:r w:rsidR="00C81E52">
        <w:t xml:space="preserve"> </w:t>
      </w:r>
      <w:r>
        <w:t>=</w:t>
      </w:r>
      <w:r w:rsidR="00C81E52">
        <w:t xml:space="preserve"> </w:t>
      </w:r>
      <w:r>
        <w:t>24).</w:t>
      </w:r>
    </w:p>
    <w:p w14:paraId="2521EB17" w14:textId="4B3FDFBF" w:rsidR="002161FA" w:rsidRDefault="002161FA" w:rsidP="0032283F">
      <w:pPr>
        <w:ind w:right="-427"/>
      </w:pPr>
      <w:r w:rsidRPr="00B97E4B">
        <w:t xml:space="preserve">Through to the interim data cut-off of 14 February 2019, 36/142 (25%) participants met </w:t>
      </w:r>
      <w:r w:rsidR="00C81E52">
        <w:t>protocol defined virologic failure</w:t>
      </w:r>
      <w:r w:rsidRPr="00B97E4B">
        <w:t xml:space="preserve"> criteria (had confirmed plasma HIV-1 RNA &gt;</w:t>
      </w:r>
      <w:r w:rsidR="00935AB2">
        <w:t> 400 </w:t>
      </w:r>
      <w:r w:rsidRPr="00B97E4B">
        <w:t>c</w:t>
      </w:r>
      <w:r w:rsidR="00C81E52">
        <w:t>opies</w:t>
      </w:r>
      <w:r w:rsidRPr="00B97E4B">
        <w:t>/mL).</w:t>
      </w:r>
    </w:p>
    <w:p w14:paraId="2144856F" w14:textId="0865B7E8" w:rsidR="002161FA" w:rsidRPr="00B97E4B" w:rsidRDefault="002161FA" w:rsidP="00C81E52">
      <w:pPr>
        <w:pStyle w:val="Tabletitle0"/>
        <w:rPr>
          <w:lang w:eastAsia="ja-JP"/>
        </w:rPr>
      </w:pPr>
      <w:bookmarkStart w:id="42" w:name="_Toc57644085"/>
      <w:r w:rsidRPr="00B97E4B">
        <w:t xml:space="preserve">Table </w:t>
      </w:r>
      <w:r w:rsidRPr="00B97E4B">
        <w:rPr>
          <w:noProof/>
        </w:rPr>
        <w:fldChar w:fldCharType="begin"/>
      </w:r>
      <w:r w:rsidRPr="00B97E4B">
        <w:rPr>
          <w:noProof/>
        </w:rPr>
        <w:instrText xml:space="preserve"> SEQ Table \* ARABIC </w:instrText>
      </w:r>
      <w:r w:rsidRPr="00B97E4B">
        <w:rPr>
          <w:noProof/>
        </w:rPr>
        <w:fldChar w:fldCharType="separate"/>
      </w:r>
      <w:r w:rsidR="004D0F54">
        <w:rPr>
          <w:noProof/>
        </w:rPr>
        <w:t>6</w:t>
      </w:r>
      <w:r w:rsidRPr="00B97E4B">
        <w:rPr>
          <w:noProof/>
        </w:rPr>
        <w:fldChar w:fldCharType="end"/>
      </w:r>
      <w:r w:rsidR="00C81E52">
        <w:t xml:space="preserve">: </w:t>
      </w:r>
      <w:r w:rsidRPr="00B97E4B">
        <w:rPr>
          <w:lang w:eastAsia="ja-JP"/>
        </w:rPr>
        <w:t>Study ING112578: Protocol defined virologic failure over time</w:t>
      </w:r>
      <w:bookmarkEnd w:id="42"/>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72"/>
        <w:gridCol w:w="1928"/>
        <w:gridCol w:w="1771"/>
        <w:gridCol w:w="1771"/>
        <w:gridCol w:w="1401"/>
      </w:tblGrid>
      <w:tr w:rsidR="002161FA" w:rsidRPr="00B97E4B" w14:paraId="353EA36D" w14:textId="77777777" w:rsidTr="00935AB2">
        <w:trPr>
          <w:cantSplit/>
          <w:trHeight w:hRule="exact" w:val="1077"/>
        </w:trPr>
        <w:tc>
          <w:tcPr>
            <w:tcW w:w="1772" w:type="dxa"/>
          </w:tcPr>
          <w:p w14:paraId="5CBFB004" w14:textId="77777777" w:rsidR="002161FA" w:rsidRPr="00B97E4B" w:rsidRDefault="002161FA" w:rsidP="00827699">
            <w:pPr>
              <w:autoSpaceDE w:val="0"/>
              <w:autoSpaceDN w:val="0"/>
              <w:adjustRightInd w:val="0"/>
              <w:spacing w:before="0" w:after="0" w:line="240" w:lineRule="auto"/>
              <w:rPr>
                <w:rFonts w:ascii="Calibri" w:eastAsia="MS Mincho" w:hAnsi="Calibri" w:cs="Calibri"/>
                <w:sz w:val="20"/>
                <w:szCs w:val="20"/>
              </w:rPr>
            </w:pPr>
          </w:p>
        </w:tc>
        <w:tc>
          <w:tcPr>
            <w:tcW w:w="1928" w:type="dxa"/>
            <w:vAlign w:val="center"/>
          </w:tcPr>
          <w:p w14:paraId="40D0683D" w14:textId="77777777" w:rsidR="002161FA" w:rsidRPr="00B97E4B" w:rsidRDefault="002161FA" w:rsidP="00827699">
            <w:pPr>
              <w:autoSpaceDE w:val="0"/>
              <w:autoSpaceDN w:val="0"/>
              <w:adjustRightInd w:val="0"/>
              <w:spacing w:before="0" w:after="0" w:line="240" w:lineRule="auto"/>
              <w:ind w:left="-30" w:firstLine="30"/>
              <w:jc w:val="center"/>
              <w:rPr>
                <w:rFonts w:ascii="Calibri" w:eastAsia="MS Mincho" w:hAnsi="Calibri" w:cs="Calibri"/>
                <w:b/>
                <w:sz w:val="20"/>
                <w:szCs w:val="20"/>
              </w:rPr>
            </w:pPr>
            <w:r w:rsidRPr="00B97E4B">
              <w:rPr>
                <w:rFonts w:ascii="Calibri" w:eastAsia="MS Mincho" w:hAnsi="Calibri" w:cs="Calibri"/>
                <w:b/>
                <w:w w:val="108"/>
                <w:sz w:val="20"/>
                <w:szCs w:val="20"/>
              </w:rPr>
              <w:t xml:space="preserve">Through </w:t>
            </w:r>
            <w:r w:rsidRPr="00B97E4B">
              <w:rPr>
                <w:rFonts w:ascii="Calibri" w:eastAsia="MS Mincho" w:hAnsi="Calibri" w:cs="Calibri"/>
                <w:b/>
                <w:sz w:val="20"/>
                <w:szCs w:val="20"/>
              </w:rPr>
              <w:t>Week</w:t>
            </w:r>
            <w:r w:rsidRPr="00B97E4B">
              <w:rPr>
                <w:rFonts w:ascii="Calibri" w:eastAsia="MS Mincho" w:hAnsi="Calibri" w:cs="Calibri"/>
                <w:b/>
                <w:spacing w:val="10"/>
                <w:sz w:val="20"/>
                <w:szCs w:val="20"/>
              </w:rPr>
              <w:t xml:space="preserve"> </w:t>
            </w:r>
            <w:r w:rsidRPr="00B97E4B">
              <w:rPr>
                <w:rFonts w:ascii="Calibri" w:eastAsia="MS Mincho" w:hAnsi="Calibri" w:cs="Calibri"/>
                <w:b/>
                <w:sz w:val="20"/>
                <w:szCs w:val="20"/>
              </w:rPr>
              <w:t>24</w:t>
            </w:r>
          </w:p>
          <w:p w14:paraId="163BBD63" w14:textId="77777777" w:rsidR="002161FA" w:rsidRPr="00B97E4B" w:rsidRDefault="002161FA" w:rsidP="00827699">
            <w:pPr>
              <w:autoSpaceDE w:val="0"/>
              <w:autoSpaceDN w:val="0"/>
              <w:adjustRightInd w:val="0"/>
              <w:spacing w:before="0" w:after="0" w:line="240" w:lineRule="auto"/>
              <w:ind w:left="-30" w:firstLine="30"/>
              <w:jc w:val="center"/>
              <w:rPr>
                <w:rFonts w:ascii="Calibri" w:eastAsia="MS Mincho" w:hAnsi="Calibri" w:cs="Calibri"/>
                <w:b/>
                <w:sz w:val="20"/>
                <w:szCs w:val="20"/>
              </w:rPr>
            </w:pPr>
            <w:r w:rsidRPr="00B97E4B">
              <w:rPr>
                <w:rFonts w:ascii="Calibri" w:eastAsia="MS Mincho" w:hAnsi="Calibri" w:cs="Calibri"/>
                <w:b/>
                <w:sz w:val="20"/>
                <w:szCs w:val="20"/>
              </w:rPr>
              <w:t>N=142</w:t>
            </w:r>
          </w:p>
          <w:p w14:paraId="0CDD2E8C" w14:textId="77777777" w:rsidR="002161FA" w:rsidRPr="00B97E4B" w:rsidRDefault="002161FA" w:rsidP="00827699">
            <w:pPr>
              <w:autoSpaceDE w:val="0"/>
              <w:autoSpaceDN w:val="0"/>
              <w:adjustRightInd w:val="0"/>
              <w:spacing w:before="0" w:after="0" w:line="240" w:lineRule="auto"/>
              <w:ind w:left="-30" w:firstLine="30"/>
              <w:jc w:val="center"/>
              <w:rPr>
                <w:rFonts w:ascii="Calibri" w:eastAsia="MS Mincho" w:hAnsi="Calibri" w:cs="Calibri"/>
                <w:b/>
                <w:sz w:val="20"/>
                <w:szCs w:val="20"/>
              </w:rPr>
            </w:pPr>
            <w:r w:rsidRPr="00B97E4B">
              <w:rPr>
                <w:rFonts w:ascii="Calibri" w:eastAsia="MS Mincho" w:hAnsi="Calibri" w:cs="Calibri"/>
                <w:b/>
                <w:sz w:val="20"/>
                <w:szCs w:val="20"/>
              </w:rPr>
              <w:t>n</w:t>
            </w:r>
            <w:r w:rsidRPr="00B97E4B">
              <w:rPr>
                <w:rFonts w:ascii="Calibri" w:eastAsia="MS Mincho" w:hAnsi="Calibri" w:cs="Calibri"/>
                <w:b/>
                <w:spacing w:val="10"/>
                <w:sz w:val="20"/>
                <w:szCs w:val="20"/>
              </w:rPr>
              <w:t xml:space="preserve"> </w:t>
            </w:r>
            <w:r w:rsidRPr="00B97E4B">
              <w:rPr>
                <w:rFonts w:ascii="Calibri" w:eastAsia="MS Mincho" w:hAnsi="Calibri" w:cs="Calibri"/>
                <w:b/>
                <w:sz w:val="20"/>
                <w:szCs w:val="20"/>
              </w:rPr>
              <w:t>(%)</w:t>
            </w:r>
          </w:p>
        </w:tc>
        <w:tc>
          <w:tcPr>
            <w:tcW w:w="1771" w:type="dxa"/>
            <w:vAlign w:val="center"/>
          </w:tcPr>
          <w:p w14:paraId="1C4F7173" w14:textId="77777777" w:rsidR="002161FA" w:rsidRPr="00B97E4B" w:rsidRDefault="002161FA" w:rsidP="00827699">
            <w:pPr>
              <w:autoSpaceDE w:val="0"/>
              <w:autoSpaceDN w:val="0"/>
              <w:adjustRightInd w:val="0"/>
              <w:spacing w:before="0" w:after="0" w:line="240" w:lineRule="auto"/>
              <w:ind w:left="-30" w:firstLine="30"/>
              <w:jc w:val="center"/>
              <w:rPr>
                <w:rFonts w:ascii="Calibri" w:eastAsia="MS Mincho" w:hAnsi="Calibri" w:cs="Calibri"/>
                <w:b/>
                <w:sz w:val="20"/>
                <w:szCs w:val="20"/>
              </w:rPr>
            </w:pPr>
            <w:r w:rsidRPr="00B97E4B">
              <w:rPr>
                <w:rFonts w:ascii="Calibri" w:eastAsia="MS Mincho" w:hAnsi="Calibri" w:cs="Calibri"/>
                <w:b/>
                <w:sz w:val="20"/>
                <w:szCs w:val="20"/>
              </w:rPr>
              <w:t>Post</w:t>
            </w:r>
            <w:r w:rsidRPr="00B97E4B">
              <w:rPr>
                <w:rFonts w:ascii="Calibri" w:eastAsia="MS Mincho" w:hAnsi="Calibri" w:cs="Calibri"/>
                <w:b/>
                <w:spacing w:val="32"/>
                <w:sz w:val="20"/>
                <w:szCs w:val="20"/>
              </w:rPr>
              <w:t xml:space="preserve"> </w:t>
            </w:r>
            <w:r w:rsidRPr="00B97E4B">
              <w:rPr>
                <w:rFonts w:ascii="Calibri" w:eastAsia="MS Mincho" w:hAnsi="Calibri" w:cs="Calibri"/>
                <w:b/>
                <w:sz w:val="20"/>
                <w:szCs w:val="20"/>
              </w:rPr>
              <w:t>Week</w:t>
            </w:r>
            <w:r w:rsidRPr="00B97E4B">
              <w:rPr>
                <w:rFonts w:ascii="Calibri" w:eastAsia="MS Mincho" w:hAnsi="Calibri" w:cs="Calibri"/>
                <w:b/>
                <w:spacing w:val="10"/>
                <w:sz w:val="20"/>
                <w:szCs w:val="20"/>
              </w:rPr>
              <w:t xml:space="preserve"> </w:t>
            </w:r>
            <w:r w:rsidRPr="00B97E4B">
              <w:rPr>
                <w:rFonts w:ascii="Calibri" w:eastAsia="MS Mincho" w:hAnsi="Calibri" w:cs="Calibri"/>
                <w:b/>
                <w:sz w:val="20"/>
                <w:szCs w:val="20"/>
              </w:rPr>
              <w:t>24</w:t>
            </w:r>
          </w:p>
          <w:p w14:paraId="2EC01249" w14:textId="77777777" w:rsidR="002161FA" w:rsidRPr="00B97E4B" w:rsidRDefault="002161FA" w:rsidP="00827699">
            <w:pPr>
              <w:autoSpaceDE w:val="0"/>
              <w:autoSpaceDN w:val="0"/>
              <w:adjustRightInd w:val="0"/>
              <w:spacing w:before="0" w:after="0" w:line="240" w:lineRule="auto"/>
              <w:ind w:left="-30" w:firstLine="30"/>
              <w:jc w:val="center"/>
              <w:rPr>
                <w:rFonts w:ascii="Calibri" w:eastAsia="MS Mincho" w:hAnsi="Calibri" w:cs="Calibri"/>
                <w:b/>
                <w:sz w:val="20"/>
                <w:szCs w:val="20"/>
              </w:rPr>
            </w:pPr>
            <w:r w:rsidRPr="00B97E4B">
              <w:rPr>
                <w:rFonts w:ascii="Calibri" w:eastAsia="MS Mincho" w:hAnsi="Calibri" w:cs="Calibri"/>
                <w:b/>
                <w:w w:val="108"/>
                <w:sz w:val="20"/>
                <w:szCs w:val="20"/>
              </w:rPr>
              <w:t xml:space="preserve">Through </w:t>
            </w:r>
            <w:r w:rsidRPr="00B97E4B">
              <w:rPr>
                <w:rFonts w:ascii="Calibri" w:eastAsia="MS Mincho" w:hAnsi="Calibri" w:cs="Calibri"/>
                <w:b/>
                <w:sz w:val="20"/>
                <w:szCs w:val="20"/>
              </w:rPr>
              <w:t>Week</w:t>
            </w:r>
            <w:r w:rsidRPr="00B97E4B">
              <w:rPr>
                <w:rFonts w:ascii="Calibri" w:eastAsia="MS Mincho" w:hAnsi="Calibri" w:cs="Calibri"/>
                <w:b/>
                <w:spacing w:val="10"/>
                <w:sz w:val="20"/>
                <w:szCs w:val="20"/>
              </w:rPr>
              <w:t xml:space="preserve"> </w:t>
            </w:r>
            <w:r w:rsidRPr="00B97E4B">
              <w:rPr>
                <w:rFonts w:ascii="Calibri" w:eastAsia="MS Mincho" w:hAnsi="Calibri" w:cs="Calibri"/>
                <w:b/>
                <w:sz w:val="20"/>
                <w:szCs w:val="20"/>
              </w:rPr>
              <w:t>48</w:t>
            </w:r>
          </w:p>
          <w:p w14:paraId="198A3544" w14:textId="77777777" w:rsidR="002161FA" w:rsidRPr="00B97E4B" w:rsidRDefault="002161FA" w:rsidP="00827699">
            <w:pPr>
              <w:autoSpaceDE w:val="0"/>
              <w:autoSpaceDN w:val="0"/>
              <w:adjustRightInd w:val="0"/>
              <w:spacing w:before="0" w:after="0" w:line="240" w:lineRule="auto"/>
              <w:ind w:left="-30" w:firstLine="30"/>
              <w:jc w:val="center"/>
              <w:rPr>
                <w:rFonts w:ascii="Calibri" w:eastAsia="MS Mincho" w:hAnsi="Calibri" w:cs="Calibri"/>
                <w:b/>
                <w:sz w:val="20"/>
                <w:szCs w:val="20"/>
              </w:rPr>
            </w:pPr>
            <w:r w:rsidRPr="00B97E4B">
              <w:rPr>
                <w:rFonts w:ascii="Calibri" w:eastAsia="MS Mincho" w:hAnsi="Calibri" w:cs="Calibri"/>
                <w:b/>
                <w:sz w:val="20"/>
                <w:szCs w:val="20"/>
              </w:rPr>
              <w:t>N=142</w:t>
            </w:r>
          </w:p>
          <w:p w14:paraId="662A34C3" w14:textId="77777777" w:rsidR="002161FA" w:rsidRPr="00B97E4B" w:rsidRDefault="002161FA" w:rsidP="00827699">
            <w:pPr>
              <w:autoSpaceDE w:val="0"/>
              <w:autoSpaceDN w:val="0"/>
              <w:adjustRightInd w:val="0"/>
              <w:spacing w:before="0" w:after="0" w:line="240" w:lineRule="auto"/>
              <w:ind w:left="-30" w:firstLine="30"/>
              <w:jc w:val="center"/>
              <w:rPr>
                <w:rFonts w:ascii="Calibri" w:eastAsia="MS Mincho" w:hAnsi="Calibri" w:cs="Calibri"/>
                <w:b/>
                <w:sz w:val="20"/>
                <w:szCs w:val="20"/>
              </w:rPr>
            </w:pPr>
            <w:r w:rsidRPr="00B97E4B">
              <w:rPr>
                <w:rFonts w:ascii="Calibri" w:eastAsia="MS Mincho" w:hAnsi="Calibri" w:cs="Calibri"/>
                <w:b/>
                <w:sz w:val="20"/>
                <w:szCs w:val="20"/>
              </w:rPr>
              <w:t>n</w:t>
            </w:r>
            <w:r w:rsidRPr="00B97E4B">
              <w:rPr>
                <w:rFonts w:ascii="Calibri" w:eastAsia="MS Mincho" w:hAnsi="Calibri" w:cs="Calibri"/>
                <w:b/>
                <w:spacing w:val="10"/>
                <w:sz w:val="20"/>
                <w:szCs w:val="20"/>
              </w:rPr>
              <w:t xml:space="preserve"> </w:t>
            </w:r>
            <w:r w:rsidRPr="00B97E4B">
              <w:rPr>
                <w:rFonts w:ascii="Calibri" w:eastAsia="MS Mincho" w:hAnsi="Calibri" w:cs="Calibri"/>
                <w:b/>
                <w:sz w:val="20"/>
                <w:szCs w:val="20"/>
              </w:rPr>
              <w:t>(%)</w:t>
            </w:r>
          </w:p>
        </w:tc>
        <w:tc>
          <w:tcPr>
            <w:tcW w:w="1771" w:type="dxa"/>
            <w:vAlign w:val="center"/>
          </w:tcPr>
          <w:p w14:paraId="7C370C7B" w14:textId="77777777" w:rsidR="002161FA" w:rsidRPr="00B97E4B" w:rsidRDefault="002161FA" w:rsidP="00827699">
            <w:pPr>
              <w:autoSpaceDE w:val="0"/>
              <w:autoSpaceDN w:val="0"/>
              <w:adjustRightInd w:val="0"/>
              <w:spacing w:before="0" w:after="0" w:line="240" w:lineRule="auto"/>
              <w:ind w:left="-30" w:firstLine="30"/>
              <w:jc w:val="center"/>
              <w:rPr>
                <w:rFonts w:ascii="Calibri" w:eastAsia="MS Mincho" w:hAnsi="Calibri" w:cs="Calibri"/>
                <w:b/>
                <w:sz w:val="20"/>
                <w:szCs w:val="20"/>
              </w:rPr>
            </w:pPr>
            <w:r w:rsidRPr="00B97E4B">
              <w:rPr>
                <w:rFonts w:ascii="Calibri" w:eastAsia="MS Mincho" w:hAnsi="Calibri" w:cs="Calibri"/>
                <w:b/>
                <w:w w:val="108"/>
                <w:sz w:val="20"/>
                <w:szCs w:val="20"/>
              </w:rPr>
              <w:t xml:space="preserve">Post </w:t>
            </w:r>
            <w:r w:rsidRPr="00B97E4B">
              <w:rPr>
                <w:rFonts w:ascii="Calibri" w:eastAsia="MS Mincho" w:hAnsi="Calibri" w:cs="Calibri"/>
                <w:b/>
                <w:sz w:val="20"/>
                <w:szCs w:val="20"/>
              </w:rPr>
              <w:t>Week</w:t>
            </w:r>
            <w:r w:rsidRPr="00B97E4B">
              <w:rPr>
                <w:rFonts w:ascii="Calibri" w:eastAsia="MS Mincho" w:hAnsi="Calibri" w:cs="Calibri"/>
                <w:b/>
                <w:spacing w:val="10"/>
                <w:sz w:val="20"/>
                <w:szCs w:val="20"/>
              </w:rPr>
              <w:t xml:space="preserve"> </w:t>
            </w:r>
            <w:r w:rsidRPr="00B97E4B">
              <w:rPr>
                <w:rFonts w:ascii="Calibri" w:eastAsia="MS Mincho" w:hAnsi="Calibri" w:cs="Calibri"/>
                <w:b/>
                <w:sz w:val="20"/>
                <w:szCs w:val="20"/>
              </w:rPr>
              <w:t>48</w:t>
            </w:r>
          </w:p>
          <w:p w14:paraId="66E6BD3F" w14:textId="77777777" w:rsidR="002161FA" w:rsidRPr="00B97E4B" w:rsidRDefault="002161FA" w:rsidP="00827699">
            <w:pPr>
              <w:autoSpaceDE w:val="0"/>
              <w:autoSpaceDN w:val="0"/>
              <w:adjustRightInd w:val="0"/>
              <w:spacing w:before="0" w:after="0" w:line="240" w:lineRule="auto"/>
              <w:ind w:left="-30" w:firstLine="30"/>
              <w:jc w:val="center"/>
              <w:rPr>
                <w:rFonts w:ascii="Calibri" w:eastAsia="MS Mincho" w:hAnsi="Calibri" w:cs="Calibri"/>
                <w:b/>
                <w:sz w:val="20"/>
                <w:szCs w:val="20"/>
              </w:rPr>
            </w:pPr>
            <w:r w:rsidRPr="00B97E4B">
              <w:rPr>
                <w:rFonts w:ascii="Calibri" w:eastAsia="MS Mincho" w:hAnsi="Calibri" w:cs="Calibri"/>
                <w:b/>
                <w:sz w:val="20"/>
                <w:szCs w:val="20"/>
              </w:rPr>
              <w:t>N=142</w:t>
            </w:r>
          </w:p>
          <w:p w14:paraId="3CF70FC0" w14:textId="77777777" w:rsidR="002161FA" w:rsidRPr="00B97E4B" w:rsidRDefault="002161FA" w:rsidP="00827699">
            <w:pPr>
              <w:autoSpaceDE w:val="0"/>
              <w:autoSpaceDN w:val="0"/>
              <w:adjustRightInd w:val="0"/>
              <w:spacing w:before="0" w:after="0" w:line="240" w:lineRule="auto"/>
              <w:ind w:left="-30" w:firstLine="30"/>
              <w:jc w:val="center"/>
              <w:rPr>
                <w:rFonts w:ascii="Calibri" w:eastAsia="MS Mincho" w:hAnsi="Calibri" w:cs="Calibri"/>
                <w:b/>
                <w:sz w:val="20"/>
                <w:szCs w:val="20"/>
              </w:rPr>
            </w:pPr>
            <w:r w:rsidRPr="00B97E4B">
              <w:rPr>
                <w:rFonts w:ascii="Calibri" w:eastAsia="MS Mincho" w:hAnsi="Calibri" w:cs="Calibri"/>
                <w:b/>
                <w:sz w:val="20"/>
                <w:szCs w:val="20"/>
              </w:rPr>
              <w:t>n</w:t>
            </w:r>
            <w:r w:rsidRPr="00B97E4B">
              <w:rPr>
                <w:rFonts w:ascii="Calibri" w:eastAsia="MS Mincho" w:hAnsi="Calibri" w:cs="Calibri"/>
                <w:b/>
                <w:spacing w:val="10"/>
                <w:sz w:val="20"/>
                <w:szCs w:val="20"/>
              </w:rPr>
              <w:t xml:space="preserve"> </w:t>
            </w:r>
            <w:r w:rsidRPr="00B97E4B">
              <w:rPr>
                <w:rFonts w:ascii="Calibri" w:eastAsia="MS Mincho" w:hAnsi="Calibri" w:cs="Calibri"/>
                <w:b/>
                <w:sz w:val="20"/>
                <w:szCs w:val="20"/>
              </w:rPr>
              <w:t>(%)</w:t>
            </w:r>
          </w:p>
        </w:tc>
        <w:tc>
          <w:tcPr>
            <w:tcW w:w="1401" w:type="dxa"/>
            <w:vAlign w:val="center"/>
          </w:tcPr>
          <w:p w14:paraId="6D2407DF" w14:textId="77777777" w:rsidR="002161FA" w:rsidRPr="00B97E4B" w:rsidRDefault="002161FA" w:rsidP="00827699">
            <w:pPr>
              <w:autoSpaceDE w:val="0"/>
              <w:autoSpaceDN w:val="0"/>
              <w:adjustRightInd w:val="0"/>
              <w:spacing w:before="0" w:after="0" w:line="240" w:lineRule="auto"/>
              <w:ind w:left="-30" w:firstLine="30"/>
              <w:jc w:val="center"/>
              <w:rPr>
                <w:rFonts w:ascii="Calibri" w:eastAsia="MS Mincho" w:hAnsi="Calibri" w:cs="Calibri"/>
                <w:b/>
                <w:sz w:val="20"/>
                <w:szCs w:val="20"/>
              </w:rPr>
            </w:pPr>
            <w:r w:rsidRPr="00B97E4B">
              <w:rPr>
                <w:rFonts w:ascii="Calibri" w:eastAsia="MS Mincho" w:hAnsi="Calibri" w:cs="Calibri"/>
                <w:b/>
                <w:sz w:val="20"/>
                <w:szCs w:val="20"/>
              </w:rPr>
              <w:t>Total</w:t>
            </w:r>
          </w:p>
          <w:p w14:paraId="1A4EEF06" w14:textId="77777777" w:rsidR="002161FA" w:rsidRPr="00B97E4B" w:rsidRDefault="002161FA" w:rsidP="00827699">
            <w:pPr>
              <w:autoSpaceDE w:val="0"/>
              <w:autoSpaceDN w:val="0"/>
              <w:adjustRightInd w:val="0"/>
              <w:spacing w:before="0" w:after="0" w:line="240" w:lineRule="auto"/>
              <w:ind w:left="-30" w:firstLine="30"/>
              <w:jc w:val="center"/>
              <w:rPr>
                <w:rFonts w:ascii="Calibri" w:eastAsia="MS Mincho" w:hAnsi="Calibri" w:cs="Calibri"/>
                <w:b/>
                <w:sz w:val="20"/>
                <w:szCs w:val="20"/>
              </w:rPr>
            </w:pPr>
            <w:r w:rsidRPr="00B97E4B">
              <w:rPr>
                <w:rFonts w:ascii="Calibri" w:eastAsia="MS Mincho" w:hAnsi="Calibri" w:cs="Calibri"/>
                <w:b/>
                <w:sz w:val="20"/>
                <w:szCs w:val="20"/>
              </w:rPr>
              <w:t>N=142</w:t>
            </w:r>
          </w:p>
          <w:p w14:paraId="61347A24" w14:textId="77777777" w:rsidR="002161FA" w:rsidRPr="00B97E4B" w:rsidRDefault="002161FA" w:rsidP="00827699">
            <w:pPr>
              <w:autoSpaceDE w:val="0"/>
              <w:autoSpaceDN w:val="0"/>
              <w:adjustRightInd w:val="0"/>
              <w:spacing w:before="0" w:after="0" w:line="240" w:lineRule="auto"/>
              <w:ind w:left="-30" w:firstLine="30"/>
              <w:jc w:val="center"/>
              <w:rPr>
                <w:rFonts w:ascii="Calibri" w:eastAsia="MS Mincho" w:hAnsi="Calibri" w:cs="Calibri"/>
                <w:b/>
                <w:sz w:val="20"/>
                <w:szCs w:val="20"/>
              </w:rPr>
            </w:pPr>
            <w:r w:rsidRPr="00B97E4B">
              <w:rPr>
                <w:rFonts w:ascii="Calibri" w:eastAsia="MS Mincho" w:hAnsi="Calibri" w:cs="Calibri"/>
                <w:b/>
                <w:sz w:val="20"/>
                <w:szCs w:val="20"/>
              </w:rPr>
              <w:t>n</w:t>
            </w:r>
            <w:r w:rsidRPr="00B97E4B">
              <w:rPr>
                <w:rFonts w:ascii="Calibri" w:eastAsia="MS Mincho" w:hAnsi="Calibri" w:cs="Calibri"/>
                <w:b/>
                <w:spacing w:val="10"/>
                <w:sz w:val="20"/>
                <w:szCs w:val="20"/>
              </w:rPr>
              <w:t xml:space="preserve"> </w:t>
            </w:r>
            <w:r w:rsidRPr="00B97E4B">
              <w:rPr>
                <w:rFonts w:ascii="Calibri" w:eastAsia="MS Mincho" w:hAnsi="Calibri" w:cs="Calibri"/>
                <w:b/>
                <w:sz w:val="20"/>
                <w:szCs w:val="20"/>
              </w:rPr>
              <w:t>(%)</w:t>
            </w:r>
          </w:p>
        </w:tc>
      </w:tr>
      <w:tr w:rsidR="002161FA" w:rsidRPr="00B97E4B" w14:paraId="7210EF3C" w14:textId="77777777" w:rsidTr="00935AB2">
        <w:trPr>
          <w:cantSplit/>
          <w:trHeight w:hRule="exact" w:val="286"/>
        </w:trPr>
        <w:tc>
          <w:tcPr>
            <w:tcW w:w="1772" w:type="dxa"/>
            <w:vAlign w:val="center"/>
          </w:tcPr>
          <w:p w14:paraId="3F10591A" w14:textId="77777777" w:rsidR="002161FA" w:rsidRPr="00B97E4B" w:rsidRDefault="002161FA" w:rsidP="00827699">
            <w:pPr>
              <w:autoSpaceDE w:val="0"/>
              <w:autoSpaceDN w:val="0"/>
              <w:adjustRightInd w:val="0"/>
              <w:spacing w:before="0" w:after="0" w:line="240" w:lineRule="auto"/>
              <w:ind w:left="102" w:right="-20"/>
              <w:rPr>
                <w:rFonts w:ascii="Calibri" w:eastAsia="MS Mincho" w:hAnsi="Calibri" w:cs="Calibri"/>
                <w:sz w:val="20"/>
                <w:szCs w:val="20"/>
              </w:rPr>
            </w:pPr>
            <w:r w:rsidRPr="00B97E4B">
              <w:rPr>
                <w:rFonts w:ascii="Calibri" w:eastAsia="MS Mincho" w:hAnsi="Calibri" w:cs="Calibri"/>
                <w:sz w:val="20"/>
                <w:szCs w:val="20"/>
              </w:rPr>
              <w:t>PDVF</w:t>
            </w:r>
          </w:p>
        </w:tc>
        <w:tc>
          <w:tcPr>
            <w:tcW w:w="1928" w:type="dxa"/>
            <w:vAlign w:val="center"/>
          </w:tcPr>
          <w:p w14:paraId="7136FF60" w14:textId="77777777" w:rsidR="002161FA" w:rsidRPr="00B97E4B" w:rsidRDefault="002161FA" w:rsidP="00827699">
            <w:pPr>
              <w:autoSpaceDE w:val="0"/>
              <w:autoSpaceDN w:val="0"/>
              <w:adjustRightInd w:val="0"/>
              <w:spacing w:before="0" w:after="0" w:line="240" w:lineRule="auto"/>
              <w:jc w:val="center"/>
              <w:rPr>
                <w:rFonts w:ascii="Calibri" w:eastAsia="MS Mincho" w:hAnsi="Calibri" w:cs="Calibri"/>
                <w:sz w:val="20"/>
                <w:szCs w:val="20"/>
              </w:rPr>
            </w:pPr>
            <w:r w:rsidRPr="00B97E4B">
              <w:rPr>
                <w:rFonts w:ascii="Calibri" w:eastAsia="MS Mincho" w:hAnsi="Calibri" w:cs="Calibri"/>
                <w:spacing w:val="1"/>
                <w:sz w:val="20"/>
                <w:szCs w:val="20"/>
              </w:rPr>
              <w:t>2</w:t>
            </w:r>
            <w:r w:rsidRPr="00B97E4B">
              <w:rPr>
                <w:rFonts w:ascii="Calibri" w:eastAsia="MS Mincho" w:hAnsi="Calibri" w:cs="Calibri"/>
                <w:sz w:val="20"/>
                <w:szCs w:val="20"/>
              </w:rPr>
              <w:t>0</w:t>
            </w:r>
            <w:r w:rsidRPr="00B97E4B">
              <w:rPr>
                <w:rFonts w:ascii="Calibri" w:eastAsia="MS Mincho" w:hAnsi="Calibri" w:cs="Calibri"/>
                <w:spacing w:val="1"/>
                <w:sz w:val="20"/>
                <w:szCs w:val="20"/>
              </w:rPr>
              <w:t xml:space="preserve"> (14)</w:t>
            </w:r>
          </w:p>
        </w:tc>
        <w:tc>
          <w:tcPr>
            <w:tcW w:w="1771" w:type="dxa"/>
            <w:vAlign w:val="center"/>
          </w:tcPr>
          <w:p w14:paraId="65F00A45" w14:textId="77777777" w:rsidR="002161FA" w:rsidRPr="00B97E4B" w:rsidRDefault="002161FA" w:rsidP="00827699">
            <w:pPr>
              <w:autoSpaceDE w:val="0"/>
              <w:autoSpaceDN w:val="0"/>
              <w:adjustRightInd w:val="0"/>
              <w:spacing w:before="0" w:after="0" w:line="240" w:lineRule="auto"/>
              <w:jc w:val="center"/>
              <w:rPr>
                <w:rFonts w:ascii="Calibri" w:eastAsia="MS Mincho" w:hAnsi="Calibri" w:cs="Calibri"/>
                <w:sz w:val="20"/>
                <w:szCs w:val="20"/>
              </w:rPr>
            </w:pPr>
            <w:r w:rsidRPr="00B97E4B">
              <w:rPr>
                <w:rFonts w:ascii="Calibri" w:eastAsia="MS Mincho" w:hAnsi="Calibri" w:cs="Calibri"/>
                <w:sz w:val="20"/>
                <w:szCs w:val="20"/>
              </w:rPr>
              <w:t>8</w:t>
            </w:r>
            <w:r w:rsidRPr="00B97E4B">
              <w:rPr>
                <w:rFonts w:ascii="Calibri" w:eastAsia="MS Mincho" w:hAnsi="Calibri" w:cs="Calibri"/>
                <w:spacing w:val="1"/>
                <w:sz w:val="20"/>
                <w:szCs w:val="20"/>
              </w:rPr>
              <w:t xml:space="preserve"> </w:t>
            </w:r>
            <w:r w:rsidRPr="00B97E4B">
              <w:rPr>
                <w:rFonts w:ascii="Calibri" w:eastAsia="MS Mincho" w:hAnsi="Calibri" w:cs="Calibri"/>
                <w:sz w:val="20"/>
                <w:szCs w:val="20"/>
              </w:rPr>
              <w:t>(6)</w:t>
            </w:r>
          </w:p>
        </w:tc>
        <w:tc>
          <w:tcPr>
            <w:tcW w:w="1771" w:type="dxa"/>
            <w:vAlign w:val="center"/>
          </w:tcPr>
          <w:p w14:paraId="44C6F7C5" w14:textId="77777777" w:rsidR="002161FA" w:rsidRPr="00B97E4B" w:rsidRDefault="002161FA" w:rsidP="00827699">
            <w:pPr>
              <w:autoSpaceDE w:val="0"/>
              <w:autoSpaceDN w:val="0"/>
              <w:adjustRightInd w:val="0"/>
              <w:spacing w:before="0" w:after="0" w:line="240" w:lineRule="auto"/>
              <w:jc w:val="center"/>
              <w:rPr>
                <w:rFonts w:ascii="Calibri" w:eastAsia="MS Mincho" w:hAnsi="Calibri" w:cs="Calibri"/>
                <w:sz w:val="20"/>
                <w:szCs w:val="20"/>
              </w:rPr>
            </w:pPr>
            <w:r w:rsidRPr="00B97E4B">
              <w:rPr>
                <w:rFonts w:ascii="Calibri" w:eastAsia="MS Mincho" w:hAnsi="Calibri" w:cs="Calibri"/>
                <w:sz w:val="20"/>
                <w:szCs w:val="20"/>
              </w:rPr>
              <w:t>8</w:t>
            </w:r>
            <w:r w:rsidRPr="00B97E4B">
              <w:rPr>
                <w:rFonts w:ascii="Calibri" w:eastAsia="MS Mincho" w:hAnsi="Calibri" w:cs="Calibri"/>
                <w:spacing w:val="1"/>
                <w:sz w:val="20"/>
                <w:szCs w:val="20"/>
              </w:rPr>
              <w:t xml:space="preserve"> </w:t>
            </w:r>
            <w:r w:rsidRPr="00B97E4B">
              <w:rPr>
                <w:rFonts w:ascii="Calibri" w:eastAsia="MS Mincho" w:hAnsi="Calibri" w:cs="Calibri"/>
                <w:sz w:val="20"/>
                <w:szCs w:val="20"/>
              </w:rPr>
              <w:t>(6)</w:t>
            </w:r>
          </w:p>
        </w:tc>
        <w:tc>
          <w:tcPr>
            <w:tcW w:w="1401" w:type="dxa"/>
            <w:vAlign w:val="center"/>
          </w:tcPr>
          <w:p w14:paraId="201C2054" w14:textId="77777777" w:rsidR="002161FA" w:rsidRPr="00B97E4B" w:rsidRDefault="002161FA" w:rsidP="00827699">
            <w:pPr>
              <w:autoSpaceDE w:val="0"/>
              <w:autoSpaceDN w:val="0"/>
              <w:adjustRightInd w:val="0"/>
              <w:spacing w:before="0" w:after="0" w:line="240" w:lineRule="auto"/>
              <w:jc w:val="center"/>
              <w:rPr>
                <w:rFonts w:ascii="Calibri" w:eastAsia="MS Mincho" w:hAnsi="Calibri" w:cs="Calibri"/>
                <w:sz w:val="20"/>
                <w:szCs w:val="20"/>
              </w:rPr>
            </w:pPr>
            <w:r w:rsidRPr="00B97E4B">
              <w:rPr>
                <w:rFonts w:ascii="Calibri" w:eastAsia="MS Mincho" w:hAnsi="Calibri" w:cs="Calibri"/>
                <w:spacing w:val="1"/>
                <w:sz w:val="20"/>
                <w:szCs w:val="20"/>
              </w:rPr>
              <w:t>3</w:t>
            </w:r>
            <w:r w:rsidRPr="00B97E4B">
              <w:rPr>
                <w:rFonts w:ascii="Calibri" w:eastAsia="MS Mincho" w:hAnsi="Calibri" w:cs="Calibri"/>
                <w:sz w:val="20"/>
                <w:szCs w:val="20"/>
              </w:rPr>
              <w:t>6</w:t>
            </w:r>
            <w:r w:rsidRPr="00B97E4B">
              <w:rPr>
                <w:rFonts w:ascii="Calibri" w:eastAsia="MS Mincho" w:hAnsi="Calibri" w:cs="Calibri"/>
                <w:spacing w:val="1"/>
                <w:sz w:val="20"/>
                <w:szCs w:val="20"/>
              </w:rPr>
              <w:t xml:space="preserve"> (25)</w:t>
            </w:r>
          </w:p>
        </w:tc>
      </w:tr>
    </w:tbl>
    <w:p w14:paraId="3A1C2CEF" w14:textId="77777777" w:rsidR="00703924" w:rsidRDefault="00703924" w:rsidP="00703924">
      <w:pPr>
        <w:pStyle w:val="TableDescription"/>
      </w:pPr>
      <w:r>
        <w:t>PDVF = protocol defined virologic failure</w:t>
      </w:r>
    </w:p>
    <w:p w14:paraId="139FBFA7" w14:textId="6D33E2F8" w:rsidR="002161FA" w:rsidRDefault="002161FA" w:rsidP="002161FA">
      <w:r w:rsidRPr="00B97E4B">
        <w:t xml:space="preserve">The results were </w:t>
      </w:r>
      <w:proofErr w:type="gramStart"/>
      <w:r w:rsidRPr="00B97E4B">
        <w:t>similar to</w:t>
      </w:r>
      <w:proofErr w:type="gramEnd"/>
      <w:r w:rsidRPr="00B97E4B">
        <w:t xml:space="preserve"> that seen in similarly designed</w:t>
      </w:r>
      <w:r w:rsidR="00C81E52">
        <w:t xml:space="preserve"> adult studies when using a 400 </w:t>
      </w:r>
      <w:r w:rsidRPr="00B97E4B">
        <w:t>c</w:t>
      </w:r>
      <w:r w:rsidR="00C81E52">
        <w:t>opies</w:t>
      </w:r>
      <w:r w:rsidRPr="00B97E4B">
        <w:t>/mL threshold previously evaluated and approved. A slightly</w:t>
      </w:r>
      <w:r>
        <w:t xml:space="preserve"> lower efficacy was seen in the</w:t>
      </w:r>
      <w:r w:rsidRPr="00B97E4B">
        <w:t xml:space="preserve"> paediatric study com</w:t>
      </w:r>
      <w:r w:rsidR="00C81E52">
        <w:t>pared to the adult study at 24 weeks using the 50 </w:t>
      </w:r>
      <w:r w:rsidRPr="00B97E4B">
        <w:t>c</w:t>
      </w:r>
      <w:r w:rsidR="00C81E52">
        <w:t>opies</w:t>
      </w:r>
      <w:r w:rsidRPr="00B97E4B">
        <w:t>/mL threshold</w:t>
      </w:r>
      <w:r>
        <w:t>.</w:t>
      </w:r>
    </w:p>
    <w:p w14:paraId="155D20FC" w14:textId="77777777" w:rsidR="00C81E52" w:rsidRDefault="002161FA" w:rsidP="002161FA">
      <w:r>
        <w:t xml:space="preserve">The evaluator concluded that the numbers in this </w:t>
      </w:r>
      <w:r w:rsidRPr="00B97E4B">
        <w:t>single non-comparative study</w:t>
      </w:r>
      <w:r>
        <w:t xml:space="preserve"> were </w:t>
      </w:r>
      <w:proofErr w:type="gramStart"/>
      <w:r>
        <w:t>small, but</w:t>
      </w:r>
      <w:proofErr w:type="gramEnd"/>
      <w:r>
        <w:t xml:space="preserve"> </w:t>
      </w:r>
      <w:r w:rsidRPr="00B97E4B">
        <w:t>provide</w:t>
      </w:r>
      <w:r>
        <w:t>d</w:t>
      </w:r>
      <w:r w:rsidRPr="00B97E4B">
        <w:t xml:space="preserve"> acceptable antiviral activity and immunologic benefit through to 48 weeks.</w:t>
      </w:r>
    </w:p>
    <w:p w14:paraId="6D036CE4" w14:textId="4C61811B" w:rsidR="002161FA" w:rsidRPr="00B84A1A" w:rsidRDefault="00C81E52" w:rsidP="002161FA">
      <w:r>
        <w:t>The Delegated commented that the s</w:t>
      </w:r>
      <w:r w:rsidR="002161FA">
        <w:t xml:space="preserve">ponsor is requested to provide the completed study report for </w:t>
      </w:r>
      <w:r w:rsidR="002161FA" w:rsidRPr="00B97E4B">
        <w:t>Study ING112578</w:t>
      </w:r>
      <w:r w:rsidR="002161FA">
        <w:t xml:space="preserve"> as a future submission, when available.</w:t>
      </w:r>
    </w:p>
    <w:p w14:paraId="377568AE" w14:textId="77777777" w:rsidR="002161FA" w:rsidRDefault="002161FA" w:rsidP="002161FA">
      <w:pPr>
        <w:pStyle w:val="Heading4"/>
      </w:pPr>
      <w:r w:rsidRPr="00AA53F4">
        <w:t>Safety</w:t>
      </w:r>
    </w:p>
    <w:p w14:paraId="2E3DACCF" w14:textId="12ABEC38" w:rsidR="002161FA" w:rsidRDefault="002161FA" w:rsidP="002161FA">
      <w:r>
        <w:t xml:space="preserve">The safety database provided was limited especially for children &lt; 6 years. The data presented </w:t>
      </w:r>
      <w:r w:rsidR="00495763">
        <w:t>were from the ongoing efficacy Study ING 112578</w:t>
      </w:r>
      <w:r>
        <w:t xml:space="preserve"> </w:t>
      </w:r>
      <w:r w:rsidR="00495763">
        <w:t xml:space="preserve">(Study </w:t>
      </w:r>
      <w:r>
        <w:t>P1093</w:t>
      </w:r>
      <w:r w:rsidR="00495763">
        <w:t>)</w:t>
      </w:r>
      <w:r>
        <w:t xml:space="preserve"> and the PK subset of Study 201296 (ODYSSEY</w:t>
      </w:r>
      <w:r w:rsidR="00495763">
        <w:t xml:space="preserve"> </w:t>
      </w:r>
      <w:r w:rsidR="00935AB2">
        <w:t>trial</w:t>
      </w:r>
      <w:r>
        <w:t>), in addition to post-marketing data.</w:t>
      </w:r>
    </w:p>
    <w:p w14:paraId="6853F353" w14:textId="13B95521" w:rsidR="008C4EFA" w:rsidRPr="00946210" w:rsidRDefault="002161FA" w:rsidP="008C4EFA">
      <w:r w:rsidRPr="00A6344D">
        <w:t xml:space="preserve">Cough, pyrexia, diarrhoea, rhinorrhoea, vomiting, and nasal congestion were the most common </w:t>
      </w:r>
      <w:r w:rsidR="00495763">
        <w:t>adverse events</w:t>
      </w:r>
      <w:r w:rsidRPr="00A6344D">
        <w:t xml:space="preserve"> reported</w:t>
      </w:r>
      <w:r>
        <w:t>, consistent with common childhood infections</w:t>
      </w:r>
      <w:r w:rsidRPr="00A6344D">
        <w:t>.</w:t>
      </w:r>
      <w:r>
        <w:t xml:space="preserve"> </w:t>
      </w:r>
      <w:r w:rsidRPr="00A6344D">
        <w:t xml:space="preserve">No new safety information was identified, </w:t>
      </w:r>
      <w:proofErr w:type="gramStart"/>
      <w:r w:rsidRPr="00A6344D">
        <w:t>with the exception of</w:t>
      </w:r>
      <w:proofErr w:type="gramEnd"/>
      <w:r w:rsidRPr="00A6344D">
        <w:t xml:space="preserve"> a case of anaphylactic reaction in a single patient.</w:t>
      </w:r>
    </w:p>
    <w:p w14:paraId="1E7AF46D" w14:textId="146DF858" w:rsidR="008E7846" w:rsidRDefault="00386150" w:rsidP="007B6132">
      <w:pPr>
        <w:pStyle w:val="Heading3"/>
        <w:rPr>
          <w:lang w:eastAsia="en-AU"/>
        </w:rPr>
      </w:pPr>
      <w:bookmarkStart w:id="43" w:name="_Toc314842514"/>
      <w:bookmarkStart w:id="44" w:name="_Toc107925364"/>
      <w:r>
        <w:rPr>
          <w:lang w:eastAsia="en-AU"/>
        </w:rPr>
        <w:t>Risk m</w:t>
      </w:r>
      <w:r w:rsidR="008E7846">
        <w:rPr>
          <w:lang w:eastAsia="en-AU"/>
        </w:rPr>
        <w:t xml:space="preserve">anagement </w:t>
      </w:r>
      <w:r>
        <w:rPr>
          <w:lang w:eastAsia="en-AU"/>
        </w:rPr>
        <w:t>p</w:t>
      </w:r>
      <w:r w:rsidR="008E7846">
        <w:rPr>
          <w:lang w:eastAsia="en-AU"/>
        </w:rPr>
        <w:t>lan</w:t>
      </w:r>
      <w:bookmarkEnd w:id="43"/>
      <w:bookmarkEnd w:id="44"/>
    </w:p>
    <w:p w14:paraId="527AF205" w14:textId="1A379B7C" w:rsidR="00AF1A54" w:rsidRPr="00A547B9" w:rsidRDefault="00AF1A54" w:rsidP="00AF1A54">
      <w:r>
        <w:t>The sponsor</w:t>
      </w:r>
      <w:r w:rsidRPr="00A547B9">
        <w:t xml:space="preserve"> has applie</w:t>
      </w:r>
      <w:r>
        <w:t xml:space="preserve">d to extend the indications of </w:t>
      </w:r>
      <w:proofErr w:type="spellStart"/>
      <w:r>
        <w:t>Tivicay</w:t>
      </w:r>
      <w:proofErr w:type="spellEnd"/>
      <w:r>
        <w:t xml:space="preserve"> (d</w:t>
      </w:r>
      <w:r w:rsidRPr="00A547B9">
        <w:t>olutegravir</w:t>
      </w:r>
      <w:r>
        <w:t>)</w:t>
      </w:r>
      <w:r w:rsidRPr="00A547B9">
        <w:t xml:space="preserve"> is currently approved for the treatment, in combination with other antivirals, of HIV in adults and children over 6 years of age with daily oral dosage of film coated tablets determined by age and body weight. The current submission seeks to extend the indications to include children under 6 years of age, and to register a new 5</w:t>
      </w:r>
      <w:r w:rsidR="00AF5CB0">
        <w:t xml:space="preserve"> </w:t>
      </w:r>
      <w:r w:rsidRPr="00A547B9">
        <w:t xml:space="preserve">mg dispersible tablet strength and dosage form to provide an appropriate formulation for infants. At </w:t>
      </w:r>
      <w:r>
        <w:t>the second round</w:t>
      </w:r>
      <w:r w:rsidRPr="00A547B9">
        <w:t xml:space="preserve">, the sponsor has changed the name of the dispersible formulation to </w:t>
      </w:r>
      <w:proofErr w:type="spellStart"/>
      <w:r w:rsidRPr="00A547B9">
        <w:t>Tivicay</w:t>
      </w:r>
      <w:proofErr w:type="spellEnd"/>
      <w:r w:rsidRPr="00A547B9">
        <w:t xml:space="preserve"> PD.</w:t>
      </w:r>
    </w:p>
    <w:p w14:paraId="59DD1166" w14:textId="4659F6A9" w:rsidR="00AF1A54" w:rsidRPr="00AF1A54" w:rsidRDefault="00AF1A54" w:rsidP="00AF1A54">
      <w:pPr>
        <w:rPr>
          <w:lang w:eastAsia="en-AU"/>
        </w:rPr>
      </w:pPr>
      <w:r w:rsidRPr="00A547B9">
        <w:t>The most recently evaluated EU-</w:t>
      </w:r>
      <w:r>
        <w:t>risk management plan (</w:t>
      </w:r>
      <w:r w:rsidRPr="00A547B9">
        <w:t>RMP</w:t>
      </w:r>
      <w:r>
        <w:t>) was version 15.0 (date 15 </w:t>
      </w:r>
      <w:r w:rsidRPr="00A547B9">
        <w:t xml:space="preserve">January 2019; </w:t>
      </w:r>
      <w:r>
        <w:t>data lock point (</w:t>
      </w:r>
      <w:r w:rsidRPr="00A547B9">
        <w:t>DLP</w:t>
      </w:r>
      <w:r>
        <w:t>)</w:t>
      </w:r>
      <w:r w:rsidRPr="00A547B9">
        <w:t xml:space="preserve"> 16 July 2018) and </w:t>
      </w:r>
      <w:r>
        <w:t>Australian specific annex (</w:t>
      </w:r>
      <w:r w:rsidRPr="00A547B9">
        <w:t>ASA</w:t>
      </w:r>
      <w:r>
        <w:t>)</w:t>
      </w:r>
      <w:r w:rsidRPr="00A547B9">
        <w:t xml:space="preserve"> version 6 (date 12 March 2019). In support of the extended indications, and new tablet strength and dosage form, the sponsor has submitted EU-RMP version 16.0 (no date; DLP 30 April 2019) and ASA version 7 (date 22 June 2020). At </w:t>
      </w:r>
      <w:r>
        <w:t>the second round</w:t>
      </w:r>
      <w:r w:rsidRPr="00A547B9">
        <w:t xml:space="preserve">, the sponsor submitted EU-RMP version 16.2 (date 9 November 2020; DLP 30 April 2019) and annotated ASA version 7.1. The sponsor subsequently provided clean ASA version 7.1 during the </w:t>
      </w:r>
      <w:proofErr w:type="gramStart"/>
      <w:r>
        <w:t>second round</w:t>
      </w:r>
      <w:proofErr w:type="gramEnd"/>
      <w:r w:rsidRPr="00A547B9">
        <w:t xml:space="preserve"> evaluation upon request by the evaluator</w:t>
      </w:r>
      <w:r w:rsidR="00E60381">
        <w:t>.</w:t>
      </w:r>
    </w:p>
    <w:p w14:paraId="75FEAE93" w14:textId="0F1C4410" w:rsidR="00AF1A54" w:rsidRPr="00A547B9" w:rsidRDefault="0074163C" w:rsidP="00AF1A54">
      <w:bookmarkStart w:id="45" w:name="_Toc247691531"/>
      <w:bookmarkStart w:id="46" w:name="_Toc314842515"/>
      <w:bookmarkStart w:id="47" w:name="_Toc196046505"/>
      <w:bookmarkStart w:id="48" w:name="_Toc196046949"/>
      <w:r>
        <w:lastRenderedPageBreak/>
        <w:t>The summary of safety concerns and their associated risk monitoring and mitigation strat</w:t>
      </w:r>
      <w:r w:rsidR="00AF1A54">
        <w:t>egies are summarised in</w:t>
      </w:r>
      <w:r w:rsidR="00703924">
        <w:t xml:space="preserve"> </w:t>
      </w:r>
      <w:r w:rsidR="00703924">
        <w:fldChar w:fldCharType="begin"/>
      </w:r>
      <w:r w:rsidR="00703924">
        <w:instrText xml:space="preserve"> REF _Ref105501259 \h </w:instrText>
      </w:r>
      <w:r w:rsidR="00703924">
        <w:fldChar w:fldCharType="separate"/>
      </w:r>
      <w:r w:rsidR="004D0F54">
        <w:t xml:space="preserve">Table </w:t>
      </w:r>
      <w:r w:rsidR="004D0F54">
        <w:rPr>
          <w:noProof/>
        </w:rPr>
        <w:t>7</w:t>
      </w:r>
      <w:r w:rsidR="004D0F54">
        <w:t>: Summary of safety concerns</w:t>
      </w:r>
      <w:r w:rsidR="00703924">
        <w:fldChar w:fldCharType="end"/>
      </w:r>
      <w:r>
        <w:t xml:space="preserve">. Further information regarding </w:t>
      </w:r>
      <w:r w:rsidR="00CC5044">
        <w:t>the TGA</w:t>
      </w:r>
      <w:r w:rsidR="00BF7063">
        <w:t>’</w:t>
      </w:r>
      <w:r w:rsidR="00CC5044">
        <w:t>s r</w:t>
      </w:r>
      <w:r>
        <w:t xml:space="preserve">isk management approach can be found in </w:t>
      </w:r>
      <w:hyperlink r:id="rId17" w:history="1">
        <w:r w:rsidRPr="0023444E">
          <w:rPr>
            <w:rStyle w:val="Hyperlink"/>
          </w:rPr>
          <w:t>risk management plans for medicines and biologicals</w:t>
        </w:r>
      </w:hyperlink>
      <w:r>
        <w:t xml:space="preserve"> and </w:t>
      </w:r>
      <w:hyperlink r:id="rId18" w:history="1">
        <w:r w:rsidRPr="0023444E">
          <w:rPr>
            <w:rStyle w:val="Hyperlink"/>
          </w:rPr>
          <w:t>the TGA's risk management approach</w:t>
        </w:r>
      </w:hyperlink>
      <w:r>
        <w:t>.</w:t>
      </w:r>
      <w:bookmarkStart w:id="49" w:name="_Ref97629131"/>
    </w:p>
    <w:p w14:paraId="297EC928" w14:textId="30F5A684" w:rsidR="0074163C" w:rsidRDefault="0074163C" w:rsidP="0074163C">
      <w:pPr>
        <w:pStyle w:val="TableTitle"/>
      </w:pPr>
      <w:bookmarkStart w:id="50" w:name="_Ref105501259"/>
      <w:r>
        <w:t xml:space="preserve">Table </w:t>
      </w:r>
      <w:r w:rsidR="00D174B5">
        <w:fldChar w:fldCharType="begin"/>
      </w:r>
      <w:r w:rsidR="00D174B5">
        <w:instrText xml:space="preserve"> SEQ Table \* ARABI</w:instrText>
      </w:r>
      <w:r w:rsidR="00D174B5">
        <w:instrText xml:space="preserve">C </w:instrText>
      </w:r>
      <w:r w:rsidR="00D174B5">
        <w:fldChar w:fldCharType="separate"/>
      </w:r>
      <w:r w:rsidR="004D0F54">
        <w:rPr>
          <w:noProof/>
        </w:rPr>
        <w:t>7</w:t>
      </w:r>
      <w:r w:rsidR="00D174B5">
        <w:rPr>
          <w:noProof/>
        </w:rPr>
        <w:fldChar w:fldCharType="end"/>
      </w:r>
      <w:bookmarkEnd w:id="49"/>
      <w:r>
        <w:t>: Summary of safety concerns</w:t>
      </w:r>
      <w:bookmarkEnd w:id="50"/>
    </w:p>
    <w:tbl>
      <w:tblPr>
        <w:tblStyle w:val="TableTGAblue"/>
        <w:tblW w:w="8658" w:type="dxa"/>
        <w:tblLayout w:type="fixed"/>
        <w:tblLook w:val="04A0" w:firstRow="1" w:lastRow="0" w:firstColumn="1" w:lastColumn="0" w:noHBand="0" w:noVBand="1"/>
      </w:tblPr>
      <w:tblGrid>
        <w:gridCol w:w="1327"/>
        <w:gridCol w:w="3191"/>
        <w:gridCol w:w="900"/>
        <w:gridCol w:w="1170"/>
        <w:gridCol w:w="900"/>
        <w:gridCol w:w="1170"/>
      </w:tblGrid>
      <w:tr w:rsidR="00A547B9" w:rsidRPr="00E60381" w14:paraId="37156A80" w14:textId="77777777" w:rsidTr="004D0F54">
        <w:trPr>
          <w:cnfStyle w:val="100000000000" w:firstRow="1" w:lastRow="0" w:firstColumn="0" w:lastColumn="0" w:oddVBand="0" w:evenVBand="0" w:oddHBand="0" w:evenHBand="0" w:firstRowFirstColumn="0" w:firstRowLastColumn="0" w:lastRowFirstColumn="0" w:lastRowLastColumn="0"/>
          <w:trHeight w:val="131"/>
        </w:trPr>
        <w:tc>
          <w:tcPr>
            <w:tcW w:w="4518" w:type="dxa"/>
            <w:gridSpan w:val="2"/>
            <w:vMerge w:val="restart"/>
            <w:tcBorders>
              <w:top w:val="single" w:sz="4" w:space="0" w:color="auto"/>
              <w:left w:val="single" w:sz="4" w:space="0" w:color="auto"/>
              <w:bottom w:val="single" w:sz="4" w:space="0" w:color="auto"/>
              <w:right w:val="single" w:sz="4" w:space="0" w:color="auto"/>
            </w:tcBorders>
          </w:tcPr>
          <w:p w14:paraId="03966FAD" w14:textId="77777777" w:rsidR="00A547B9" w:rsidRPr="00E60381" w:rsidRDefault="00A547B9" w:rsidP="00E60381">
            <w:pPr>
              <w:ind w:left="0" w:right="0"/>
              <w:rPr>
                <w:sz w:val="20"/>
                <w:szCs w:val="20"/>
              </w:rPr>
            </w:pPr>
            <w:r w:rsidRPr="00E60381">
              <w:rPr>
                <w:sz w:val="20"/>
                <w:szCs w:val="20"/>
              </w:rPr>
              <w:t>Summary of safety concerns</w:t>
            </w:r>
          </w:p>
        </w:tc>
        <w:tc>
          <w:tcPr>
            <w:tcW w:w="2070" w:type="dxa"/>
            <w:gridSpan w:val="2"/>
            <w:tcBorders>
              <w:top w:val="single" w:sz="4" w:space="0" w:color="auto"/>
              <w:left w:val="single" w:sz="4" w:space="0" w:color="auto"/>
              <w:bottom w:val="single" w:sz="4" w:space="0" w:color="auto"/>
              <w:right w:val="single" w:sz="4" w:space="0" w:color="auto"/>
            </w:tcBorders>
          </w:tcPr>
          <w:p w14:paraId="3D46F87E" w14:textId="77777777" w:rsidR="00A547B9" w:rsidRPr="00E60381" w:rsidRDefault="00A547B9" w:rsidP="00E60381">
            <w:pPr>
              <w:ind w:left="0" w:right="0"/>
              <w:rPr>
                <w:sz w:val="20"/>
                <w:szCs w:val="20"/>
              </w:rPr>
            </w:pPr>
            <w:r w:rsidRPr="00E60381">
              <w:rPr>
                <w:sz w:val="20"/>
                <w:szCs w:val="20"/>
              </w:rPr>
              <w:t>Pharmacovigilance</w:t>
            </w:r>
          </w:p>
        </w:tc>
        <w:tc>
          <w:tcPr>
            <w:tcW w:w="2070" w:type="dxa"/>
            <w:gridSpan w:val="2"/>
            <w:tcBorders>
              <w:top w:val="single" w:sz="4" w:space="0" w:color="auto"/>
              <w:left w:val="single" w:sz="4" w:space="0" w:color="auto"/>
              <w:bottom w:val="single" w:sz="4" w:space="0" w:color="auto"/>
              <w:right w:val="single" w:sz="4" w:space="0" w:color="auto"/>
            </w:tcBorders>
          </w:tcPr>
          <w:p w14:paraId="66B7DFE6" w14:textId="77777777" w:rsidR="00A547B9" w:rsidRPr="00E60381" w:rsidRDefault="00A547B9" w:rsidP="00E60381">
            <w:pPr>
              <w:ind w:left="0" w:right="0"/>
              <w:rPr>
                <w:sz w:val="20"/>
                <w:szCs w:val="20"/>
              </w:rPr>
            </w:pPr>
            <w:r w:rsidRPr="00E60381">
              <w:rPr>
                <w:sz w:val="20"/>
                <w:szCs w:val="20"/>
              </w:rPr>
              <w:t>Risk Minimisation</w:t>
            </w:r>
          </w:p>
        </w:tc>
      </w:tr>
      <w:tr w:rsidR="00E60381" w:rsidRPr="00E60381" w14:paraId="0ADCC3AD" w14:textId="77777777" w:rsidTr="004D0F54">
        <w:trPr>
          <w:trHeight w:val="150"/>
        </w:trPr>
        <w:tc>
          <w:tcPr>
            <w:tcW w:w="4518" w:type="dxa"/>
            <w:gridSpan w:val="2"/>
            <w:vMerge/>
            <w:tcBorders>
              <w:top w:val="single" w:sz="4" w:space="0" w:color="auto"/>
              <w:left w:val="single" w:sz="4" w:space="0" w:color="auto"/>
              <w:bottom w:val="single" w:sz="4" w:space="0" w:color="auto"/>
              <w:right w:val="single" w:sz="4" w:space="0" w:color="auto"/>
            </w:tcBorders>
          </w:tcPr>
          <w:p w14:paraId="4BA37236" w14:textId="77777777" w:rsidR="00A547B9" w:rsidRPr="00E60381" w:rsidRDefault="00A547B9" w:rsidP="00E60381">
            <w:pPr>
              <w:ind w:left="0" w:right="0"/>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6DA7"/>
          </w:tcPr>
          <w:p w14:paraId="586166EB" w14:textId="77777777" w:rsidR="00A547B9" w:rsidRPr="004D0F54" w:rsidRDefault="00A547B9" w:rsidP="00E60381">
            <w:pPr>
              <w:ind w:left="0" w:right="0"/>
              <w:rPr>
                <w:color w:val="FFFFFF" w:themeColor="background1"/>
                <w:sz w:val="20"/>
                <w:szCs w:val="20"/>
              </w:rPr>
            </w:pPr>
            <w:r w:rsidRPr="004D0F54">
              <w:rPr>
                <w:color w:val="FFFFFF" w:themeColor="background1"/>
                <w:sz w:val="20"/>
                <w:szCs w:val="20"/>
              </w:rPr>
              <w:t>Routine</w:t>
            </w:r>
          </w:p>
        </w:tc>
        <w:tc>
          <w:tcPr>
            <w:tcW w:w="1170" w:type="dxa"/>
            <w:tcBorders>
              <w:top w:val="single" w:sz="4" w:space="0" w:color="auto"/>
              <w:left w:val="single" w:sz="4" w:space="0" w:color="auto"/>
              <w:bottom w:val="single" w:sz="4" w:space="0" w:color="auto"/>
              <w:right w:val="single" w:sz="4" w:space="0" w:color="auto"/>
            </w:tcBorders>
            <w:shd w:val="clear" w:color="auto" w:fill="006DA7"/>
          </w:tcPr>
          <w:p w14:paraId="2BB63564" w14:textId="77777777" w:rsidR="00A547B9" w:rsidRPr="004D0F54" w:rsidRDefault="00A547B9" w:rsidP="00E60381">
            <w:pPr>
              <w:ind w:left="0" w:right="0"/>
              <w:rPr>
                <w:color w:val="FFFFFF" w:themeColor="background1"/>
                <w:sz w:val="20"/>
                <w:szCs w:val="20"/>
              </w:rPr>
            </w:pPr>
            <w:r w:rsidRPr="004D0F54">
              <w:rPr>
                <w:color w:val="FFFFFF" w:themeColor="background1"/>
                <w:sz w:val="20"/>
                <w:szCs w:val="20"/>
              </w:rPr>
              <w:t>Additional</w:t>
            </w:r>
          </w:p>
        </w:tc>
        <w:tc>
          <w:tcPr>
            <w:tcW w:w="900" w:type="dxa"/>
            <w:tcBorders>
              <w:top w:val="single" w:sz="4" w:space="0" w:color="auto"/>
              <w:left w:val="single" w:sz="4" w:space="0" w:color="auto"/>
              <w:bottom w:val="single" w:sz="4" w:space="0" w:color="auto"/>
              <w:right w:val="single" w:sz="4" w:space="0" w:color="auto"/>
            </w:tcBorders>
            <w:shd w:val="clear" w:color="auto" w:fill="006DA7"/>
          </w:tcPr>
          <w:p w14:paraId="082B0603" w14:textId="77777777" w:rsidR="00A547B9" w:rsidRPr="004D0F54" w:rsidRDefault="00A547B9" w:rsidP="00E60381">
            <w:pPr>
              <w:ind w:left="0" w:right="0"/>
              <w:rPr>
                <w:color w:val="FFFFFF" w:themeColor="background1"/>
                <w:sz w:val="20"/>
                <w:szCs w:val="20"/>
              </w:rPr>
            </w:pPr>
            <w:r w:rsidRPr="004D0F54">
              <w:rPr>
                <w:color w:val="FFFFFF" w:themeColor="background1"/>
                <w:sz w:val="20"/>
                <w:szCs w:val="20"/>
              </w:rPr>
              <w:t>Routine</w:t>
            </w:r>
          </w:p>
        </w:tc>
        <w:tc>
          <w:tcPr>
            <w:tcW w:w="1170" w:type="dxa"/>
            <w:tcBorders>
              <w:top w:val="single" w:sz="4" w:space="0" w:color="auto"/>
              <w:left w:val="single" w:sz="4" w:space="0" w:color="auto"/>
              <w:bottom w:val="single" w:sz="4" w:space="0" w:color="auto"/>
              <w:right w:val="single" w:sz="4" w:space="0" w:color="auto"/>
            </w:tcBorders>
            <w:shd w:val="clear" w:color="auto" w:fill="006DA7"/>
          </w:tcPr>
          <w:p w14:paraId="75925BE8" w14:textId="77777777" w:rsidR="00A547B9" w:rsidRPr="004D0F54" w:rsidRDefault="00A547B9" w:rsidP="00E60381">
            <w:pPr>
              <w:ind w:left="0" w:right="0"/>
              <w:rPr>
                <w:color w:val="FFFFFF" w:themeColor="background1"/>
                <w:sz w:val="20"/>
                <w:szCs w:val="20"/>
              </w:rPr>
            </w:pPr>
            <w:r w:rsidRPr="004D0F54">
              <w:rPr>
                <w:color w:val="FFFFFF" w:themeColor="background1"/>
                <w:sz w:val="20"/>
                <w:szCs w:val="20"/>
              </w:rPr>
              <w:t>Additional</w:t>
            </w:r>
          </w:p>
        </w:tc>
      </w:tr>
      <w:tr w:rsidR="00A547B9" w:rsidRPr="00E60381" w14:paraId="1F6543CE" w14:textId="77777777" w:rsidTr="004D0F54">
        <w:trPr>
          <w:trHeight w:val="137"/>
        </w:trPr>
        <w:tc>
          <w:tcPr>
            <w:tcW w:w="1327" w:type="dxa"/>
            <w:vMerge w:val="restart"/>
            <w:tcBorders>
              <w:top w:val="single" w:sz="4" w:space="0" w:color="auto"/>
            </w:tcBorders>
          </w:tcPr>
          <w:p w14:paraId="524B8901" w14:textId="77777777" w:rsidR="00A547B9" w:rsidRPr="00E60381" w:rsidRDefault="00A547B9" w:rsidP="00E60381">
            <w:pPr>
              <w:ind w:left="0" w:right="0"/>
              <w:rPr>
                <w:sz w:val="20"/>
                <w:szCs w:val="20"/>
              </w:rPr>
            </w:pPr>
            <w:r w:rsidRPr="00E60381">
              <w:rPr>
                <w:sz w:val="20"/>
                <w:szCs w:val="20"/>
              </w:rPr>
              <w:t>Important identified risks</w:t>
            </w:r>
          </w:p>
        </w:tc>
        <w:tc>
          <w:tcPr>
            <w:tcW w:w="3191" w:type="dxa"/>
            <w:tcBorders>
              <w:top w:val="single" w:sz="4" w:space="0" w:color="auto"/>
            </w:tcBorders>
          </w:tcPr>
          <w:p w14:paraId="36D3DE4E" w14:textId="77777777" w:rsidR="00A547B9" w:rsidRPr="00E60381" w:rsidRDefault="00A547B9" w:rsidP="00E60381">
            <w:pPr>
              <w:ind w:left="0" w:right="0"/>
              <w:rPr>
                <w:sz w:val="20"/>
                <w:szCs w:val="20"/>
              </w:rPr>
            </w:pPr>
            <w:r w:rsidRPr="00E60381">
              <w:rPr>
                <w:sz w:val="20"/>
                <w:szCs w:val="20"/>
              </w:rPr>
              <w:t>Hypersensitivity reactions</w:t>
            </w:r>
          </w:p>
        </w:tc>
        <w:tc>
          <w:tcPr>
            <w:tcW w:w="900" w:type="dxa"/>
            <w:tcBorders>
              <w:top w:val="single" w:sz="4" w:space="0" w:color="auto"/>
            </w:tcBorders>
          </w:tcPr>
          <w:p w14:paraId="7904223C" w14:textId="77777777" w:rsidR="00A547B9" w:rsidRPr="00E60381" w:rsidRDefault="00A547B9" w:rsidP="00E60381">
            <w:pPr>
              <w:ind w:left="0" w:right="0"/>
              <w:jc w:val="center"/>
              <w:rPr>
                <w:sz w:val="20"/>
                <w:szCs w:val="20"/>
              </w:rPr>
            </w:pPr>
            <w:r w:rsidRPr="00E60381">
              <w:rPr>
                <w:sz w:val="20"/>
                <w:szCs w:val="20"/>
              </w:rPr>
              <w:sym w:font="Wingdings" w:char="F0FC"/>
            </w:r>
          </w:p>
        </w:tc>
        <w:tc>
          <w:tcPr>
            <w:tcW w:w="1170" w:type="dxa"/>
            <w:tcBorders>
              <w:top w:val="single" w:sz="4" w:space="0" w:color="auto"/>
            </w:tcBorders>
          </w:tcPr>
          <w:p w14:paraId="2EA25813" w14:textId="77777777" w:rsidR="00A547B9" w:rsidRPr="00E60381" w:rsidRDefault="00A547B9" w:rsidP="00E60381">
            <w:pPr>
              <w:ind w:left="0" w:right="0"/>
              <w:jc w:val="center"/>
              <w:rPr>
                <w:sz w:val="20"/>
                <w:szCs w:val="20"/>
              </w:rPr>
            </w:pPr>
            <w:r w:rsidRPr="00E60381">
              <w:rPr>
                <w:sz w:val="20"/>
                <w:szCs w:val="20"/>
              </w:rPr>
              <w:t>–</w:t>
            </w:r>
          </w:p>
        </w:tc>
        <w:tc>
          <w:tcPr>
            <w:tcW w:w="900" w:type="dxa"/>
            <w:tcBorders>
              <w:top w:val="single" w:sz="4" w:space="0" w:color="auto"/>
            </w:tcBorders>
          </w:tcPr>
          <w:p w14:paraId="2519A98B" w14:textId="77777777" w:rsidR="00A547B9" w:rsidRPr="00E60381" w:rsidRDefault="00A547B9" w:rsidP="00E60381">
            <w:pPr>
              <w:ind w:left="0" w:right="0"/>
              <w:jc w:val="center"/>
              <w:rPr>
                <w:sz w:val="20"/>
                <w:szCs w:val="20"/>
              </w:rPr>
            </w:pPr>
            <w:r w:rsidRPr="00E60381">
              <w:rPr>
                <w:sz w:val="20"/>
                <w:szCs w:val="20"/>
              </w:rPr>
              <w:sym w:font="Wingdings" w:char="F0FC"/>
            </w:r>
          </w:p>
        </w:tc>
        <w:tc>
          <w:tcPr>
            <w:tcW w:w="1170" w:type="dxa"/>
            <w:tcBorders>
              <w:top w:val="single" w:sz="4" w:space="0" w:color="auto"/>
            </w:tcBorders>
          </w:tcPr>
          <w:p w14:paraId="648A0EC3" w14:textId="77777777" w:rsidR="00A547B9" w:rsidRPr="00E60381" w:rsidRDefault="00A547B9" w:rsidP="00E60381">
            <w:pPr>
              <w:ind w:left="0" w:right="0"/>
              <w:jc w:val="center"/>
              <w:rPr>
                <w:sz w:val="20"/>
                <w:szCs w:val="20"/>
              </w:rPr>
            </w:pPr>
            <w:r w:rsidRPr="00E60381">
              <w:rPr>
                <w:sz w:val="20"/>
                <w:szCs w:val="20"/>
              </w:rPr>
              <w:t>–</w:t>
            </w:r>
          </w:p>
        </w:tc>
      </w:tr>
      <w:tr w:rsidR="00A547B9" w:rsidRPr="00E60381" w14:paraId="7DF4BBEA" w14:textId="77777777" w:rsidTr="00E60381">
        <w:trPr>
          <w:trHeight w:val="94"/>
        </w:trPr>
        <w:tc>
          <w:tcPr>
            <w:tcW w:w="1327" w:type="dxa"/>
            <w:vMerge/>
          </w:tcPr>
          <w:p w14:paraId="0AE6FE12" w14:textId="77777777" w:rsidR="00A547B9" w:rsidRPr="00E60381" w:rsidRDefault="00A547B9" w:rsidP="00E60381">
            <w:pPr>
              <w:ind w:left="0" w:right="0"/>
              <w:rPr>
                <w:sz w:val="20"/>
                <w:szCs w:val="20"/>
              </w:rPr>
            </w:pPr>
          </w:p>
        </w:tc>
        <w:tc>
          <w:tcPr>
            <w:tcW w:w="3191" w:type="dxa"/>
          </w:tcPr>
          <w:p w14:paraId="5AADAFE9" w14:textId="77777777" w:rsidR="00A547B9" w:rsidRPr="00E60381" w:rsidRDefault="00A547B9" w:rsidP="00E60381">
            <w:pPr>
              <w:ind w:left="0" w:right="0"/>
              <w:rPr>
                <w:sz w:val="20"/>
                <w:szCs w:val="20"/>
              </w:rPr>
            </w:pPr>
            <w:r w:rsidRPr="00E60381">
              <w:rPr>
                <w:sz w:val="20"/>
                <w:szCs w:val="20"/>
              </w:rPr>
              <w:t>Hepatobiliary disorders</w:t>
            </w:r>
          </w:p>
        </w:tc>
        <w:tc>
          <w:tcPr>
            <w:tcW w:w="900" w:type="dxa"/>
          </w:tcPr>
          <w:p w14:paraId="54426066" w14:textId="77777777" w:rsidR="00A547B9" w:rsidRPr="00E60381" w:rsidRDefault="00A547B9" w:rsidP="00E60381">
            <w:pPr>
              <w:ind w:left="0" w:right="0"/>
              <w:jc w:val="center"/>
              <w:rPr>
                <w:sz w:val="20"/>
                <w:szCs w:val="20"/>
              </w:rPr>
            </w:pPr>
            <w:r w:rsidRPr="00E60381">
              <w:rPr>
                <w:sz w:val="20"/>
                <w:szCs w:val="20"/>
              </w:rPr>
              <w:sym w:font="Wingdings" w:char="F0FC"/>
            </w:r>
          </w:p>
        </w:tc>
        <w:tc>
          <w:tcPr>
            <w:tcW w:w="1170" w:type="dxa"/>
          </w:tcPr>
          <w:p w14:paraId="11791255" w14:textId="77777777" w:rsidR="00A547B9" w:rsidRPr="00E60381" w:rsidRDefault="00A547B9" w:rsidP="00E60381">
            <w:pPr>
              <w:ind w:left="0" w:right="0"/>
              <w:jc w:val="center"/>
              <w:rPr>
                <w:sz w:val="20"/>
                <w:szCs w:val="20"/>
              </w:rPr>
            </w:pPr>
            <w:r w:rsidRPr="00E60381">
              <w:rPr>
                <w:sz w:val="20"/>
                <w:szCs w:val="20"/>
              </w:rPr>
              <w:t>–</w:t>
            </w:r>
          </w:p>
        </w:tc>
        <w:tc>
          <w:tcPr>
            <w:tcW w:w="900" w:type="dxa"/>
          </w:tcPr>
          <w:p w14:paraId="6CC10238" w14:textId="77777777" w:rsidR="00A547B9" w:rsidRPr="00E60381" w:rsidRDefault="00A547B9" w:rsidP="00E60381">
            <w:pPr>
              <w:ind w:left="0" w:right="0"/>
              <w:jc w:val="center"/>
              <w:rPr>
                <w:sz w:val="20"/>
                <w:szCs w:val="20"/>
              </w:rPr>
            </w:pPr>
            <w:r w:rsidRPr="00E60381">
              <w:rPr>
                <w:sz w:val="20"/>
                <w:szCs w:val="20"/>
              </w:rPr>
              <w:sym w:font="Wingdings" w:char="F0FC"/>
            </w:r>
          </w:p>
        </w:tc>
        <w:tc>
          <w:tcPr>
            <w:tcW w:w="1170" w:type="dxa"/>
          </w:tcPr>
          <w:p w14:paraId="437F1927" w14:textId="77777777" w:rsidR="00A547B9" w:rsidRPr="00E60381" w:rsidRDefault="00A547B9" w:rsidP="00E60381">
            <w:pPr>
              <w:ind w:left="0" w:right="0"/>
              <w:jc w:val="center"/>
              <w:rPr>
                <w:sz w:val="20"/>
                <w:szCs w:val="20"/>
              </w:rPr>
            </w:pPr>
            <w:r w:rsidRPr="00E60381">
              <w:rPr>
                <w:sz w:val="20"/>
                <w:szCs w:val="20"/>
              </w:rPr>
              <w:t>–</w:t>
            </w:r>
          </w:p>
        </w:tc>
      </w:tr>
      <w:tr w:rsidR="00A547B9" w:rsidRPr="00E60381" w14:paraId="372AABC4" w14:textId="77777777" w:rsidTr="00E60381">
        <w:trPr>
          <w:trHeight w:val="187"/>
        </w:trPr>
        <w:tc>
          <w:tcPr>
            <w:tcW w:w="1327" w:type="dxa"/>
            <w:vMerge/>
          </w:tcPr>
          <w:p w14:paraId="30D9FC8A" w14:textId="77777777" w:rsidR="00A547B9" w:rsidRPr="00E60381" w:rsidRDefault="00A547B9" w:rsidP="00E60381">
            <w:pPr>
              <w:ind w:left="0" w:right="0"/>
              <w:rPr>
                <w:sz w:val="20"/>
                <w:szCs w:val="20"/>
              </w:rPr>
            </w:pPr>
          </w:p>
        </w:tc>
        <w:tc>
          <w:tcPr>
            <w:tcW w:w="3191" w:type="dxa"/>
          </w:tcPr>
          <w:p w14:paraId="35BA0FC7" w14:textId="11CE7AA4" w:rsidR="00A547B9" w:rsidRPr="00E60381" w:rsidRDefault="00A547B9" w:rsidP="00E60381">
            <w:pPr>
              <w:ind w:left="0" w:right="0"/>
              <w:rPr>
                <w:sz w:val="20"/>
                <w:szCs w:val="20"/>
              </w:rPr>
            </w:pPr>
            <w:r w:rsidRPr="00E60381">
              <w:rPr>
                <w:sz w:val="20"/>
                <w:szCs w:val="20"/>
              </w:rPr>
              <w:t>Depression (including suicidal ideation and behaviours, part</w:t>
            </w:r>
            <w:r w:rsidR="00E60381">
              <w:rPr>
                <w:sz w:val="20"/>
                <w:szCs w:val="20"/>
              </w:rPr>
              <w:t>icularly in patients with a pre</w:t>
            </w:r>
            <w:r w:rsidR="00E60381">
              <w:rPr>
                <w:sz w:val="20"/>
                <w:szCs w:val="20"/>
              </w:rPr>
              <w:noBreakHyphen/>
            </w:r>
            <w:r w:rsidRPr="00E60381">
              <w:rPr>
                <w:sz w:val="20"/>
                <w:szCs w:val="20"/>
              </w:rPr>
              <w:t>existing history of depression or psychiatric illness)</w:t>
            </w:r>
          </w:p>
        </w:tc>
        <w:tc>
          <w:tcPr>
            <w:tcW w:w="900" w:type="dxa"/>
          </w:tcPr>
          <w:p w14:paraId="3DFC105F" w14:textId="77777777" w:rsidR="00A547B9" w:rsidRPr="00E60381" w:rsidRDefault="00A547B9" w:rsidP="00E60381">
            <w:pPr>
              <w:ind w:left="0" w:right="0"/>
              <w:jc w:val="center"/>
              <w:rPr>
                <w:sz w:val="20"/>
                <w:szCs w:val="20"/>
              </w:rPr>
            </w:pPr>
            <w:r w:rsidRPr="00E60381">
              <w:rPr>
                <w:sz w:val="20"/>
                <w:szCs w:val="20"/>
              </w:rPr>
              <w:sym w:font="Wingdings" w:char="F0FC"/>
            </w:r>
            <w:r w:rsidRPr="00E60381">
              <w:rPr>
                <w:sz w:val="20"/>
                <w:szCs w:val="20"/>
              </w:rPr>
              <w:t>*</w:t>
            </w:r>
          </w:p>
        </w:tc>
        <w:tc>
          <w:tcPr>
            <w:tcW w:w="1170" w:type="dxa"/>
          </w:tcPr>
          <w:p w14:paraId="0A0CE681" w14:textId="77777777" w:rsidR="00A547B9" w:rsidRPr="00E60381" w:rsidRDefault="00A547B9" w:rsidP="00E60381">
            <w:pPr>
              <w:ind w:left="0" w:right="0"/>
              <w:jc w:val="center"/>
              <w:rPr>
                <w:sz w:val="20"/>
                <w:szCs w:val="20"/>
              </w:rPr>
            </w:pPr>
            <w:r w:rsidRPr="00E60381">
              <w:rPr>
                <w:sz w:val="20"/>
                <w:szCs w:val="20"/>
              </w:rPr>
              <w:t>–</w:t>
            </w:r>
          </w:p>
        </w:tc>
        <w:tc>
          <w:tcPr>
            <w:tcW w:w="900" w:type="dxa"/>
          </w:tcPr>
          <w:p w14:paraId="2BF39C1C" w14:textId="77777777" w:rsidR="00A547B9" w:rsidRPr="00E60381" w:rsidRDefault="00A547B9" w:rsidP="00E60381">
            <w:pPr>
              <w:ind w:left="0" w:right="0"/>
              <w:jc w:val="center"/>
              <w:rPr>
                <w:sz w:val="20"/>
                <w:szCs w:val="20"/>
              </w:rPr>
            </w:pPr>
            <w:r w:rsidRPr="00E60381">
              <w:rPr>
                <w:sz w:val="20"/>
                <w:szCs w:val="20"/>
              </w:rPr>
              <w:sym w:font="Wingdings" w:char="F0FC"/>
            </w:r>
          </w:p>
        </w:tc>
        <w:tc>
          <w:tcPr>
            <w:tcW w:w="1170" w:type="dxa"/>
          </w:tcPr>
          <w:p w14:paraId="3BB8AF52" w14:textId="77777777" w:rsidR="00A547B9" w:rsidRPr="00E60381" w:rsidRDefault="00A547B9" w:rsidP="00E60381">
            <w:pPr>
              <w:ind w:left="0" w:right="0"/>
              <w:jc w:val="center"/>
              <w:rPr>
                <w:sz w:val="20"/>
                <w:szCs w:val="20"/>
              </w:rPr>
            </w:pPr>
            <w:r w:rsidRPr="00E60381">
              <w:rPr>
                <w:sz w:val="20"/>
                <w:szCs w:val="20"/>
              </w:rPr>
              <w:t>–</w:t>
            </w:r>
          </w:p>
        </w:tc>
      </w:tr>
      <w:tr w:rsidR="00A547B9" w:rsidRPr="00E60381" w14:paraId="00F8B98C" w14:textId="77777777" w:rsidTr="00E60381">
        <w:trPr>
          <w:trHeight w:val="159"/>
        </w:trPr>
        <w:tc>
          <w:tcPr>
            <w:tcW w:w="1327" w:type="dxa"/>
            <w:vMerge w:val="restart"/>
          </w:tcPr>
          <w:p w14:paraId="7B0C42E9" w14:textId="77777777" w:rsidR="00A547B9" w:rsidRPr="00E60381" w:rsidRDefault="00A547B9" w:rsidP="00E60381">
            <w:pPr>
              <w:ind w:left="0" w:right="0"/>
              <w:rPr>
                <w:sz w:val="20"/>
                <w:szCs w:val="20"/>
              </w:rPr>
            </w:pPr>
            <w:r w:rsidRPr="00E60381">
              <w:rPr>
                <w:sz w:val="20"/>
                <w:szCs w:val="20"/>
              </w:rPr>
              <w:t>Important potential risks</w:t>
            </w:r>
          </w:p>
        </w:tc>
        <w:tc>
          <w:tcPr>
            <w:tcW w:w="3191" w:type="dxa"/>
          </w:tcPr>
          <w:p w14:paraId="206FD424" w14:textId="77777777" w:rsidR="00A547B9" w:rsidRPr="00E60381" w:rsidRDefault="00A547B9" w:rsidP="00E60381">
            <w:pPr>
              <w:ind w:left="0" w:right="0"/>
              <w:rPr>
                <w:sz w:val="20"/>
                <w:szCs w:val="20"/>
              </w:rPr>
            </w:pPr>
            <w:r w:rsidRPr="00E60381">
              <w:rPr>
                <w:sz w:val="20"/>
                <w:szCs w:val="20"/>
              </w:rPr>
              <w:t>Serious rash (DAIDS Grade 3 or 4)</w:t>
            </w:r>
          </w:p>
        </w:tc>
        <w:tc>
          <w:tcPr>
            <w:tcW w:w="900" w:type="dxa"/>
          </w:tcPr>
          <w:p w14:paraId="7D2A2757" w14:textId="77777777" w:rsidR="00A547B9" w:rsidRPr="00E60381" w:rsidRDefault="00A547B9" w:rsidP="00E60381">
            <w:pPr>
              <w:ind w:left="0" w:right="0"/>
              <w:jc w:val="center"/>
              <w:rPr>
                <w:sz w:val="20"/>
                <w:szCs w:val="20"/>
              </w:rPr>
            </w:pPr>
            <w:r w:rsidRPr="00E60381">
              <w:rPr>
                <w:sz w:val="20"/>
                <w:szCs w:val="20"/>
              </w:rPr>
              <w:sym w:font="Wingdings" w:char="F0FC"/>
            </w:r>
          </w:p>
        </w:tc>
        <w:tc>
          <w:tcPr>
            <w:tcW w:w="1170" w:type="dxa"/>
          </w:tcPr>
          <w:p w14:paraId="553432A2" w14:textId="77777777" w:rsidR="00A547B9" w:rsidRPr="00E60381" w:rsidRDefault="00A547B9" w:rsidP="00E60381">
            <w:pPr>
              <w:ind w:left="0" w:right="0"/>
              <w:jc w:val="center"/>
              <w:rPr>
                <w:sz w:val="20"/>
                <w:szCs w:val="20"/>
              </w:rPr>
            </w:pPr>
            <w:r w:rsidRPr="00E60381">
              <w:rPr>
                <w:sz w:val="20"/>
                <w:szCs w:val="20"/>
              </w:rPr>
              <w:t>–</w:t>
            </w:r>
          </w:p>
        </w:tc>
        <w:tc>
          <w:tcPr>
            <w:tcW w:w="900" w:type="dxa"/>
          </w:tcPr>
          <w:p w14:paraId="4E875EC5" w14:textId="77777777" w:rsidR="00A547B9" w:rsidRPr="00E60381" w:rsidRDefault="00A547B9" w:rsidP="00E60381">
            <w:pPr>
              <w:ind w:left="0" w:right="0"/>
              <w:jc w:val="center"/>
              <w:rPr>
                <w:sz w:val="20"/>
                <w:szCs w:val="20"/>
              </w:rPr>
            </w:pPr>
            <w:r w:rsidRPr="00E60381">
              <w:rPr>
                <w:sz w:val="20"/>
                <w:szCs w:val="20"/>
              </w:rPr>
              <w:sym w:font="Wingdings" w:char="F0FC"/>
            </w:r>
          </w:p>
        </w:tc>
        <w:tc>
          <w:tcPr>
            <w:tcW w:w="1170" w:type="dxa"/>
          </w:tcPr>
          <w:p w14:paraId="3A4B9750" w14:textId="77777777" w:rsidR="00A547B9" w:rsidRPr="00E60381" w:rsidRDefault="00A547B9" w:rsidP="00E60381">
            <w:pPr>
              <w:ind w:left="0" w:right="0"/>
              <w:jc w:val="center"/>
              <w:rPr>
                <w:sz w:val="20"/>
                <w:szCs w:val="20"/>
              </w:rPr>
            </w:pPr>
            <w:r w:rsidRPr="00E60381">
              <w:rPr>
                <w:sz w:val="20"/>
                <w:szCs w:val="20"/>
              </w:rPr>
              <w:t>–</w:t>
            </w:r>
          </w:p>
        </w:tc>
      </w:tr>
      <w:tr w:rsidR="00A547B9" w:rsidRPr="00E60381" w14:paraId="5AAC5F9E" w14:textId="77777777" w:rsidTr="00E60381">
        <w:trPr>
          <w:trHeight w:val="122"/>
        </w:trPr>
        <w:tc>
          <w:tcPr>
            <w:tcW w:w="1327" w:type="dxa"/>
            <w:vMerge/>
          </w:tcPr>
          <w:p w14:paraId="60F2EF66" w14:textId="77777777" w:rsidR="00A547B9" w:rsidRPr="00E60381" w:rsidRDefault="00A547B9" w:rsidP="00E60381">
            <w:pPr>
              <w:ind w:left="0" w:right="0"/>
              <w:rPr>
                <w:sz w:val="20"/>
                <w:szCs w:val="20"/>
              </w:rPr>
            </w:pPr>
          </w:p>
        </w:tc>
        <w:tc>
          <w:tcPr>
            <w:tcW w:w="3191" w:type="dxa"/>
          </w:tcPr>
          <w:p w14:paraId="62D6F718" w14:textId="77777777" w:rsidR="00A547B9" w:rsidRPr="00E60381" w:rsidRDefault="00A547B9" w:rsidP="00E60381">
            <w:pPr>
              <w:ind w:left="0" w:right="0"/>
              <w:rPr>
                <w:sz w:val="20"/>
                <w:szCs w:val="20"/>
              </w:rPr>
            </w:pPr>
            <w:r w:rsidRPr="00E60381">
              <w:rPr>
                <w:sz w:val="20"/>
                <w:szCs w:val="20"/>
              </w:rPr>
              <w:t>Neural tube defects</w:t>
            </w:r>
          </w:p>
        </w:tc>
        <w:tc>
          <w:tcPr>
            <w:tcW w:w="900" w:type="dxa"/>
          </w:tcPr>
          <w:p w14:paraId="6BD22D41" w14:textId="77777777" w:rsidR="00A547B9" w:rsidRPr="00E60381" w:rsidRDefault="00A547B9" w:rsidP="00E60381">
            <w:pPr>
              <w:ind w:left="0" w:right="0"/>
              <w:jc w:val="center"/>
              <w:rPr>
                <w:sz w:val="20"/>
                <w:szCs w:val="20"/>
              </w:rPr>
            </w:pPr>
            <w:r w:rsidRPr="00E60381">
              <w:rPr>
                <w:sz w:val="20"/>
                <w:szCs w:val="20"/>
              </w:rPr>
              <w:sym w:font="Wingdings" w:char="F0FC"/>
            </w:r>
            <w:r w:rsidRPr="00E60381">
              <w:rPr>
                <w:sz w:val="20"/>
                <w:szCs w:val="20"/>
              </w:rPr>
              <w:t>*</w:t>
            </w:r>
          </w:p>
        </w:tc>
        <w:tc>
          <w:tcPr>
            <w:tcW w:w="1170" w:type="dxa"/>
          </w:tcPr>
          <w:p w14:paraId="791F1923" w14:textId="77777777" w:rsidR="00A547B9" w:rsidRPr="00E60381" w:rsidRDefault="00A547B9" w:rsidP="00E60381">
            <w:pPr>
              <w:ind w:left="0" w:right="0"/>
              <w:jc w:val="center"/>
              <w:rPr>
                <w:sz w:val="20"/>
                <w:szCs w:val="20"/>
              </w:rPr>
            </w:pPr>
            <w:r w:rsidRPr="00E60381">
              <w:rPr>
                <w:sz w:val="20"/>
                <w:szCs w:val="20"/>
              </w:rPr>
              <w:sym w:font="Wingdings" w:char="F0FC"/>
            </w:r>
            <w:r w:rsidRPr="00E60381">
              <w:rPr>
                <w:sz w:val="20"/>
                <w:szCs w:val="20"/>
              </w:rPr>
              <w:t>†‡</w:t>
            </w:r>
          </w:p>
        </w:tc>
        <w:tc>
          <w:tcPr>
            <w:tcW w:w="900" w:type="dxa"/>
          </w:tcPr>
          <w:p w14:paraId="39143DBD" w14:textId="77777777" w:rsidR="00A547B9" w:rsidRPr="00E60381" w:rsidRDefault="00A547B9" w:rsidP="00E60381">
            <w:pPr>
              <w:ind w:left="0" w:right="0"/>
              <w:jc w:val="center"/>
              <w:rPr>
                <w:sz w:val="20"/>
                <w:szCs w:val="20"/>
              </w:rPr>
            </w:pPr>
            <w:r w:rsidRPr="00E60381">
              <w:rPr>
                <w:sz w:val="20"/>
                <w:szCs w:val="20"/>
              </w:rPr>
              <w:sym w:font="Wingdings" w:char="F0FC"/>
            </w:r>
          </w:p>
        </w:tc>
        <w:tc>
          <w:tcPr>
            <w:tcW w:w="1170" w:type="dxa"/>
          </w:tcPr>
          <w:p w14:paraId="58915666" w14:textId="77777777" w:rsidR="00A547B9" w:rsidRPr="00E60381" w:rsidRDefault="00A547B9" w:rsidP="00E60381">
            <w:pPr>
              <w:ind w:left="0" w:right="0"/>
              <w:jc w:val="center"/>
              <w:rPr>
                <w:sz w:val="20"/>
                <w:szCs w:val="20"/>
              </w:rPr>
            </w:pPr>
            <w:r w:rsidRPr="00E60381">
              <w:rPr>
                <w:sz w:val="20"/>
                <w:szCs w:val="20"/>
              </w:rPr>
              <w:t>–</w:t>
            </w:r>
          </w:p>
        </w:tc>
      </w:tr>
      <w:tr w:rsidR="00A547B9" w:rsidRPr="00E60381" w14:paraId="1F704F80" w14:textId="77777777" w:rsidTr="00E60381">
        <w:trPr>
          <w:trHeight w:val="178"/>
        </w:trPr>
        <w:tc>
          <w:tcPr>
            <w:tcW w:w="1327" w:type="dxa"/>
            <w:vMerge w:val="restart"/>
          </w:tcPr>
          <w:p w14:paraId="21DD2510" w14:textId="77777777" w:rsidR="00A547B9" w:rsidRPr="00E60381" w:rsidRDefault="00A547B9" w:rsidP="00E60381">
            <w:pPr>
              <w:ind w:left="0" w:right="0"/>
              <w:rPr>
                <w:sz w:val="20"/>
                <w:szCs w:val="20"/>
              </w:rPr>
            </w:pPr>
            <w:r w:rsidRPr="00E60381">
              <w:rPr>
                <w:sz w:val="20"/>
                <w:szCs w:val="20"/>
              </w:rPr>
              <w:t>Missing information</w:t>
            </w:r>
          </w:p>
        </w:tc>
        <w:tc>
          <w:tcPr>
            <w:tcW w:w="3191" w:type="dxa"/>
          </w:tcPr>
          <w:p w14:paraId="3BE3A989" w14:textId="77777777" w:rsidR="00A547B9" w:rsidRPr="00E60381" w:rsidRDefault="00A547B9" w:rsidP="00E60381">
            <w:pPr>
              <w:ind w:left="0" w:right="0"/>
              <w:rPr>
                <w:sz w:val="20"/>
                <w:szCs w:val="20"/>
              </w:rPr>
            </w:pPr>
            <w:r w:rsidRPr="00E60381">
              <w:rPr>
                <w:sz w:val="20"/>
                <w:szCs w:val="20"/>
              </w:rPr>
              <w:t>Use in elderly</w:t>
            </w:r>
          </w:p>
        </w:tc>
        <w:tc>
          <w:tcPr>
            <w:tcW w:w="900" w:type="dxa"/>
          </w:tcPr>
          <w:p w14:paraId="27EBB4A1" w14:textId="77777777" w:rsidR="00A547B9" w:rsidRPr="00E60381" w:rsidRDefault="00A547B9" w:rsidP="00E60381">
            <w:pPr>
              <w:ind w:left="0" w:right="0"/>
              <w:jc w:val="center"/>
              <w:rPr>
                <w:sz w:val="20"/>
                <w:szCs w:val="20"/>
              </w:rPr>
            </w:pPr>
            <w:r w:rsidRPr="00E60381">
              <w:rPr>
                <w:sz w:val="20"/>
                <w:szCs w:val="20"/>
              </w:rPr>
              <w:sym w:font="Wingdings" w:char="F0FC"/>
            </w:r>
          </w:p>
        </w:tc>
        <w:tc>
          <w:tcPr>
            <w:tcW w:w="1170" w:type="dxa"/>
          </w:tcPr>
          <w:p w14:paraId="187D3F62" w14:textId="77777777" w:rsidR="00A547B9" w:rsidRPr="00E60381" w:rsidRDefault="00A547B9" w:rsidP="00E60381">
            <w:pPr>
              <w:ind w:left="0" w:right="0"/>
              <w:jc w:val="center"/>
              <w:rPr>
                <w:sz w:val="20"/>
                <w:szCs w:val="20"/>
              </w:rPr>
            </w:pPr>
            <w:r w:rsidRPr="00E60381">
              <w:rPr>
                <w:sz w:val="20"/>
                <w:szCs w:val="20"/>
              </w:rPr>
              <w:t>–</w:t>
            </w:r>
          </w:p>
        </w:tc>
        <w:tc>
          <w:tcPr>
            <w:tcW w:w="900" w:type="dxa"/>
          </w:tcPr>
          <w:p w14:paraId="17F5639A" w14:textId="77777777" w:rsidR="00A547B9" w:rsidRPr="00E60381" w:rsidRDefault="00A547B9" w:rsidP="00E60381">
            <w:pPr>
              <w:ind w:left="0" w:right="0"/>
              <w:jc w:val="center"/>
              <w:rPr>
                <w:sz w:val="20"/>
                <w:szCs w:val="20"/>
              </w:rPr>
            </w:pPr>
            <w:r w:rsidRPr="00E60381">
              <w:rPr>
                <w:sz w:val="20"/>
                <w:szCs w:val="20"/>
              </w:rPr>
              <w:sym w:font="Wingdings" w:char="F0FC"/>
            </w:r>
          </w:p>
        </w:tc>
        <w:tc>
          <w:tcPr>
            <w:tcW w:w="1170" w:type="dxa"/>
          </w:tcPr>
          <w:p w14:paraId="3BFACBFC" w14:textId="77777777" w:rsidR="00A547B9" w:rsidRPr="00E60381" w:rsidRDefault="00A547B9" w:rsidP="00E60381">
            <w:pPr>
              <w:ind w:left="0" w:right="0"/>
              <w:jc w:val="center"/>
              <w:rPr>
                <w:sz w:val="20"/>
                <w:szCs w:val="20"/>
              </w:rPr>
            </w:pPr>
            <w:r w:rsidRPr="00E60381">
              <w:rPr>
                <w:sz w:val="20"/>
                <w:szCs w:val="20"/>
              </w:rPr>
              <w:t>–</w:t>
            </w:r>
          </w:p>
        </w:tc>
      </w:tr>
      <w:tr w:rsidR="00A547B9" w:rsidRPr="00E60381" w14:paraId="38A21FC1" w14:textId="77777777" w:rsidTr="00E60381">
        <w:trPr>
          <w:trHeight w:val="103"/>
        </w:trPr>
        <w:tc>
          <w:tcPr>
            <w:tcW w:w="1327" w:type="dxa"/>
            <w:vMerge/>
          </w:tcPr>
          <w:p w14:paraId="32A6A9E2" w14:textId="77777777" w:rsidR="00A547B9" w:rsidRPr="00E60381" w:rsidRDefault="00A547B9" w:rsidP="00E60381">
            <w:pPr>
              <w:ind w:left="0" w:right="0"/>
              <w:rPr>
                <w:sz w:val="20"/>
                <w:szCs w:val="20"/>
              </w:rPr>
            </w:pPr>
          </w:p>
        </w:tc>
        <w:tc>
          <w:tcPr>
            <w:tcW w:w="3191" w:type="dxa"/>
          </w:tcPr>
          <w:p w14:paraId="3ED00869" w14:textId="77777777" w:rsidR="00A547B9" w:rsidRPr="00E60381" w:rsidRDefault="00A547B9" w:rsidP="00E60381">
            <w:pPr>
              <w:ind w:left="0" w:right="0"/>
              <w:rPr>
                <w:sz w:val="20"/>
                <w:szCs w:val="20"/>
              </w:rPr>
            </w:pPr>
            <w:r w:rsidRPr="00E60381">
              <w:rPr>
                <w:sz w:val="20"/>
                <w:szCs w:val="20"/>
              </w:rPr>
              <w:t>Use in pregnancy/breastfeeding</w:t>
            </w:r>
          </w:p>
        </w:tc>
        <w:tc>
          <w:tcPr>
            <w:tcW w:w="900" w:type="dxa"/>
          </w:tcPr>
          <w:p w14:paraId="4DDF7EA8" w14:textId="77777777" w:rsidR="00A547B9" w:rsidRPr="00E60381" w:rsidRDefault="00A547B9" w:rsidP="00E60381">
            <w:pPr>
              <w:ind w:left="0" w:right="0"/>
              <w:jc w:val="center"/>
              <w:rPr>
                <w:sz w:val="20"/>
                <w:szCs w:val="20"/>
              </w:rPr>
            </w:pPr>
            <w:r w:rsidRPr="00E60381">
              <w:rPr>
                <w:sz w:val="20"/>
                <w:szCs w:val="20"/>
              </w:rPr>
              <w:sym w:font="Wingdings" w:char="F0FC"/>
            </w:r>
          </w:p>
        </w:tc>
        <w:tc>
          <w:tcPr>
            <w:tcW w:w="1170" w:type="dxa"/>
          </w:tcPr>
          <w:p w14:paraId="120ADD0F" w14:textId="77777777" w:rsidR="00A547B9" w:rsidRPr="00E60381" w:rsidRDefault="00A547B9" w:rsidP="00E60381">
            <w:pPr>
              <w:ind w:left="0" w:right="0"/>
              <w:jc w:val="center"/>
              <w:rPr>
                <w:sz w:val="20"/>
                <w:szCs w:val="20"/>
              </w:rPr>
            </w:pPr>
            <w:r w:rsidRPr="00E60381">
              <w:rPr>
                <w:sz w:val="20"/>
                <w:szCs w:val="20"/>
              </w:rPr>
              <w:sym w:font="Wingdings" w:char="F0FC"/>
            </w:r>
            <w:r w:rsidRPr="00E60381">
              <w:rPr>
                <w:sz w:val="20"/>
                <w:szCs w:val="20"/>
              </w:rPr>
              <w:t>†‡</w:t>
            </w:r>
          </w:p>
        </w:tc>
        <w:tc>
          <w:tcPr>
            <w:tcW w:w="900" w:type="dxa"/>
          </w:tcPr>
          <w:p w14:paraId="45CF3CC0" w14:textId="77777777" w:rsidR="00A547B9" w:rsidRPr="00E60381" w:rsidRDefault="00A547B9" w:rsidP="00E60381">
            <w:pPr>
              <w:ind w:left="0" w:right="0"/>
              <w:jc w:val="center"/>
              <w:rPr>
                <w:sz w:val="20"/>
                <w:szCs w:val="20"/>
              </w:rPr>
            </w:pPr>
            <w:r w:rsidRPr="00E60381">
              <w:rPr>
                <w:sz w:val="20"/>
                <w:szCs w:val="20"/>
              </w:rPr>
              <w:sym w:font="Wingdings" w:char="F0FC"/>
            </w:r>
          </w:p>
        </w:tc>
        <w:tc>
          <w:tcPr>
            <w:tcW w:w="1170" w:type="dxa"/>
          </w:tcPr>
          <w:p w14:paraId="3A5A6359" w14:textId="77777777" w:rsidR="00A547B9" w:rsidRPr="00E60381" w:rsidRDefault="00A547B9" w:rsidP="00E60381">
            <w:pPr>
              <w:ind w:left="0" w:right="0"/>
              <w:jc w:val="center"/>
              <w:rPr>
                <w:sz w:val="20"/>
                <w:szCs w:val="20"/>
              </w:rPr>
            </w:pPr>
            <w:r w:rsidRPr="00E60381">
              <w:rPr>
                <w:sz w:val="20"/>
                <w:szCs w:val="20"/>
              </w:rPr>
              <w:t>–</w:t>
            </w:r>
          </w:p>
        </w:tc>
      </w:tr>
      <w:tr w:rsidR="00A547B9" w:rsidRPr="00E60381" w14:paraId="279068D5" w14:textId="77777777" w:rsidTr="00E60381">
        <w:trPr>
          <w:trHeight w:val="140"/>
        </w:trPr>
        <w:tc>
          <w:tcPr>
            <w:tcW w:w="1327" w:type="dxa"/>
            <w:vMerge/>
          </w:tcPr>
          <w:p w14:paraId="3EA90176" w14:textId="77777777" w:rsidR="00A547B9" w:rsidRPr="00E60381" w:rsidRDefault="00A547B9" w:rsidP="00E60381">
            <w:pPr>
              <w:ind w:left="0" w:right="0"/>
              <w:rPr>
                <w:sz w:val="20"/>
                <w:szCs w:val="20"/>
              </w:rPr>
            </w:pPr>
          </w:p>
        </w:tc>
        <w:tc>
          <w:tcPr>
            <w:tcW w:w="3191" w:type="dxa"/>
          </w:tcPr>
          <w:p w14:paraId="74A9D73E" w14:textId="77777777" w:rsidR="00A547B9" w:rsidRPr="00E60381" w:rsidRDefault="00A547B9" w:rsidP="00E60381">
            <w:pPr>
              <w:ind w:left="0" w:right="0"/>
              <w:rPr>
                <w:sz w:val="20"/>
                <w:szCs w:val="20"/>
              </w:rPr>
            </w:pPr>
            <w:r w:rsidRPr="00E60381">
              <w:rPr>
                <w:sz w:val="20"/>
                <w:szCs w:val="20"/>
              </w:rPr>
              <w:t xml:space="preserve">Long term safety data </w:t>
            </w:r>
          </w:p>
        </w:tc>
        <w:tc>
          <w:tcPr>
            <w:tcW w:w="900" w:type="dxa"/>
          </w:tcPr>
          <w:p w14:paraId="32B35B63" w14:textId="77777777" w:rsidR="00A547B9" w:rsidRPr="00E60381" w:rsidRDefault="00A547B9" w:rsidP="00E60381">
            <w:pPr>
              <w:ind w:left="0" w:right="0"/>
              <w:jc w:val="center"/>
              <w:rPr>
                <w:sz w:val="20"/>
                <w:szCs w:val="20"/>
              </w:rPr>
            </w:pPr>
            <w:r w:rsidRPr="00E60381">
              <w:rPr>
                <w:sz w:val="20"/>
                <w:szCs w:val="20"/>
              </w:rPr>
              <w:sym w:font="Wingdings" w:char="F0FC"/>
            </w:r>
          </w:p>
        </w:tc>
        <w:tc>
          <w:tcPr>
            <w:tcW w:w="1170" w:type="dxa"/>
          </w:tcPr>
          <w:p w14:paraId="25C5B42A" w14:textId="77777777" w:rsidR="00A547B9" w:rsidRPr="00E60381" w:rsidRDefault="00A547B9" w:rsidP="00E60381">
            <w:pPr>
              <w:ind w:left="0" w:right="0"/>
              <w:jc w:val="center"/>
              <w:rPr>
                <w:sz w:val="20"/>
                <w:szCs w:val="20"/>
              </w:rPr>
            </w:pPr>
            <w:r w:rsidRPr="00E60381">
              <w:rPr>
                <w:sz w:val="20"/>
                <w:szCs w:val="20"/>
              </w:rPr>
              <w:sym w:font="Wingdings" w:char="F0FC"/>
            </w:r>
            <w:r w:rsidRPr="00E60381">
              <w:rPr>
                <w:sz w:val="20"/>
                <w:szCs w:val="20"/>
              </w:rPr>
              <w:t>‡</w:t>
            </w:r>
          </w:p>
        </w:tc>
        <w:tc>
          <w:tcPr>
            <w:tcW w:w="900" w:type="dxa"/>
          </w:tcPr>
          <w:p w14:paraId="2C9D88E0" w14:textId="77777777" w:rsidR="00A547B9" w:rsidRPr="00E60381" w:rsidRDefault="00A547B9" w:rsidP="00E60381">
            <w:pPr>
              <w:ind w:left="0" w:right="0"/>
              <w:jc w:val="center"/>
              <w:rPr>
                <w:sz w:val="20"/>
                <w:szCs w:val="20"/>
              </w:rPr>
            </w:pPr>
            <w:r w:rsidRPr="00E60381">
              <w:rPr>
                <w:sz w:val="20"/>
                <w:szCs w:val="20"/>
              </w:rPr>
              <w:t>–</w:t>
            </w:r>
          </w:p>
        </w:tc>
        <w:tc>
          <w:tcPr>
            <w:tcW w:w="1170" w:type="dxa"/>
          </w:tcPr>
          <w:p w14:paraId="3298B625" w14:textId="77777777" w:rsidR="00A547B9" w:rsidRPr="00E60381" w:rsidRDefault="00A547B9" w:rsidP="00E60381">
            <w:pPr>
              <w:ind w:left="0" w:right="0"/>
              <w:jc w:val="center"/>
              <w:rPr>
                <w:sz w:val="20"/>
                <w:szCs w:val="20"/>
              </w:rPr>
            </w:pPr>
            <w:r w:rsidRPr="00E60381">
              <w:rPr>
                <w:sz w:val="20"/>
                <w:szCs w:val="20"/>
              </w:rPr>
              <w:t>–</w:t>
            </w:r>
          </w:p>
        </w:tc>
      </w:tr>
    </w:tbl>
    <w:p w14:paraId="5261FFC3" w14:textId="74905E95" w:rsidR="00F503BF" w:rsidRPr="00E60381" w:rsidRDefault="00F503BF" w:rsidP="00E60381">
      <w:pPr>
        <w:pStyle w:val="TableDescription"/>
      </w:pPr>
      <w:r w:rsidRPr="00E60381">
        <w:t xml:space="preserve">*Specific adverse </w:t>
      </w:r>
      <w:r w:rsidR="00E60381" w:rsidRPr="00E60381">
        <w:t>reaction follow-</w:t>
      </w:r>
      <w:r w:rsidRPr="00E60381">
        <w:t>up questionnaires</w:t>
      </w:r>
    </w:p>
    <w:p w14:paraId="149DBF33" w14:textId="77777777" w:rsidR="00F503BF" w:rsidRPr="00E60381" w:rsidRDefault="00F503BF" w:rsidP="00E60381">
      <w:pPr>
        <w:pStyle w:val="TableDescription"/>
      </w:pPr>
      <w:r w:rsidRPr="00E60381">
        <w:t>† Antiretroviral Pregnancy Registry (APR)</w:t>
      </w:r>
    </w:p>
    <w:p w14:paraId="02BCB576" w14:textId="77777777" w:rsidR="00F503BF" w:rsidRPr="00E60381" w:rsidRDefault="00F503BF" w:rsidP="00E60381">
      <w:pPr>
        <w:pStyle w:val="TableDescription"/>
      </w:pPr>
      <w:r w:rsidRPr="00E60381">
        <w:t>‡ Safety studies</w:t>
      </w:r>
    </w:p>
    <w:p w14:paraId="7C7781C0" w14:textId="17731FCE" w:rsidR="00F503BF" w:rsidRPr="00E60381" w:rsidRDefault="00F503BF" w:rsidP="00E60381">
      <w:r w:rsidRPr="00E60381">
        <w:t xml:space="preserve">The adequacy of the pharmacovigilance plan has been assessed at </w:t>
      </w:r>
      <w:r w:rsidR="00E60381">
        <w:t>the second round of evaluation.</w:t>
      </w:r>
      <w:r w:rsidRPr="00E60381">
        <w:t xml:space="preserve"> The sponsor has provided as updated ASA which describes routine and additional pharmacovigilance activities. Routine pharmacovigilance has been proposed for all safety concerns. Additional pharmacovigilance has been proposed for the missing information ‘use in pregnancy/breastfeeding’ and ‘long term safety data’. The pharmacovigilance plan is acceptable.</w:t>
      </w:r>
    </w:p>
    <w:p w14:paraId="585AA32C" w14:textId="1668D41C" w:rsidR="00A547B9" w:rsidRPr="00E60381" w:rsidRDefault="00F503BF" w:rsidP="00E60381">
      <w:r w:rsidRPr="00E60381">
        <w:t xml:space="preserve">Routine risk minimisation activities are proposed for all safety concerns apart from the missing information relating to long term safety. At </w:t>
      </w:r>
      <w:r w:rsidR="00E60381">
        <w:t>the second round</w:t>
      </w:r>
      <w:r w:rsidRPr="00E60381">
        <w:t xml:space="preserve"> the dispersible formulation has been renamed </w:t>
      </w:r>
      <w:proofErr w:type="spellStart"/>
      <w:r w:rsidRPr="00E60381">
        <w:t>Tivicay</w:t>
      </w:r>
      <w:proofErr w:type="spellEnd"/>
      <w:r w:rsidRPr="00E60381">
        <w:t xml:space="preserve"> PD, and the </w:t>
      </w:r>
      <w:r w:rsidR="00E60381">
        <w:t>Consumer Medicines Information (</w:t>
      </w:r>
      <w:r w:rsidRPr="00E60381">
        <w:t>CMI</w:t>
      </w:r>
      <w:r w:rsidR="00E60381">
        <w:t>)</w:t>
      </w:r>
      <w:r w:rsidRPr="00E60381">
        <w:t xml:space="preserve"> has been revised to reduce the risk of medication error associated with lack of interchangeability of the dispersible formulation with the film coated tablets. The sponsor does not agree to include the CMI in the product packaging. This outstanding recommendation is referred to the delegate. The risk minimisation plan will be considered acceptable when the sponsor has committed to providing the CMI, which includes the instructions for use, in the product packaging.</w:t>
      </w:r>
    </w:p>
    <w:p w14:paraId="559C8698" w14:textId="32E870B3" w:rsidR="007D284D" w:rsidRPr="002237EA" w:rsidRDefault="007D284D" w:rsidP="0032283F">
      <w:pPr>
        <w:pageBreakBefore/>
      </w:pPr>
      <w:r w:rsidRPr="002237EA">
        <w:lastRenderedPageBreak/>
        <w:t>The</w:t>
      </w:r>
      <w:r w:rsidR="002237EA">
        <w:t xml:space="preserve"> RMP evaluator had the following advice is for the D</w:t>
      </w:r>
      <w:r w:rsidRPr="002237EA">
        <w:t>elegate:</w:t>
      </w:r>
    </w:p>
    <w:p w14:paraId="70E4526D" w14:textId="57EFCBA2" w:rsidR="007D284D" w:rsidRPr="002237EA" w:rsidRDefault="007D284D" w:rsidP="002237EA">
      <w:pPr>
        <w:pStyle w:val="ListBullet"/>
      </w:pPr>
      <w:r w:rsidRPr="002237EA">
        <w:t xml:space="preserve">The sponsor has not updated the ASA to include </w:t>
      </w:r>
      <w:r w:rsidR="002237EA">
        <w:t>healthcare professional (</w:t>
      </w:r>
      <w:r w:rsidRPr="002237EA">
        <w:t>HCP</w:t>
      </w:r>
      <w:r w:rsidR="002237EA">
        <w:t>)</w:t>
      </w:r>
      <w:r w:rsidRPr="002237EA">
        <w:t xml:space="preserve"> education to reduce the risk of interchangeability errors between formulations, but has actioned other recommended measures:</w:t>
      </w:r>
    </w:p>
    <w:p w14:paraId="023B1E4E" w14:textId="47AEA8DB" w:rsidR="007D284D" w:rsidRPr="002237EA" w:rsidRDefault="007D284D" w:rsidP="002237EA">
      <w:pPr>
        <w:pStyle w:val="ListBullet2"/>
      </w:pPr>
      <w:r w:rsidRPr="002237EA">
        <w:t>The trade name for the dispersible dose form has been renamed ‘</w:t>
      </w:r>
      <w:proofErr w:type="spellStart"/>
      <w:r w:rsidRPr="002237EA">
        <w:t>Tivicay</w:t>
      </w:r>
      <w:proofErr w:type="spellEnd"/>
      <w:r w:rsidRPr="002237EA">
        <w:t xml:space="preserve"> PD’ to distinguish it from the film coated ‘</w:t>
      </w:r>
      <w:proofErr w:type="spellStart"/>
      <w:r w:rsidRPr="002237EA">
        <w:t>Tivicay</w:t>
      </w:r>
      <w:proofErr w:type="spellEnd"/>
      <w:r w:rsidRPr="002237EA">
        <w:t>’ tablets</w:t>
      </w:r>
    </w:p>
    <w:p w14:paraId="31064FCF" w14:textId="4A812F4D" w:rsidR="007D284D" w:rsidRPr="002237EA" w:rsidRDefault="007D284D" w:rsidP="002237EA">
      <w:pPr>
        <w:pStyle w:val="ListBullet2"/>
      </w:pPr>
      <w:r w:rsidRPr="002237EA">
        <w:t xml:space="preserve">The </w:t>
      </w:r>
      <w:proofErr w:type="spellStart"/>
      <w:r w:rsidRPr="002237EA">
        <w:t>Tivicay</w:t>
      </w:r>
      <w:proofErr w:type="spellEnd"/>
      <w:r w:rsidRPr="002237EA">
        <w:t xml:space="preserve"> PD CMI includes very clear warnings that </w:t>
      </w:r>
      <w:proofErr w:type="spellStart"/>
      <w:r w:rsidRPr="002237EA">
        <w:t>Tivicay</w:t>
      </w:r>
      <w:proofErr w:type="spellEnd"/>
      <w:r w:rsidRPr="002237EA">
        <w:t xml:space="preserve"> is not interchangeable with </w:t>
      </w:r>
      <w:proofErr w:type="spellStart"/>
      <w:r w:rsidRPr="002237EA">
        <w:t>Tivicay</w:t>
      </w:r>
      <w:proofErr w:type="spellEnd"/>
      <w:r w:rsidRPr="002237EA">
        <w:t xml:space="preserve"> PD</w:t>
      </w:r>
    </w:p>
    <w:p w14:paraId="5A3077E4" w14:textId="07ECFB10" w:rsidR="007D284D" w:rsidRPr="002237EA" w:rsidRDefault="007D284D" w:rsidP="002237EA">
      <w:pPr>
        <w:pStyle w:val="ListBullet2"/>
      </w:pPr>
      <w:r w:rsidRPr="002237EA">
        <w:t xml:space="preserve">The sponsor commits to including the corresponding statements regarding non interchangeability to the CMI for </w:t>
      </w:r>
      <w:proofErr w:type="spellStart"/>
      <w:r w:rsidRPr="002237EA">
        <w:t>Tivicay</w:t>
      </w:r>
      <w:proofErr w:type="spellEnd"/>
      <w:r w:rsidRPr="002237EA">
        <w:t xml:space="preserve"> film-coated tablets prior to the market launch of </w:t>
      </w:r>
      <w:proofErr w:type="spellStart"/>
      <w:r w:rsidRPr="002237EA">
        <w:t>Tivicay</w:t>
      </w:r>
      <w:proofErr w:type="spellEnd"/>
      <w:r w:rsidRPr="002237EA">
        <w:t xml:space="preserve"> PD</w:t>
      </w:r>
    </w:p>
    <w:p w14:paraId="10743F72" w14:textId="7DA148FA" w:rsidR="007D284D" w:rsidRPr="002237EA" w:rsidRDefault="007D284D" w:rsidP="002237EA">
      <w:pPr>
        <w:pStyle w:val="ListBullet2"/>
      </w:pPr>
      <w:r w:rsidRPr="002237EA">
        <w:t>The sponsor proposes to include corresponding wording on the product packaging.</w:t>
      </w:r>
    </w:p>
    <w:p w14:paraId="56B2B52E" w14:textId="3145BEC4" w:rsidR="007D284D" w:rsidRPr="002237EA" w:rsidRDefault="007D284D" w:rsidP="002237EA">
      <w:pPr>
        <w:pStyle w:val="ListBullet"/>
      </w:pPr>
      <w:r w:rsidRPr="002237EA">
        <w:t xml:space="preserve">The sponsor’s proposal is acceptable, as it is considered that the measures agreed to by the sponsor will be very visible and hence effective at achieving the desired goal of educating patients and HCPs that </w:t>
      </w:r>
      <w:proofErr w:type="spellStart"/>
      <w:r w:rsidRPr="002237EA">
        <w:t>Tivicay</w:t>
      </w:r>
      <w:proofErr w:type="spellEnd"/>
      <w:r w:rsidRPr="002237EA">
        <w:t xml:space="preserve"> and </w:t>
      </w:r>
      <w:proofErr w:type="spellStart"/>
      <w:r w:rsidRPr="002237EA">
        <w:t>Tivicay</w:t>
      </w:r>
      <w:proofErr w:type="spellEnd"/>
      <w:r w:rsidRPr="002237EA">
        <w:t xml:space="preserve"> PD formulations are not interchangeable. The product packaging has not be</w:t>
      </w:r>
      <w:r w:rsidR="002237EA">
        <w:t xml:space="preserve">en provided for review </w:t>
      </w:r>
      <w:r w:rsidRPr="002237EA">
        <w:t xml:space="preserve">as the sponsor advised in the </w:t>
      </w:r>
      <w:r w:rsidR="002237EA">
        <w:t>sponsor’s</w:t>
      </w:r>
      <w:r w:rsidRPr="002237EA">
        <w:t xml:space="preserve"> response</w:t>
      </w:r>
      <w:r w:rsidR="002237EA">
        <w:t xml:space="preserve"> to TGA questions</w:t>
      </w:r>
      <w:r w:rsidRPr="002237EA">
        <w:t xml:space="preserve"> that it would be, however the sponsor’s commitment to updating the product packaging is noted. The delegate is advised that the sponsor has agreed to this change and that the product packaging should include this warning. The delegate’s attention is also drawn to the sponsor’s commitment to update the CMI for </w:t>
      </w:r>
      <w:proofErr w:type="spellStart"/>
      <w:r w:rsidRPr="002237EA">
        <w:t>Tivicay</w:t>
      </w:r>
      <w:proofErr w:type="spellEnd"/>
      <w:r w:rsidRPr="002237EA">
        <w:t xml:space="preserve"> film-coated tablets prior to market launch of </w:t>
      </w:r>
      <w:proofErr w:type="spellStart"/>
      <w:r w:rsidRPr="002237EA">
        <w:t>Tivicay</w:t>
      </w:r>
      <w:proofErr w:type="spellEnd"/>
      <w:r w:rsidRPr="002237EA">
        <w:t xml:space="preserve"> PD.</w:t>
      </w:r>
    </w:p>
    <w:p w14:paraId="20DD8B77" w14:textId="77777777" w:rsidR="007D284D" w:rsidRPr="002237EA" w:rsidRDefault="007D284D" w:rsidP="002237EA">
      <w:r w:rsidRPr="002237EA">
        <w:t>The following advice is for the sponsor:</w:t>
      </w:r>
    </w:p>
    <w:p w14:paraId="55260D3A" w14:textId="77777777" w:rsidR="002237EA" w:rsidRDefault="007D284D" w:rsidP="002237EA">
      <w:pPr>
        <w:pStyle w:val="ListBullet"/>
      </w:pPr>
      <w:r w:rsidRPr="002237EA">
        <w:t xml:space="preserve">The summary page of the </w:t>
      </w:r>
      <w:proofErr w:type="spellStart"/>
      <w:r w:rsidRPr="002237EA">
        <w:t>Tivicay</w:t>
      </w:r>
      <w:proofErr w:type="spellEnd"/>
      <w:r w:rsidRPr="002237EA">
        <w:t xml:space="preserve"> PD CMI has been updated with the Black triangle Scheme wording and symbol as requested, however the first page of the full CMI does not include the black triangle statement and symbol. The sponsor is referred the CMI </w:t>
      </w:r>
      <w:proofErr w:type="gramStart"/>
      <w:r w:rsidRPr="002237EA">
        <w:t>template .</w:t>
      </w:r>
      <w:proofErr w:type="gramEnd"/>
      <w:r w:rsidRPr="002237EA">
        <w:t xml:space="preserve"> The sponsor is reminded that the first page of the full CMI should be updated to include the black triangle statement and symbol as described in the CMI template.</w:t>
      </w:r>
    </w:p>
    <w:p w14:paraId="13D79033" w14:textId="1A2694C5" w:rsidR="007D284D" w:rsidRPr="002237EA" w:rsidRDefault="007D284D" w:rsidP="002237EA">
      <w:pPr>
        <w:pStyle w:val="ListBullet"/>
        <w:numPr>
          <w:ilvl w:val="0"/>
          <w:numId w:val="0"/>
        </w:numPr>
        <w:ind w:left="360"/>
      </w:pPr>
      <w:r w:rsidRPr="002237EA">
        <w:t>This issue should not impede registration for this product.</w:t>
      </w:r>
    </w:p>
    <w:p w14:paraId="4FC3B198" w14:textId="77777777" w:rsidR="007D284D" w:rsidRDefault="007D284D" w:rsidP="002237EA">
      <w:pPr>
        <w:pStyle w:val="Heading4"/>
      </w:pPr>
      <w:r>
        <w:t>Wording for conditions of registration</w:t>
      </w:r>
    </w:p>
    <w:p w14:paraId="2180EF7C" w14:textId="77777777" w:rsidR="007D284D" w:rsidRPr="002237EA" w:rsidRDefault="007D284D" w:rsidP="002237EA">
      <w:r w:rsidRPr="002237EA">
        <w:t xml:space="preserve">Any changes to which the sponsor has agreed should be included in a revised RMP and ASA. However, irrespective of </w:t>
      </w:r>
      <w:proofErr w:type="gramStart"/>
      <w:r w:rsidRPr="002237EA">
        <w:t>whether or not</w:t>
      </w:r>
      <w:proofErr w:type="gramEnd"/>
      <w:r w:rsidRPr="002237EA">
        <w:t xml:space="preserve"> they are included in the currently available version of the RMP document, the agreed changes become part of the risk management system. </w:t>
      </w:r>
    </w:p>
    <w:p w14:paraId="6A7024A9" w14:textId="77777777" w:rsidR="007D284D" w:rsidRPr="002237EA" w:rsidRDefault="007D284D" w:rsidP="002237EA">
      <w:r w:rsidRPr="002237EA">
        <w:t xml:space="preserve">The suggested wording is: </w:t>
      </w:r>
    </w:p>
    <w:p w14:paraId="6B3B6592" w14:textId="3C83D74A" w:rsidR="007D284D" w:rsidRPr="002237EA" w:rsidRDefault="007D284D" w:rsidP="002237EA">
      <w:pPr>
        <w:ind w:left="720"/>
      </w:pPr>
      <w:r w:rsidRPr="002237EA">
        <w:t xml:space="preserve">The </w:t>
      </w:r>
      <w:proofErr w:type="spellStart"/>
      <w:r w:rsidR="002237EA" w:rsidRPr="002237EA">
        <w:t>Tivicay</w:t>
      </w:r>
      <w:proofErr w:type="spellEnd"/>
      <w:r w:rsidR="002237EA" w:rsidRPr="002237EA">
        <w:t xml:space="preserve"> </w:t>
      </w:r>
      <w:r w:rsidRPr="002237EA">
        <w:t xml:space="preserve">and </w:t>
      </w:r>
      <w:proofErr w:type="spellStart"/>
      <w:r w:rsidR="002237EA" w:rsidRPr="002237EA">
        <w:t>Tivicay</w:t>
      </w:r>
      <w:proofErr w:type="spellEnd"/>
      <w:r w:rsidR="002237EA" w:rsidRPr="002237EA">
        <w:t xml:space="preserve"> </w:t>
      </w:r>
      <w:r w:rsidRPr="002237EA">
        <w:t>PD EU-Risk Management Plan (RMP) (version 16.2, dated 9 November 2020, data lock point 30 April 2019), with Australian Specific Annex (version 7.1, dated March 2021), included with submission PM-2020-03495-1-2, and any subsequent revisions, as agreed with the TGA will be implemented in Australia.</w:t>
      </w:r>
    </w:p>
    <w:p w14:paraId="60B48DBE" w14:textId="77777777" w:rsidR="007D284D" w:rsidRPr="002237EA" w:rsidRDefault="007D284D" w:rsidP="002237EA">
      <w:pPr>
        <w:ind w:left="720"/>
      </w:pPr>
      <w:r w:rsidRPr="002237EA">
        <w:t xml:space="preserve">An obligatory component of risk management plans is routine pharmacovigilance. Routine pharmacovigilance includes the submission of periodic safety update reports (PSURs). </w:t>
      </w:r>
    </w:p>
    <w:p w14:paraId="09AEAE09" w14:textId="77777777" w:rsidR="007D284D" w:rsidRPr="002237EA" w:rsidRDefault="007D284D" w:rsidP="002237EA">
      <w:pPr>
        <w:ind w:left="720"/>
      </w:pPr>
      <w:r w:rsidRPr="002237EA">
        <w:lastRenderedPageBreak/>
        <w:t xml:space="preserve">Reports are to be provided in line with the current published list of EU reference dates and frequency of submission of PSURs until the period covered by such reports is not less than three years from the date of this approval letter. </w:t>
      </w:r>
    </w:p>
    <w:p w14:paraId="0D5733FD" w14:textId="77777777" w:rsidR="007D284D" w:rsidRPr="002237EA" w:rsidRDefault="007D284D" w:rsidP="002237EA">
      <w:pPr>
        <w:ind w:left="720"/>
      </w:pPr>
      <w:r w:rsidRPr="002237EA">
        <w:t xml:space="preserve">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w:t>
      </w:r>
    </w:p>
    <w:p w14:paraId="66F07B60" w14:textId="646BB705" w:rsidR="007D284D" w:rsidRPr="002237EA" w:rsidRDefault="007D284D" w:rsidP="002237EA">
      <w:r w:rsidRPr="002237EA">
        <w:t xml:space="preserve">As the indications for </w:t>
      </w:r>
      <w:proofErr w:type="spellStart"/>
      <w:r w:rsidR="002237EA" w:rsidRPr="002237EA">
        <w:t>Tivicay</w:t>
      </w:r>
      <w:proofErr w:type="spellEnd"/>
      <w:r w:rsidR="002237EA" w:rsidRPr="002237EA">
        <w:t xml:space="preserve"> </w:t>
      </w:r>
      <w:r w:rsidRPr="002237EA">
        <w:t xml:space="preserve">are being extended into a significantly different population and there is now a distinct product </w:t>
      </w:r>
      <w:proofErr w:type="spellStart"/>
      <w:r w:rsidR="002237EA" w:rsidRPr="002237EA">
        <w:t>Tivicay</w:t>
      </w:r>
      <w:proofErr w:type="spellEnd"/>
      <w:r w:rsidR="002237EA" w:rsidRPr="002237EA">
        <w:t xml:space="preserve"> </w:t>
      </w:r>
      <w:r w:rsidRPr="002237EA">
        <w:t xml:space="preserve">PD proposed for use in the paediatric population, </w:t>
      </w:r>
      <w:proofErr w:type="spellStart"/>
      <w:r w:rsidR="002237EA" w:rsidRPr="002237EA">
        <w:t>Tivicay</w:t>
      </w:r>
      <w:proofErr w:type="spellEnd"/>
      <w:r w:rsidR="002237EA" w:rsidRPr="002237EA">
        <w:t xml:space="preserve"> </w:t>
      </w:r>
      <w:proofErr w:type="gramStart"/>
      <w:r w:rsidRPr="002237EA">
        <w:t>PD  should</w:t>
      </w:r>
      <w:proofErr w:type="gramEnd"/>
      <w:r w:rsidRPr="002237EA">
        <w:t xml:space="preserve"> be included in the Black Triangle Scheme as a condition of registration. The following wording is recommended for the condition of registration:</w:t>
      </w:r>
    </w:p>
    <w:p w14:paraId="22D37F2D" w14:textId="5EDD133E" w:rsidR="007D284D" w:rsidRPr="002237EA" w:rsidRDefault="002237EA" w:rsidP="002237EA">
      <w:pPr>
        <w:ind w:left="720"/>
      </w:pPr>
      <w:proofErr w:type="spellStart"/>
      <w:r w:rsidRPr="002237EA">
        <w:t>Tivicay</w:t>
      </w:r>
      <w:proofErr w:type="spellEnd"/>
      <w:r w:rsidRPr="002237EA">
        <w:t xml:space="preserve"> </w:t>
      </w:r>
      <w:r w:rsidR="007D284D" w:rsidRPr="002237EA">
        <w:t xml:space="preserve">PD (dolutegravir) is to be included in the Black Triangle Scheme. The consolidated PI for </w:t>
      </w:r>
      <w:proofErr w:type="spellStart"/>
      <w:r w:rsidRPr="002237EA">
        <w:t>Tivicay</w:t>
      </w:r>
      <w:proofErr w:type="spellEnd"/>
      <w:r w:rsidRPr="002237EA">
        <w:t xml:space="preserve"> </w:t>
      </w:r>
      <w:r w:rsidR="007D284D" w:rsidRPr="002237EA">
        <w:t xml:space="preserve">and </w:t>
      </w:r>
      <w:proofErr w:type="spellStart"/>
      <w:r w:rsidRPr="002237EA">
        <w:t>Tivicay</w:t>
      </w:r>
      <w:proofErr w:type="spellEnd"/>
      <w:r w:rsidRPr="002237EA">
        <w:t xml:space="preserve"> </w:t>
      </w:r>
      <w:r w:rsidR="007D284D" w:rsidRPr="002237EA">
        <w:t xml:space="preserve">PD and CMI for </w:t>
      </w:r>
      <w:proofErr w:type="spellStart"/>
      <w:r w:rsidRPr="002237EA">
        <w:t>Tivicay</w:t>
      </w:r>
      <w:proofErr w:type="spellEnd"/>
      <w:r w:rsidRPr="002237EA">
        <w:t xml:space="preserve"> </w:t>
      </w:r>
      <w:r w:rsidR="007D284D" w:rsidRPr="002237EA">
        <w:t>PD must include the black triangle symbol and mandatory accompanying text for five years, which starts from the date the new indication is registered.</w:t>
      </w:r>
    </w:p>
    <w:p w14:paraId="09AB5C22" w14:textId="07D1E431" w:rsidR="002237EA" w:rsidRDefault="002237EA" w:rsidP="002237EA">
      <w:pPr>
        <w:pStyle w:val="Heading4"/>
      </w:pPr>
      <w:r>
        <w:t>Recommendations to the Delegate</w:t>
      </w:r>
    </w:p>
    <w:p w14:paraId="7C2CFD6C" w14:textId="5242F463" w:rsidR="002161FA" w:rsidRPr="002237EA" w:rsidRDefault="002161FA" w:rsidP="002237EA">
      <w:r w:rsidRPr="002237EA">
        <w:t xml:space="preserve">Following the </w:t>
      </w:r>
      <w:r w:rsidR="002237EA" w:rsidRPr="002237EA">
        <w:t xml:space="preserve">second round </w:t>
      </w:r>
      <w:r w:rsidRPr="002237EA">
        <w:t>RMP evaluation, there were two outstanding recommendations which were referred to the Delegate for consideration:</w:t>
      </w:r>
    </w:p>
    <w:p w14:paraId="6503075A" w14:textId="797B41FD" w:rsidR="002161FA" w:rsidRDefault="002237EA" w:rsidP="002237EA">
      <w:pPr>
        <w:pStyle w:val="ListBullet"/>
      </w:pPr>
      <w:r w:rsidRPr="002237EA">
        <w:t>Recommendation 1:</w:t>
      </w:r>
      <w:r w:rsidR="002161FA" w:rsidRPr="009A4667">
        <w:t xml:space="preserve"> The sponsor does not agree to amend the important identified risk of ‘hypersensitivity’ to read ‘hypersensitivity, including anaphylaxis as recommended by the clinical evaluator. As justification, the sponsor provided further information on the single reported case that prompted the clinical evaluator’s request. From an RMP perspective the risk of hyperse</w:t>
      </w:r>
      <w:r w:rsidR="002161FA">
        <w:t>nsitivity was</w:t>
      </w:r>
      <w:r w:rsidR="002161FA" w:rsidRPr="009A4667">
        <w:t xml:space="preserve"> adequately covered wi</w:t>
      </w:r>
      <w:r w:rsidR="002161FA">
        <w:t>th the current wording and it was</w:t>
      </w:r>
      <w:r w:rsidR="002161FA" w:rsidRPr="009A4667">
        <w:t xml:space="preserve"> preferable to keep the wording for the safety concern consistent with the EU-RMP. The sponsor commits to reporting on hypersensitivity reactions, including anaphylaxis if it occurs, in PSURs as a routine pharmacovigilance activity.</w:t>
      </w:r>
    </w:p>
    <w:p w14:paraId="2329FD9D" w14:textId="425213BB" w:rsidR="002161FA" w:rsidRDefault="002237EA" w:rsidP="002237EA">
      <w:pPr>
        <w:pStyle w:val="ListBullet"/>
      </w:pPr>
      <w:r>
        <w:t>Recommendation 2:</w:t>
      </w:r>
      <w:r w:rsidR="002161FA" w:rsidRPr="009A4667">
        <w:t xml:space="preserve"> The sponsor does not agree to include the CMI in the product packaging. For the purpose of risk </w:t>
      </w:r>
      <w:proofErr w:type="gramStart"/>
      <w:r w:rsidR="002161FA" w:rsidRPr="009A4667">
        <w:t>minimisation</w:t>
      </w:r>
      <w:proofErr w:type="gramEnd"/>
      <w:r w:rsidR="002161FA" w:rsidRPr="009A4667">
        <w:t xml:space="preserve"> it is expected that where a product requires reconstitution by consumers, as is the case with </w:t>
      </w:r>
      <w:proofErr w:type="spellStart"/>
      <w:r w:rsidR="002161FA" w:rsidRPr="009A4667">
        <w:t>Tivicay</w:t>
      </w:r>
      <w:proofErr w:type="spellEnd"/>
      <w:r w:rsidR="002161FA" w:rsidRPr="009A4667">
        <w:t xml:space="preserve"> PD, that the instructions for reconstitution will be included in the product packaging. This is necessary as the product cannot be used without these instructions. The reconst</w:t>
      </w:r>
      <w:r w:rsidR="002161FA">
        <w:t>itution instructions for TIVICAY</w:t>
      </w:r>
      <w:r w:rsidR="002161FA" w:rsidRPr="009A4667">
        <w:t xml:space="preserve"> are included in the CMI, therefore the CMI should be included as a package insert in the product packaging. The sponsor’s risk minimisation plan is not considered acceptable as currently proposed.</w:t>
      </w:r>
    </w:p>
    <w:p w14:paraId="1CF33173" w14:textId="0ECD51E0" w:rsidR="002161FA" w:rsidRDefault="002237EA" w:rsidP="002237EA">
      <w:pPr>
        <w:pStyle w:val="Heading5"/>
      </w:pPr>
      <w:proofErr w:type="gramStart"/>
      <w:r>
        <w:t>Delegates</w:t>
      </w:r>
      <w:proofErr w:type="gramEnd"/>
      <w:r>
        <w:t xml:space="preserve"> conclusions</w:t>
      </w:r>
    </w:p>
    <w:p w14:paraId="38BCD235" w14:textId="470BA728" w:rsidR="002161FA" w:rsidRPr="002237EA" w:rsidRDefault="002237EA" w:rsidP="002237EA">
      <w:r w:rsidRPr="002237EA">
        <w:t>T</w:t>
      </w:r>
      <w:r>
        <w:t>he s</w:t>
      </w:r>
      <w:r w:rsidR="002161FA" w:rsidRPr="002237EA">
        <w:t xml:space="preserve">ponsor responded with concerns regarding including the CMI in the product packaging on 28 May 2021, including outdated requirements for hard copy prescribing information documents to be supplied with relevant products, updates to the CMI not being as readily incorporated into paper documents and supply of </w:t>
      </w:r>
      <w:proofErr w:type="spellStart"/>
      <w:r w:rsidRPr="002237EA">
        <w:t>Tivicay</w:t>
      </w:r>
      <w:proofErr w:type="spellEnd"/>
      <w:r w:rsidR="002161FA" w:rsidRPr="002237EA">
        <w:t>/</w:t>
      </w:r>
      <w:proofErr w:type="spellStart"/>
      <w:r w:rsidRPr="002237EA">
        <w:t>Tivicay</w:t>
      </w:r>
      <w:proofErr w:type="spellEnd"/>
      <w:r w:rsidRPr="002237EA">
        <w:t xml:space="preserve"> </w:t>
      </w:r>
      <w:r w:rsidR="002161FA" w:rsidRPr="002237EA">
        <w:t>PD being limited to major children’s hospitals in Australia.</w:t>
      </w:r>
    </w:p>
    <w:p w14:paraId="3ED91565" w14:textId="28FA58A4" w:rsidR="002161FA" w:rsidRDefault="002161FA" w:rsidP="002161FA">
      <w:r>
        <w:t>The TGA acknowledges</w:t>
      </w:r>
      <w:r w:rsidR="00105F09">
        <w:t xml:space="preserve"> the concerns expressed by the s</w:t>
      </w:r>
      <w:r>
        <w:t xml:space="preserve">ponsor in their written response but notes that the dispensing pharmacist or prescriber may not always provide the CMI to the patient. It cannot be assumed that </w:t>
      </w:r>
      <w:proofErr w:type="spellStart"/>
      <w:r w:rsidR="00105F09">
        <w:t>Tivicay</w:t>
      </w:r>
      <w:proofErr w:type="spellEnd"/>
      <w:r>
        <w:t>/</w:t>
      </w:r>
      <w:proofErr w:type="spellStart"/>
      <w:r w:rsidR="00105F09" w:rsidRPr="00FB3CDA">
        <w:t>Tivicay</w:t>
      </w:r>
      <w:proofErr w:type="spellEnd"/>
      <w:r w:rsidR="00105F09" w:rsidRPr="00FB3CDA">
        <w:t xml:space="preserve"> </w:t>
      </w:r>
      <w:r w:rsidRPr="00FB3CDA">
        <w:t>PD</w:t>
      </w:r>
      <w:r w:rsidRPr="009F1ECC">
        <w:t xml:space="preserve"> will frequently be administered by parents/carers that are likely to have a higher than usual level of health literacy when it comes to caring for their children</w:t>
      </w:r>
      <w:r>
        <w:t xml:space="preserve">. </w:t>
      </w:r>
    </w:p>
    <w:p w14:paraId="29168AE0" w14:textId="4A6BD3BB" w:rsidR="002161FA" w:rsidRDefault="002161FA" w:rsidP="002161FA">
      <w:r>
        <w:lastRenderedPageBreak/>
        <w:t>The Delegate also sought advice from the pharmaceutical chemistry evaluator regarding this matter.</w:t>
      </w:r>
      <w:r w:rsidRPr="004F6A5B">
        <w:t xml:space="preserve"> As per </w:t>
      </w:r>
      <w:r>
        <w:t xml:space="preserve">section 8(l) of </w:t>
      </w:r>
      <w:hyperlink r:id="rId19" w:history="1">
        <w:r w:rsidR="00105F09">
          <w:rPr>
            <w:rStyle w:val="Hyperlink"/>
          </w:rPr>
          <w:t>TGO 91</w:t>
        </w:r>
      </w:hyperlink>
      <w:r w:rsidRPr="004F6A5B">
        <w:t>, it is a requirement for this drug product to include instructions for use either on the label or with a package insert.</w:t>
      </w:r>
      <w:r>
        <w:t xml:space="preserve"> Currently, the carton label refers to the CMI.</w:t>
      </w:r>
      <w:r w:rsidRPr="005D746B">
        <w:t xml:space="preserve"> If the instructions for use were provided as a separate document, then that would be acceptable from a pharmaceutical chemistry </w:t>
      </w:r>
      <w:proofErr w:type="gramStart"/>
      <w:r w:rsidRPr="005D746B">
        <w:t>perspective, but</w:t>
      </w:r>
      <w:proofErr w:type="gramEnd"/>
      <w:r w:rsidRPr="005D746B">
        <w:t xml:space="preserve"> would require a slight revision to the carton labels to refer to this document instead.</w:t>
      </w:r>
    </w:p>
    <w:p w14:paraId="60DA7C47" w14:textId="77777777" w:rsidR="002161FA" w:rsidRDefault="002161FA" w:rsidP="002161FA">
      <w:r>
        <w:t xml:space="preserve">Instructions for reconstitution for the dispersible tablets need to be included in the product packaging.  The inclusion of </w:t>
      </w:r>
      <w:r w:rsidRPr="00B922A5">
        <w:t>instructions for use as a separate document</w:t>
      </w:r>
      <w:r>
        <w:t xml:space="preserve"> </w:t>
      </w:r>
      <w:r w:rsidRPr="00B922A5">
        <w:t xml:space="preserve">in the packaging rather than the entire CMI </w:t>
      </w:r>
      <w:r>
        <w:t xml:space="preserve">would be considered acceptable. </w:t>
      </w:r>
    </w:p>
    <w:p w14:paraId="38DEA5E1" w14:textId="2748FF61" w:rsidR="002161FA" w:rsidRPr="009A4667" w:rsidRDefault="00105F09" w:rsidP="002161FA">
      <w:r>
        <w:t>The s</w:t>
      </w:r>
      <w:r w:rsidR="002161FA">
        <w:t xml:space="preserve">ponsor is requested to provide a formal response and indicate whether they intend to provide the </w:t>
      </w:r>
      <w:r w:rsidR="002161FA" w:rsidRPr="005D746B">
        <w:t>instructions for use</w:t>
      </w:r>
      <w:r w:rsidR="002161FA">
        <w:t xml:space="preserve"> or CMI in the product packaging.</w:t>
      </w:r>
    </w:p>
    <w:p w14:paraId="508E8CC4" w14:textId="77777777" w:rsidR="002161FA" w:rsidRDefault="002161FA" w:rsidP="002161FA">
      <w:pPr>
        <w:pStyle w:val="Heading4"/>
      </w:pPr>
      <w:r w:rsidRPr="00AA53F4">
        <w:t>R</w:t>
      </w:r>
      <w:r>
        <w:t>MP evaluator r</w:t>
      </w:r>
      <w:r w:rsidRPr="00AA53F4">
        <w:t>ecommend</w:t>
      </w:r>
      <w:r>
        <w:t>ations regarding condition</w:t>
      </w:r>
      <w:r w:rsidRPr="00AA53F4">
        <w:t>s of registration</w:t>
      </w:r>
    </w:p>
    <w:p w14:paraId="07BB27DA" w14:textId="77777777" w:rsidR="002161FA" w:rsidRDefault="002161FA" w:rsidP="002161FA">
      <w:r>
        <w:t xml:space="preserve">The suggested wording for conditions </w:t>
      </w:r>
      <w:r w:rsidRPr="009B11A9">
        <w:t>of registration</w:t>
      </w:r>
      <w:r>
        <w:t xml:space="preserve"> is as follows:</w:t>
      </w:r>
    </w:p>
    <w:p w14:paraId="31F49835" w14:textId="6D76477A" w:rsidR="002161FA" w:rsidRPr="0077245E" w:rsidRDefault="002161FA" w:rsidP="00105F09">
      <w:pPr>
        <w:ind w:left="720"/>
        <w:rPr>
          <w:i/>
        </w:rPr>
      </w:pPr>
      <w:r w:rsidRPr="0077245E">
        <w:rPr>
          <w:i/>
        </w:rPr>
        <w:t xml:space="preserve">The </w:t>
      </w:r>
      <w:proofErr w:type="spellStart"/>
      <w:r w:rsidR="00105F09" w:rsidRPr="0077245E">
        <w:rPr>
          <w:i/>
        </w:rPr>
        <w:t>Tivicay</w:t>
      </w:r>
      <w:proofErr w:type="spellEnd"/>
      <w:r w:rsidR="00105F09" w:rsidRPr="0077245E">
        <w:rPr>
          <w:i/>
        </w:rPr>
        <w:t xml:space="preserve"> </w:t>
      </w:r>
      <w:r w:rsidRPr="0077245E">
        <w:rPr>
          <w:i/>
        </w:rPr>
        <w:t xml:space="preserve">and </w:t>
      </w:r>
      <w:proofErr w:type="spellStart"/>
      <w:r w:rsidR="00105F09" w:rsidRPr="0077245E">
        <w:rPr>
          <w:i/>
        </w:rPr>
        <w:t>Tivicay</w:t>
      </w:r>
      <w:proofErr w:type="spellEnd"/>
      <w:r w:rsidR="00105F09" w:rsidRPr="0077245E">
        <w:rPr>
          <w:i/>
        </w:rPr>
        <w:t xml:space="preserve"> </w:t>
      </w:r>
      <w:r w:rsidRPr="0077245E">
        <w:rPr>
          <w:i/>
        </w:rPr>
        <w:t>PD EU-Risk Management Plan (RMP) (version 16.2, dated 9 November 2020, data lock point 30 April 2019), with Australian Specific Annex (version 7.1, dated March 2021), included with submission PM-2020-03495-1-2, and any subsequent revisions, as agreed with the TGA will be implemented in Australia.</w:t>
      </w:r>
    </w:p>
    <w:p w14:paraId="0F800412" w14:textId="77777777" w:rsidR="002161FA" w:rsidRPr="0077245E" w:rsidRDefault="002161FA" w:rsidP="00105F09">
      <w:pPr>
        <w:ind w:left="720"/>
        <w:rPr>
          <w:i/>
        </w:rPr>
      </w:pPr>
      <w:r w:rsidRPr="0077245E">
        <w:rPr>
          <w:i/>
        </w:rPr>
        <w:t>An obligatory component of risk management plans is routine pharmacovigilance. Routine pharmacovigilance includes the submission of periodic safety update reports (PSURs).</w:t>
      </w:r>
    </w:p>
    <w:p w14:paraId="3D28DFB6" w14:textId="37ADC12C" w:rsidR="002161FA" w:rsidRDefault="002161FA" w:rsidP="002161FA">
      <w:r w:rsidRPr="0077245E">
        <w:t xml:space="preserve">As the indications for </w:t>
      </w:r>
      <w:proofErr w:type="spellStart"/>
      <w:r w:rsidR="00105F09" w:rsidRPr="0077245E">
        <w:t>Tivicay</w:t>
      </w:r>
      <w:proofErr w:type="spellEnd"/>
      <w:r w:rsidR="00105F09" w:rsidRPr="0077245E">
        <w:t xml:space="preserve"> </w:t>
      </w:r>
      <w:r w:rsidRPr="0077245E">
        <w:t xml:space="preserve">are being extended into a significantly different population and there is now a distinct product </w:t>
      </w:r>
      <w:proofErr w:type="spellStart"/>
      <w:r w:rsidR="00105F09" w:rsidRPr="0077245E">
        <w:t>Tivicay</w:t>
      </w:r>
      <w:proofErr w:type="spellEnd"/>
      <w:r w:rsidR="00105F09" w:rsidRPr="0077245E">
        <w:t xml:space="preserve"> </w:t>
      </w:r>
      <w:r w:rsidRPr="0077245E">
        <w:t>PD proposed for use in the pae</w:t>
      </w:r>
      <w:r>
        <w:t xml:space="preserve">diatric population, </w:t>
      </w:r>
      <w:proofErr w:type="spellStart"/>
      <w:r w:rsidR="00105F09">
        <w:t>Tivicay</w:t>
      </w:r>
      <w:proofErr w:type="spellEnd"/>
      <w:r w:rsidR="00105F09">
        <w:t xml:space="preserve"> </w:t>
      </w:r>
      <w:r>
        <w:t xml:space="preserve">PD </w:t>
      </w:r>
      <w:r w:rsidRPr="0077245E">
        <w:t>should be included in the Black Triangle Scheme as a condition of registration.</w:t>
      </w:r>
    </w:p>
    <w:p w14:paraId="39433BB1" w14:textId="77777777" w:rsidR="008E7846" w:rsidRDefault="00AA0ED0" w:rsidP="008E7846">
      <w:pPr>
        <w:pStyle w:val="Heading3"/>
      </w:pPr>
      <w:bookmarkStart w:id="51" w:name="_Toc107925365"/>
      <w:r>
        <w:t>Risk-benefit a</w:t>
      </w:r>
      <w:r w:rsidR="008E7846">
        <w:t>nalysis</w:t>
      </w:r>
      <w:bookmarkEnd w:id="45"/>
      <w:bookmarkEnd w:id="46"/>
      <w:bookmarkEnd w:id="51"/>
    </w:p>
    <w:p w14:paraId="0C9AD799" w14:textId="10512263" w:rsidR="0074163C" w:rsidRDefault="0074163C" w:rsidP="0074163C">
      <w:pPr>
        <w:pStyle w:val="Heading4"/>
      </w:pPr>
      <w:bookmarkStart w:id="52" w:name="_Toc98931932"/>
      <w:r>
        <w:t>Delegate’s considerations</w:t>
      </w:r>
      <w:bookmarkEnd w:id="52"/>
    </w:p>
    <w:p w14:paraId="07602C0B" w14:textId="77777777" w:rsidR="002161FA" w:rsidRDefault="002161FA" w:rsidP="002161FA">
      <w:r>
        <w:t xml:space="preserve">The submitted data are sufficient to recommend registration of the proposed changes, including extension of indication, updated changes to dosing recommendations and the new dispersible tablet formulation. </w:t>
      </w:r>
    </w:p>
    <w:p w14:paraId="0F86551A" w14:textId="04B19FB2" w:rsidR="002161FA" w:rsidRDefault="002161FA" w:rsidP="002161FA">
      <w:r>
        <w:t xml:space="preserve">The main concern relates to the lack of interchangeability between the dispersible tablet and </w:t>
      </w:r>
      <w:r w:rsidRPr="00C46D59">
        <w:t>the film coated tablets</w:t>
      </w:r>
      <w:r>
        <w:t xml:space="preserve"> and potential for confusion and medication error. </w:t>
      </w:r>
      <w:r w:rsidR="00105F09">
        <w:t>This has been addressed by the s</w:t>
      </w:r>
      <w:r>
        <w:t>ponsor in response to recommendations from the RMP evaluator and reflected in the revised PI and CMI.</w:t>
      </w:r>
    </w:p>
    <w:p w14:paraId="2F7B7547" w14:textId="1FE04859" w:rsidR="002161FA" w:rsidRDefault="002161FA" w:rsidP="002161FA">
      <w:r>
        <w:t xml:space="preserve">The Delegate acknowledges that </w:t>
      </w:r>
      <w:r w:rsidRPr="00CE3BDC">
        <w:t>the</w:t>
      </w:r>
      <w:r>
        <w:t xml:space="preserve"> twice daily dosing option for the </w:t>
      </w:r>
      <w:r w:rsidRPr="00CE3BDC">
        <w:t>dispersible tablet</w:t>
      </w:r>
      <w:r>
        <w:t xml:space="preserve"> </w:t>
      </w:r>
      <w:r w:rsidRPr="00CE3BDC">
        <w:t xml:space="preserve">may lead to more confusion and error, given the </w:t>
      </w:r>
      <w:r>
        <w:t>differing total daily dose</w:t>
      </w:r>
      <w:r w:rsidRPr="00F213A5">
        <w:t xml:space="preserve"> for once daily versus twice daily</w:t>
      </w:r>
      <w:r>
        <w:t xml:space="preserve"> dosing</w:t>
      </w:r>
      <w:r w:rsidRPr="00F213A5">
        <w:t xml:space="preserve"> in some weight bands</w:t>
      </w:r>
      <w:r>
        <w:t>. The Sponsor states that no specific safety issues have been observed to date with higher C</w:t>
      </w:r>
      <w:r w:rsidRPr="006E674A">
        <w:rPr>
          <w:vertAlign w:val="subscript"/>
        </w:rPr>
        <w:t>max</w:t>
      </w:r>
      <w:r>
        <w:t xml:space="preserve"> and once daily dosing in children. Comment from the </w:t>
      </w:r>
      <w:r w:rsidR="00105F09">
        <w:t>Advisory Committee on Medicines</w:t>
      </w:r>
      <w:r>
        <w:t xml:space="preserve"> is sought as to whether this </w:t>
      </w:r>
      <w:r w:rsidR="00105F09">
        <w:t>twice daily</w:t>
      </w:r>
      <w:r>
        <w:t xml:space="preserve"> dosing option is needed and would afford more flexibility for younger patients with HIV infection in Australia.</w:t>
      </w:r>
    </w:p>
    <w:p w14:paraId="13A0DE59" w14:textId="1417BC99" w:rsidR="002161FA" w:rsidRPr="002161FA" w:rsidRDefault="002161FA" w:rsidP="002161FA">
      <w:r>
        <w:t>Inclusion of instructions for use in the product packaging for the dispersible tablets is an outstandin</w:t>
      </w:r>
      <w:r w:rsidR="00105F09">
        <w:t>g issue to be addressed by the s</w:t>
      </w:r>
      <w:r>
        <w:t>ponsor.</w:t>
      </w:r>
    </w:p>
    <w:p w14:paraId="61598FEE" w14:textId="77777777" w:rsidR="0074163C" w:rsidRDefault="0074163C" w:rsidP="0074163C">
      <w:pPr>
        <w:pStyle w:val="Heading4"/>
      </w:pPr>
      <w:bookmarkStart w:id="53" w:name="_Toc98931933"/>
      <w:r w:rsidRPr="00D23139">
        <w:lastRenderedPageBreak/>
        <w:t>Proposed action</w:t>
      </w:r>
      <w:bookmarkEnd w:id="53"/>
    </w:p>
    <w:p w14:paraId="1ECDA0D9" w14:textId="43712B70" w:rsidR="002161FA" w:rsidRPr="002161FA" w:rsidRDefault="002161FA" w:rsidP="002161FA">
      <w:r w:rsidRPr="002161FA">
        <w:t>While a decision is yet to be made, at this stage</w:t>
      </w:r>
      <w:r w:rsidR="00105F09">
        <w:t xml:space="preserve"> the Delegate </w:t>
      </w:r>
      <w:r w:rsidRPr="002161FA">
        <w:t>inclined to approve the registration of the product.</w:t>
      </w:r>
    </w:p>
    <w:p w14:paraId="6E629493" w14:textId="77777777" w:rsidR="0074163C" w:rsidRDefault="0074163C" w:rsidP="0074163C">
      <w:pPr>
        <w:pStyle w:val="Heading4"/>
      </w:pPr>
      <w:bookmarkStart w:id="54" w:name="_Toc98931934"/>
      <w:r>
        <w:t>Questions for the sponsor</w:t>
      </w:r>
      <w:bookmarkEnd w:id="54"/>
    </w:p>
    <w:p w14:paraId="56EAAF95" w14:textId="668F7C4F" w:rsidR="0074163C" w:rsidRDefault="0074163C" w:rsidP="0074163C">
      <w:r>
        <w:t>The sponsor provided the following response to questions from the Delegate.</w:t>
      </w:r>
    </w:p>
    <w:p w14:paraId="6F5AB6C7" w14:textId="20578F98" w:rsidR="009074F9" w:rsidRPr="00933F7B" w:rsidRDefault="009074F9" w:rsidP="009074F9">
      <w:pPr>
        <w:pStyle w:val="Numberbullet0"/>
        <w:rPr>
          <w:b/>
          <w:i/>
        </w:rPr>
      </w:pPr>
      <w:r w:rsidRPr="00933F7B">
        <w:rPr>
          <w:b/>
          <w:i/>
        </w:rPr>
        <w:t>Please provide the completed study report for Study ING112578 as a future submission, when available.</w:t>
      </w:r>
    </w:p>
    <w:p w14:paraId="5A2C7124" w14:textId="7611974D" w:rsidR="00933F7B" w:rsidRPr="00933F7B" w:rsidRDefault="00933F7B" w:rsidP="00933F7B">
      <w:r>
        <w:t xml:space="preserve">The sponsor </w:t>
      </w:r>
      <w:r w:rsidRPr="00933F7B">
        <w:t>commits to provide the completed study report for Study ING112578 to the TGA when it becomes</w:t>
      </w:r>
      <w:r>
        <w:t xml:space="preserve"> </w:t>
      </w:r>
      <w:r w:rsidRPr="00933F7B">
        <w:t>available.</w:t>
      </w:r>
    </w:p>
    <w:p w14:paraId="29A0CB73" w14:textId="5AB0C0DD" w:rsidR="009074F9" w:rsidRPr="00933F7B" w:rsidRDefault="009074F9" w:rsidP="009074F9">
      <w:pPr>
        <w:pStyle w:val="Numberbullet0"/>
        <w:rPr>
          <w:b/>
          <w:i/>
        </w:rPr>
      </w:pPr>
      <w:r w:rsidRPr="00933F7B">
        <w:rPr>
          <w:b/>
          <w:i/>
        </w:rPr>
        <w:t>Please also submit the completed study report, including long term safety and efficacy to 96 weeks, for Study 201296 (ODYSSEY) when available.</w:t>
      </w:r>
    </w:p>
    <w:p w14:paraId="49E3BDD2" w14:textId="29FDBE89" w:rsidR="00933F7B" w:rsidRPr="00933F7B" w:rsidRDefault="00933F7B" w:rsidP="00933F7B">
      <w:r w:rsidRPr="00933F7B">
        <w:t xml:space="preserve">The sponsor commits to provide the completed study report for </w:t>
      </w:r>
      <w:r w:rsidRPr="009074F9">
        <w:t>Study 201296 (ODYSSEY</w:t>
      </w:r>
      <w:r w:rsidR="00703924">
        <w:t xml:space="preserve"> </w:t>
      </w:r>
      <w:proofErr w:type="gramStart"/>
      <w:r w:rsidR="00703924">
        <w:t>trial</w:t>
      </w:r>
      <w:r w:rsidRPr="009074F9">
        <w:t xml:space="preserve">) </w:t>
      </w:r>
      <w:r w:rsidRPr="00933F7B">
        <w:t xml:space="preserve"> to</w:t>
      </w:r>
      <w:proofErr w:type="gramEnd"/>
      <w:r w:rsidRPr="00933F7B">
        <w:t xml:space="preserve"> the TGA when it becomes available.</w:t>
      </w:r>
    </w:p>
    <w:p w14:paraId="0C4FF0C1" w14:textId="77777777" w:rsidR="0074163C" w:rsidRPr="00F73346" w:rsidRDefault="0074163C" w:rsidP="0074163C">
      <w:pPr>
        <w:pStyle w:val="Heading4"/>
      </w:pPr>
      <w:bookmarkStart w:id="55" w:name="_Toc98931936"/>
      <w:bookmarkStart w:id="56" w:name="_Toc247691532"/>
      <w:bookmarkStart w:id="57" w:name="_Toc314842516"/>
      <w:bookmarkEnd w:id="31"/>
      <w:bookmarkEnd w:id="47"/>
      <w:bookmarkEnd w:id="48"/>
      <w:r w:rsidRPr="00F73346">
        <w:t>Advisory Committee considerations</w:t>
      </w:r>
      <w:bookmarkEnd w:id="55"/>
    </w:p>
    <w:p w14:paraId="4E08F07D" w14:textId="25A6966F" w:rsidR="0074163C" w:rsidRDefault="0074163C" w:rsidP="0074163C">
      <w:pPr>
        <w:rPr>
          <w:bCs/>
        </w:rPr>
      </w:pPr>
      <w:r w:rsidRPr="00456765">
        <w:rPr>
          <w:bCs/>
        </w:rPr>
        <w:t xml:space="preserve">The </w:t>
      </w:r>
      <w:hyperlink r:id="rId20" w:history="1">
        <w:r w:rsidRPr="00C65E63">
          <w:rPr>
            <w:rStyle w:val="Hyperlink"/>
            <w:szCs w:val="21"/>
          </w:rPr>
          <w:t>Advisory Committee on Medicines (ACM)</w:t>
        </w:r>
      </w:hyperlink>
      <w:r w:rsidR="009074F9">
        <w:rPr>
          <w:color w:val="007099"/>
          <w:szCs w:val="21"/>
        </w:rPr>
        <w:t xml:space="preserve"> </w:t>
      </w:r>
      <w:r w:rsidRPr="00456765">
        <w:rPr>
          <w:bCs/>
        </w:rPr>
        <w:t>having considered the evaluations and the Delegate’s overview, as well as the sponsor’s response to these documents, advised the following</w:t>
      </w:r>
      <w:r>
        <w:rPr>
          <w:bCs/>
        </w:rPr>
        <w:t>.</w:t>
      </w:r>
    </w:p>
    <w:p w14:paraId="47FEBCC8" w14:textId="77777777" w:rsidR="0074163C" w:rsidRPr="00F73346" w:rsidRDefault="0074163C" w:rsidP="0074163C">
      <w:pPr>
        <w:pStyle w:val="Heading5"/>
      </w:pPr>
      <w:r w:rsidRPr="00F73346">
        <w:t>Specific advice to the Delegate</w:t>
      </w:r>
    </w:p>
    <w:p w14:paraId="731C3749" w14:textId="2F95E135" w:rsidR="009074F9" w:rsidRPr="00933F7B" w:rsidRDefault="009074F9" w:rsidP="009074F9">
      <w:pPr>
        <w:pStyle w:val="Numberbullet0"/>
        <w:numPr>
          <w:ilvl w:val="0"/>
          <w:numId w:val="33"/>
        </w:numPr>
        <w:rPr>
          <w:b/>
          <w:i/>
        </w:rPr>
      </w:pPr>
      <w:r w:rsidRPr="00933F7B">
        <w:rPr>
          <w:b/>
          <w:i/>
        </w:rPr>
        <w:t xml:space="preserve">Please comment on the option of including twice daily dosing for infants and children in the Product Information (PI), in the context of paediatric HIV therapy in Australia. </w:t>
      </w:r>
    </w:p>
    <w:p w14:paraId="4838D63B" w14:textId="1C197CCE" w:rsidR="009074F9" w:rsidRPr="00933F7B" w:rsidRDefault="009074F9" w:rsidP="009074F9">
      <w:pPr>
        <w:pStyle w:val="Numberbullet0"/>
        <w:numPr>
          <w:ilvl w:val="0"/>
          <w:numId w:val="0"/>
        </w:numPr>
        <w:ind w:left="425"/>
        <w:rPr>
          <w:b/>
          <w:i/>
        </w:rPr>
      </w:pPr>
      <w:r w:rsidRPr="00933F7B">
        <w:rPr>
          <w:b/>
          <w:i/>
        </w:rPr>
        <w:t>While the sponsor’s concerns, including the potential for medication error, are acknowledged, a twice daily dosing option in infants and children for both the film coated tablets and dispersible tablets would provide an alternative for patients where there are tolerability issues with once daily dosing.</w:t>
      </w:r>
    </w:p>
    <w:p w14:paraId="5B32E072" w14:textId="53F96477" w:rsidR="009074F9" w:rsidRPr="00933F7B" w:rsidRDefault="009074F9" w:rsidP="009074F9">
      <w:pPr>
        <w:pStyle w:val="Numberbullet0"/>
        <w:numPr>
          <w:ilvl w:val="0"/>
          <w:numId w:val="0"/>
        </w:numPr>
        <w:ind w:left="425"/>
        <w:rPr>
          <w:b/>
          <w:i/>
        </w:rPr>
      </w:pPr>
      <w:r w:rsidRPr="00933F7B">
        <w:rPr>
          <w:b/>
          <w:i/>
        </w:rPr>
        <w:t xml:space="preserve">The European Medicines Agency (EMA) has approved a twice daily dosing option for children, while the US Food and Drug Administration (FDA) and Health Canada have approved a once daily dosing schedule. The dosing proposed for Australia in children only includes the once daily dosing schedule. </w:t>
      </w:r>
    </w:p>
    <w:p w14:paraId="60BBC130" w14:textId="77777777" w:rsidR="009074F9" w:rsidRPr="00933F7B" w:rsidRDefault="009074F9" w:rsidP="009074F9">
      <w:pPr>
        <w:pStyle w:val="Numberbullet0"/>
        <w:numPr>
          <w:ilvl w:val="0"/>
          <w:numId w:val="0"/>
        </w:numPr>
        <w:ind w:left="425"/>
        <w:rPr>
          <w:b/>
          <w:i/>
        </w:rPr>
      </w:pPr>
      <w:r w:rsidRPr="00933F7B">
        <w:rPr>
          <w:b/>
          <w:i/>
        </w:rPr>
        <w:t>For infants and children weighing 6 to less than 10 kg, dosing for the dispersible tablet is consistent with the approved PI for Health Canada and the EMA where the dosing is stratified by age (&lt; 6 months and ≥ 6 months).</w:t>
      </w:r>
    </w:p>
    <w:p w14:paraId="129D288A" w14:textId="572E5E19" w:rsidR="0074163C" w:rsidRPr="00933F7B" w:rsidRDefault="009074F9" w:rsidP="009074F9">
      <w:pPr>
        <w:pStyle w:val="Numberbullet0"/>
        <w:numPr>
          <w:ilvl w:val="0"/>
          <w:numId w:val="0"/>
        </w:numPr>
        <w:ind w:left="425"/>
        <w:rPr>
          <w:b/>
          <w:i/>
        </w:rPr>
      </w:pPr>
      <w:r w:rsidRPr="00933F7B">
        <w:rPr>
          <w:b/>
          <w:i/>
        </w:rPr>
        <w:t>The US FDA have simplified the dosing for the 6 to less than 10 kg weight band, with the same dose regardless of age.</w:t>
      </w:r>
    </w:p>
    <w:p w14:paraId="3DC6CEE5" w14:textId="0A17006E" w:rsidR="00F328E7" w:rsidRDefault="00F328E7" w:rsidP="00933F7B">
      <w:r>
        <w:t>The ACM noted that the European PI comments on the possibility of twice daily dosing (that is, to split the total daily dose) for ease of administration in young children. Conversely, the Australian PI recommends doubling the dose with twice daily dosing in specific instances where there are concerns of sub-optimal drug concentrations, for example, to counterbalance the effect of drug-drug interactions. The ACM advised that splitting the dose to allow twice daily dosing would have marginal benefit on a very small group of children in the Australian cohor</w:t>
      </w:r>
      <w:r w:rsidR="00935AB2">
        <w:t>t (those weighing between 3 kg and</w:t>
      </w:r>
      <w:r>
        <w:t xml:space="preserve"> 20 kg, and less than 6 years of age). Given that these patients are managed by highly specialised physicians, the ACM were of the view that it is not critical to include this information in the PI. It is expected that treating physicians would be aware of the possibility for split dosing if required on a </w:t>
      </w:r>
      <w:proofErr w:type="gramStart"/>
      <w:r>
        <w:t>case by case</w:t>
      </w:r>
      <w:proofErr w:type="gramEnd"/>
      <w:r>
        <w:t xml:space="preserve"> basis. </w:t>
      </w:r>
    </w:p>
    <w:p w14:paraId="0EFBECF4" w14:textId="2FEA1E7E" w:rsidR="00F328E7" w:rsidRDefault="00F328E7" w:rsidP="00933F7B">
      <w:r>
        <w:lastRenderedPageBreak/>
        <w:t>The ACM noted that some weight ranges may require difficult divisions of dispersible tablets for divided doses, and to con</w:t>
      </w:r>
      <w:r w:rsidR="00933F7B">
        <w:t>sider that the volumes of 5 mL to</w:t>
      </w:r>
      <w:r>
        <w:t xml:space="preserve"> 10 mL of diluent required per dose may be a barrier to adherence for young children, particularly as this would be a long-term medication. </w:t>
      </w:r>
    </w:p>
    <w:p w14:paraId="71BE043C" w14:textId="77777777" w:rsidR="00F328E7" w:rsidRDefault="00F328E7" w:rsidP="00F328E7">
      <w:pPr>
        <w:pStyle w:val="Default"/>
        <w:rPr>
          <w:sz w:val="22"/>
          <w:szCs w:val="22"/>
        </w:rPr>
      </w:pPr>
      <w:r>
        <w:rPr>
          <w:sz w:val="22"/>
          <w:szCs w:val="22"/>
        </w:rPr>
        <w:t>The ACM noted that the TGA risk management plan (RMP) evaluation area had initially recommended the entire CMI including administration instructions be available with each dispensing of the product, however, have since agreed that the instructions for use are sufficient. While the ACM were of the opinion that the dose administration instructions are very clear for the patient/</w:t>
      </w:r>
      <w:proofErr w:type="gramStart"/>
      <w:r>
        <w:rPr>
          <w:sz w:val="22"/>
          <w:szCs w:val="22"/>
        </w:rPr>
        <w:t>carer, and</w:t>
      </w:r>
      <w:proofErr w:type="gramEnd"/>
      <w:r>
        <w:rPr>
          <w:sz w:val="22"/>
          <w:szCs w:val="22"/>
        </w:rPr>
        <w:t xml:space="preserve"> should be included as a minimum with the existing packaging for </w:t>
      </w:r>
      <w:proofErr w:type="spellStart"/>
      <w:r>
        <w:rPr>
          <w:sz w:val="22"/>
          <w:szCs w:val="22"/>
        </w:rPr>
        <w:t>Tivicay</w:t>
      </w:r>
      <w:proofErr w:type="spellEnd"/>
      <w:r>
        <w:rPr>
          <w:sz w:val="22"/>
          <w:szCs w:val="22"/>
        </w:rPr>
        <w:t xml:space="preserve">, their strong preference is for the CMI to be included as well. </w:t>
      </w:r>
    </w:p>
    <w:p w14:paraId="21B56976" w14:textId="77777777" w:rsidR="00F328E7" w:rsidRDefault="00F328E7" w:rsidP="00F328E7">
      <w:pPr>
        <w:pStyle w:val="Default"/>
        <w:rPr>
          <w:sz w:val="22"/>
          <w:szCs w:val="22"/>
        </w:rPr>
      </w:pPr>
      <w:r>
        <w:rPr>
          <w:sz w:val="22"/>
          <w:szCs w:val="22"/>
        </w:rPr>
        <w:t xml:space="preserve">The ACM also highlighted that the bioavailability of the two dosage forms (film coated tablet versus dispersible tablet) are not equivalent and discussed the possibility of medication dispensing errors. The ACM discussed the possibility of having a different shape or colour for the dispersible tablets to </w:t>
      </w:r>
      <w:proofErr w:type="gramStart"/>
      <w:r>
        <w:rPr>
          <w:sz w:val="22"/>
          <w:szCs w:val="22"/>
        </w:rPr>
        <w:t>more clearly differentiate them</w:t>
      </w:r>
      <w:proofErr w:type="gramEnd"/>
      <w:r>
        <w:rPr>
          <w:sz w:val="22"/>
          <w:szCs w:val="22"/>
        </w:rPr>
        <w:t xml:space="preserve"> from the film coated tablets. The pharmaceutical chemistry evaluator will need to be consulted for further comment; however, it was acknowledged there may be manufacturing limitations considering the product is already marketed worldwide. </w:t>
      </w:r>
    </w:p>
    <w:p w14:paraId="28DCD8D9" w14:textId="479B8A7D" w:rsidR="00F328E7" w:rsidRPr="00F328E7" w:rsidRDefault="00F328E7" w:rsidP="00F328E7">
      <w:r>
        <w:t>The ACM noted that mitigation strategies had been put in place (such as labelling changes) to minimise dispensing errors and were supportive of these strategies.</w:t>
      </w:r>
    </w:p>
    <w:p w14:paraId="3228EE7B" w14:textId="5E54CBF6" w:rsidR="0074163C" w:rsidRDefault="0074163C" w:rsidP="0074163C">
      <w:pPr>
        <w:pStyle w:val="Heading5"/>
      </w:pPr>
      <w:r w:rsidRPr="00F73346">
        <w:t>Conclusion</w:t>
      </w:r>
    </w:p>
    <w:p w14:paraId="6EA61CBD" w14:textId="77777777" w:rsidR="00F328E7" w:rsidRDefault="00F328E7" w:rsidP="00F328E7">
      <w:pPr>
        <w:pStyle w:val="Default"/>
        <w:rPr>
          <w:sz w:val="22"/>
          <w:szCs w:val="22"/>
        </w:rPr>
      </w:pPr>
      <w:r>
        <w:rPr>
          <w:sz w:val="22"/>
          <w:szCs w:val="22"/>
        </w:rPr>
        <w:t xml:space="preserve">The ACM considered this product to have an overall positive benefit-risk profile for the indication: </w:t>
      </w:r>
    </w:p>
    <w:p w14:paraId="76218EC8" w14:textId="39B96B9E" w:rsidR="00F328E7" w:rsidRPr="00EA5311" w:rsidRDefault="00933F7B" w:rsidP="00EA5311">
      <w:pPr>
        <w:ind w:left="720"/>
        <w:rPr>
          <w:i/>
        </w:rPr>
      </w:pPr>
      <w:proofErr w:type="spellStart"/>
      <w:r w:rsidRPr="00EA5311">
        <w:rPr>
          <w:i/>
        </w:rPr>
        <w:t>Tivicay</w:t>
      </w:r>
      <w:proofErr w:type="spellEnd"/>
      <w:r w:rsidRPr="00EA5311">
        <w:rPr>
          <w:i/>
        </w:rPr>
        <w:t xml:space="preserve"> </w:t>
      </w:r>
      <w:r w:rsidR="00F328E7" w:rsidRPr="00EA5311">
        <w:rPr>
          <w:i/>
        </w:rPr>
        <w:t xml:space="preserve">and </w:t>
      </w:r>
      <w:proofErr w:type="spellStart"/>
      <w:r w:rsidRPr="00EA5311">
        <w:rPr>
          <w:i/>
        </w:rPr>
        <w:t>Tivicay</w:t>
      </w:r>
      <w:proofErr w:type="spellEnd"/>
      <w:r w:rsidRPr="00EA5311">
        <w:rPr>
          <w:i/>
        </w:rPr>
        <w:t xml:space="preserve"> </w:t>
      </w:r>
      <w:r w:rsidR="00F328E7" w:rsidRPr="00EA5311">
        <w:rPr>
          <w:i/>
        </w:rPr>
        <w:t>PD are indicated for the treatment of human immunodeficiency virus (HIV) infection in combination with other antiretroviral agents in adults and children of at least 4 weeks in age or older and weighing 3 kg or more (see Section</w:t>
      </w:r>
      <w:r w:rsidR="00AF5CB0">
        <w:rPr>
          <w:i/>
        </w:rPr>
        <w:t> </w:t>
      </w:r>
      <w:r w:rsidR="00F328E7" w:rsidRPr="00EA5311">
        <w:rPr>
          <w:i/>
        </w:rPr>
        <w:t xml:space="preserve">4.4 </w:t>
      </w:r>
      <w:r w:rsidR="00EA5311" w:rsidRPr="00EA5311">
        <w:rPr>
          <w:i/>
        </w:rPr>
        <w:t xml:space="preserve">Special Warnings </w:t>
      </w:r>
      <w:proofErr w:type="gramStart"/>
      <w:r w:rsidR="00EA5311" w:rsidRPr="00EA5311">
        <w:rPr>
          <w:i/>
        </w:rPr>
        <w:t>And</w:t>
      </w:r>
      <w:proofErr w:type="gramEnd"/>
      <w:r w:rsidR="00EA5311" w:rsidRPr="00EA5311">
        <w:rPr>
          <w:i/>
        </w:rPr>
        <w:t xml:space="preserve"> Precautions For Use</w:t>
      </w:r>
      <w:r w:rsidR="00F328E7" w:rsidRPr="00EA5311">
        <w:rPr>
          <w:i/>
        </w:rPr>
        <w:t>, Dual regimens).</w:t>
      </w:r>
    </w:p>
    <w:p w14:paraId="44444B4B" w14:textId="77777777" w:rsidR="008E7846" w:rsidRPr="002E238E" w:rsidRDefault="008E7846" w:rsidP="00D212F3">
      <w:pPr>
        <w:pStyle w:val="Heading2"/>
      </w:pPr>
      <w:bookmarkStart w:id="58" w:name="_Toc107925366"/>
      <w:r>
        <w:t>Outcome</w:t>
      </w:r>
      <w:bookmarkEnd w:id="56"/>
      <w:bookmarkEnd w:id="57"/>
      <w:bookmarkEnd w:id="58"/>
    </w:p>
    <w:p w14:paraId="5552C1AA" w14:textId="121316D7" w:rsidR="00EA5311" w:rsidRPr="00EA5311" w:rsidRDefault="0074163C" w:rsidP="00EA5311">
      <w:bookmarkStart w:id="59" w:name="_Toc247691533"/>
      <w:bookmarkStart w:id="60" w:name="_Toc314842517"/>
      <w:r>
        <w:t xml:space="preserve">Based on a review of quality, </w:t>
      </w:r>
      <w:r w:rsidR="00CC5044">
        <w:t>safety,</w:t>
      </w:r>
      <w:r>
        <w:t xml:space="preserve"> and efficacy, the T</w:t>
      </w:r>
      <w:r w:rsidR="00EA5311">
        <w:t xml:space="preserve">GA approved the registration of </w:t>
      </w:r>
      <w:proofErr w:type="spellStart"/>
      <w:r w:rsidR="00EA5311" w:rsidRPr="00EA5311">
        <w:rPr>
          <w:rFonts w:eastAsiaTheme="minorHAnsi" w:cs="Cambria"/>
          <w:color w:val="000000"/>
          <w:lang w:val="en-GB"/>
        </w:rPr>
        <w:t>Tivicay</w:t>
      </w:r>
      <w:proofErr w:type="spellEnd"/>
      <w:r w:rsidR="00EA5311" w:rsidRPr="00EA5311">
        <w:rPr>
          <w:rFonts w:eastAsiaTheme="minorHAnsi" w:cs="Cambria"/>
          <w:color w:val="000000"/>
          <w:lang w:val="en-GB"/>
        </w:rPr>
        <w:t xml:space="preserve"> dolutegravir (as sodium) </w:t>
      </w:r>
      <w:r w:rsidR="00EA5311">
        <w:rPr>
          <w:rFonts w:eastAsiaTheme="minorHAnsi" w:cs="Cambria"/>
          <w:color w:val="000000"/>
          <w:lang w:val="en-GB"/>
        </w:rPr>
        <w:t>10 mg, 25 mg, and 50 mg film-coated tablets (</w:t>
      </w:r>
      <w:r w:rsidR="00EA5311" w:rsidRPr="00EA5311">
        <w:rPr>
          <w:rFonts w:eastAsiaTheme="minorHAnsi" w:cs="Cambria"/>
          <w:color w:val="000000"/>
          <w:lang w:val="en-GB"/>
        </w:rPr>
        <w:t>bottle</w:t>
      </w:r>
      <w:r w:rsidR="00EA5311">
        <w:rPr>
          <w:rFonts w:eastAsiaTheme="minorHAnsi" w:cs="Cambria"/>
          <w:color w:val="000000"/>
          <w:lang w:val="en-GB"/>
        </w:rPr>
        <w:t xml:space="preserve">) and </w:t>
      </w:r>
      <w:proofErr w:type="spellStart"/>
      <w:r w:rsidR="00EA5311" w:rsidRPr="00EA5311">
        <w:rPr>
          <w:rFonts w:eastAsiaTheme="minorHAnsi" w:cs="Cambria"/>
          <w:color w:val="000000"/>
          <w:lang w:val="en-GB"/>
        </w:rPr>
        <w:t>Tivicay</w:t>
      </w:r>
      <w:proofErr w:type="spellEnd"/>
      <w:r w:rsidR="00EA5311" w:rsidRPr="00EA5311">
        <w:rPr>
          <w:rFonts w:eastAsiaTheme="minorHAnsi" w:cs="Cambria"/>
          <w:color w:val="000000"/>
          <w:lang w:val="en-GB"/>
        </w:rPr>
        <w:t xml:space="preserve"> PD dolutegravir (as sodium) 5 mg dispersible tablet</w:t>
      </w:r>
      <w:r w:rsidR="00EA5311">
        <w:rPr>
          <w:rFonts w:eastAsiaTheme="minorHAnsi" w:cs="Cambria"/>
          <w:color w:val="000000"/>
          <w:lang w:val="en-GB"/>
        </w:rPr>
        <w:t>s</w:t>
      </w:r>
      <w:r w:rsidR="00EA5311" w:rsidRPr="00EA5311">
        <w:rPr>
          <w:rFonts w:eastAsiaTheme="minorHAnsi" w:cs="Cambria"/>
          <w:color w:val="000000"/>
          <w:lang w:val="en-GB"/>
        </w:rPr>
        <w:t xml:space="preserve"> </w:t>
      </w:r>
      <w:r w:rsidR="00EA5311">
        <w:rPr>
          <w:rFonts w:eastAsiaTheme="minorHAnsi" w:cs="Cambria"/>
          <w:color w:val="000000"/>
          <w:lang w:val="en-GB"/>
        </w:rPr>
        <w:t>(</w:t>
      </w:r>
      <w:r w:rsidR="00EA5311" w:rsidRPr="00EA5311">
        <w:rPr>
          <w:rFonts w:eastAsiaTheme="minorHAnsi" w:cs="Cambria"/>
          <w:color w:val="000000"/>
          <w:lang w:val="en-GB"/>
        </w:rPr>
        <w:t>bottle</w:t>
      </w:r>
      <w:r w:rsidR="00EA5311">
        <w:rPr>
          <w:rFonts w:eastAsiaTheme="minorHAnsi" w:cs="Cambria"/>
          <w:color w:val="000000"/>
          <w:lang w:val="en-GB"/>
        </w:rPr>
        <w:t xml:space="preserve">) indicated </w:t>
      </w:r>
      <w:r w:rsidR="00EA5311">
        <w:t>for the following extension of indications:</w:t>
      </w:r>
    </w:p>
    <w:p w14:paraId="21386CE8" w14:textId="77777777" w:rsidR="00EA5311" w:rsidRPr="00EA5311" w:rsidRDefault="00EA5311" w:rsidP="00EA5311">
      <w:pPr>
        <w:ind w:left="720"/>
        <w:rPr>
          <w:i/>
        </w:rPr>
      </w:pPr>
      <w:proofErr w:type="spellStart"/>
      <w:r w:rsidRPr="00EA5311">
        <w:rPr>
          <w:i/>
        </w:rPr>
        <w:t>Tivicay</w:t>
      </w:r>
      <w:proofErr w:type="spellEnd"/>
      <w:r w:rsidRPr="00EA5311">
        <w:rPr>
          <w:i/>
        </w:rPr>
        <w:t xml:space="preserve"> and </w:t>
      </w:r>
      <w:proofErr w:type="spellStart"/>
      <w:r w:rsidRPr="00EA5311">
        <w:rPr>
          <w:i/>
        </w:rPr>
        <w:t>Tivicay</w:t>
      </w:r>
      <w:proofErr w:type="spellEnd"/>
      <w:r w:rsidRPr="00EA5311">
        <w:rPr>
          <w:i/>
        </w:rPr>
        <w:t xml:space="preserve"> PD are indicated for the treatment of human immunodeficiency virus (HIV) infection in combination with other antiretroviral agents in adults and children of at least 4 weeks in age or older and weighing 3 kg or more (see Section 4.4 Special Warnings </w:t>
      </w:r>
      <w:proofErr w:type="gramStart"/>
      <w:r w:rsidRPr="00EA5311">
        <w:rPr>
          <w:i/>
        </w:rPr>
        <w:t>And</w:t>
      </w:r>
      <w:proofErr w:type="gramEnd"/>
      <w:r w:rsidRPr="00EA5311">
        <w:rPr>
          <w:i/>
        </w:rPr>
        <w:t xml:space="preserve"> Precautions For Use, Dual regimens).</w:t>
      </w:r>
    </w:p>
    <w:p w14:paraId="708C8478" w14:textId="3FBA6EC9" w:rsidR="0074163C" w:rsidRDefault="0074163C" w:rsidP="0074163C">
      <w:r>
        <w:t xml:space="preserve">As such, the full indications </w:t>
      </w:r>
      <w:proofErr w:type="gramStart"/>
      <w:r>
        <w:t>at this time</w:t>
      </w:r>
      <w:proofErr w:type="gramEnd"/>
      <w:r>
        <w:t xml:space="preserve"> were:</w:t>
      </w:r>
    </w:p>
    <w:p w14:paraId="7FAC3B15" w14:textId="77777777" w:rsidR="00EA5311" w:rsidRPr="00EA5311" w:rsidRDefault="00EA5311" w:rsidP="00EA5311">
      <w:pPr>
        <w:ind w:left="720"/>
        <w:rPr>
          <w:i/>
        </w:rPr>
      </w:pPr>
      <w:proofErr w:type="spellStart"/>
      <w:r w:rsidRPr="00EA5311">
        <w:rPr>
          <w:i/>
        </w:rPr>
        <w:t>Tivicay</w:t>
      </w:r>
      <w:proofErr w:type="spellEnd"/>
      <w:r w:rsidRPr="00EA5311">
        <w:rPr>
          <w:i/>
        </w:rPr>
        <w:t xml:space="preserve"> and </w:t>
      </w:r>
      <w:proofErr w:type="spellStart"/>
      <w:r w:rsidRPr="00EA5311">
        <w:rPr>
          <w:i/>
        </w:rPr>
        <w:t>Tivicay</w:t>
      </w:r>
      <w:proofErr w:type="spellEnd"/>
      <w:r w:rsidRPr="00EA5311">
        <w:rPr>
          <w:i/>
        </w:rPr>
        <w:t xml:space="preserve"> PD are indicated for the treatment of human immunodeficiency virus (HIV) infection in combination with other antiretroviral agents in adults and children of at least 4 weeks in age or older and weighing 3 kg or more (see Section 4.4 Special Warnings </w:t>
      </w:r>
      <w:proofErr w:type="gramStart"/>
      <w:r w:rsidRPr="00EA5311">
        <w:rPr>
          <w:i/>
        </w:rPr>
        <w:t>And</w:t>
      </w:r>
      <w:proofErr w:type="gramEnd"/>
      <w:r w:rsidRPr="00EA5311">
        <w:rPr>
          <w:i/>
        </w:rPr>
        <w:t xml:space="preserve"> Precautions For Use, Dual regimens).</w:t>
      </w:r>
    </w:p>
    <w:p w14:paraId="259BC0B0" w14:textId="76A246E6" w:rsidR="0074163C" w:rsidRPr="00D23139" w:rsidRDefault="0074163C" w:rsidP="0074163C">
      <w:r>
        <w:t xml:space="preserve">The above </w:t>
      </w:r>
      <w:r w:rsidRPr="00C105CF">
        <w:t xml:space="preserve">extension of indications </w:t>
      </w:r>
      <w:proofErr w:type="gramStart"/>
      <w:r>
        <w:t>are</w:t>
      </w:r>
      <w:proofErr w:type="gramEnd"/>
      <w:r>
        <w:t xml:space="preserve"> inclusive of the</w:t>
      </w:r>
      <w:r w:rsidR="00EA5311">
        <w:t xml:space="preserve"> previous approved indications.</w:t>
      </w:r>
    </w:p>
    <w:p w14:paraId="7E64348B" w14:textId="5F8BC304" w:rsidR="00D23139" w:rsidRDefault="00D23139" w:rsidP="00D212F3">
      <w:pPr>
        <w:pStyle w:val="Heading3"/>
      </w:pPr>
      <w:bookmarkStart w:id="61" w:name="_Toc107925367"/>
      <w:r w:rsidRPr="00D23139">
        <w:t>Specific conditions of registration applying to these goods</w:t>
      </w:r>
      <w:bookmarkEnd w:id="61"/>
    </w:p>
    <w:p w14:paraId="2433DED6" w14:textId="7DC28302" w:rsidR="00EA5311" w:rsidRPr="00AE1527" w:rsidRDefault="00EA5311" w:rsidP="00AE1527">
      <w:pPr>
        <w:pStyle w:val="ListBullet"/>
      </w:pPr>
      <w:proofErr w:type="spellStart"/>
      <w:r w:rsidRPr="00AE1527">
        <w:t>Tivicay</w:t>
      </w:r>
      <w:proofErr w:type="spellEnd"/>
      <w:r w:rsidRPr="00AE1527">
        <w:t xml:space="preserve"> PD (dolutegravir) is to be included in the Black Triangle Scheme. The consolidated PI for </w:t>
      </w:r>
      <w:proofErr w:type="spellStart"/>
      <w:r w:rsidR="00AE1527" w:rsidRPr="00AE1527">
        <w:t>Tivicay</w:t>
      </w:r>
      <w:proofErr w:type="spellEnd"/>
      <w:r w:rsidR="00AE1527" w:rsidRPr="00AE1527">
        <w:t xml:space="preserve"> </w:t>
      </w:r>
      <w:r w:rsidRPr="00AE1527">
        <w:t xml:space="preserve">and </w:t>
      </w:r>
      <w:proofErr w:type="spellStart"/>
      <w:r w:rsidR="00AE1527" w:rsidRPr="00AE1527">
        <w:t>Tivicay</w:t>
      </w:r>
      <w:proofErr w:type="spellEnd"/>
      <w:r w:rsidR="00AE1527" w:rsidRPr="00AE1527">
        <w:t xml:space="preserve"> </w:t>
      </w:r>
      <w:r w:rsidRPr="00AE1527">
        <w:t xml:space="preserve">PD and CMI for </w:t>
      </w:r>
      <w:proofErr w:type="spellStart"/>
      <w:r w:rsidR="00AE1527" w:rsidRPr="00AE1527">
        <w:t>Tivicay</w:t>
      </w:r>
      <w:proofErr w:type="spellEnd"/>
      <w:r w:rsidR="00AE1527" w:rsidRPr="00AE1527">
        <w:t xml:space="preserve"> </w:t>
      </w:r>
      <w:r w:rsidRPr="00AE1527">
        <w:t xml:space="preserve">PD must include the </w:t>
      </w:r>
      <w:r w:rsidRPr="00AE1527">
        <w:lastRenderedPageBreak/>
        <w:t>black triangle symbol and mandatory accompanying text for five years, which starts from the date that the new indication is registered</w:t>
      </w:r>
      <w:r w:rsidR="00AE1527" w:rsidRPr="00AE1527">
        <w:t>.</w:t>
      </w:r>
    </w:p>
    <w:p w14:paraId="1AF4643F" w14:textId="77777777" w:rsidR="00AE1527" w:rsidRDefault="00EA5311" w:rsidP="00AE1527">
      <w:pPr>
        <w:pStyle w:val="ListBullet"/>
      </w:pPr>
      <w:r w:rsidRPr="00AE1527">
        <w:t xml:space="preserve">The </w:t>
      </w:r>
      <w:proofErr w:type="spellStart"/>
      <w:r w:rsidR="00AE1527" w:rsidRPr="00AE1527">
        <w:t>Tivicay</w:t>
      </w:r>
      <w:proofErr w:type="spellEnd"/>
      <w:r w:rsidR="00AE1527" w:rsidRPr="00AE1527">
        <w:t xml:space="preserve"> </w:t>
      </w:r>
      <w:r w:rsidRPr="00AE1527">
        <w:t xml:space="preserve">and </w:t>
      </w:r>
      <w:proofErr w:type="spellStart"/>
      <w:r w:rsidR="00AE1527" w:rsidRPr="00AE1527">
        <w:t>Tivicay</w:t>
      </w:r>
      <w:proofErr w:type="spellEnd"/>
      <w:r w:rsidR="00AE1527" w:rsidRPr="00AE1527">
        <w:t xml:space="preserve"> </w:t>
      </w:r>
      <w:r w:rsidRPr="00AE1527">
        <w:t>PD EU-Risk Management Pl</w:t>
      </w:r>
      <w:r w:rsidR="00AE1527" w:rsidRPr="00AE1527">
        <w:t>an (RMP) (version 16.2, dated 9 </w:t>
      </w:r>
      <w:r w:rsidRPr="00AE1527">
        <w:t>November 2020, data lock point 30 April 2019), with Aus</w:t>
      </w:r>
      <w:r w:rsidR="00AE1527" w:rsidRPr="00AE1527">
        <w:t>tralian Specific Annex (version </w:t>
      </w:r>
      <w:r w:rsidRPr="00AE1527">
        <w:t>7.1, dated March 2021), included with submission PM-2020-03495-1-2, and any subsequent revisions, as agreed with the TGA wi</w:t>
      </w:r>
      <w:r w:rsidR="00AE1527">
        <w:t>ll be implemented in Australia.</w:t>
      </w:r>
    </w:p>
    <w:p w14:paraId="0D393357" w14:textId="77777777" w:rsidR="00AE1527" w:rsidRDefault="00EA5311" w:rsidP="00AE1527">
      <w:pPr>
        <w:pStyle w:val="ListBullet"/>
        <w:numPr>
          <w:ilvl w:val="0"/>
          <w:numId w:val="0"/>
        </w:numPr>
        <w:ind w:left="360"/>
      </w:pPr>
      <w:r w:rsidRPr="00AE1527">
        <w:t>An obligatory component of risk management plans is routine pharmacovigilance. Routine pharmacovigilance includes the submission of periodic safety update reports (PSURs).</w:t>
      </w:r>
      <w:r w:rsidR="00AE1527" w:rsidRPr="00AE1527">
        <w:t xml:space="preserve"> Reports are to be provided in line with the current published list of EU reference dates and frequency of submission of PSURs until the period covered by such reports is not less than three years from the date of this approval letter.</w:t>
      </w:r>
    </w:p>
    <w:p w14:paraId="0FC55995" w14:textId="63249371" w:rsidR="00EA5311" w:rsidRPr="00AE1527" w:rsidRDefault="00AE1527" w:rsidP="00AE1527">
      <w:pPr>
        <w:pStyle w:val="ListBullet"/>
        <w:numPr>
          <w:ilvl w:val="0"/>
          <w:numId w:val="0"/>
        </w:numPr>
        <w:ind w:left="360"/>
      </w:pPr>
      <w:r w:rsidRPr="00AE1527">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2E04DCD9" w14:textId="77777777" w:rsidR="008E7846" w:rsidRDefault="00A80B5B" w:rsidP="00D23139">
      <w:pPr>
        <w:pStyle w:val="Heading2"/>
      </w:pPr>
      <w:bookmarkStart w:id="62" w:name="_Toc107925368"/>
      <w:r>
        <w:t xml:space="preserve">Attachment 1. </w:t>
      </w:r>
      <w:r w:rsidR="008E7846">
        <w:t xml:space="preserve">Product </w:t>
      </w:r>
      <w:r w:rsidR="00AA0ED0">
        <w:t>I</w:t>
      </w:r>
      <w:r w:rsidR="008E7846">
        <w:t>nformation</w:t>
      </w:r>
      <w:bookmarkEnd w:id="59"/>
      <w:bookmarkEnd w:id="60"/>
      <w:bookmarkEnd w:id="62"/>
    </w:p>
    <w:p w14:paraId="495ABFF3" w14:textId="631FCB27" w:rsidR="0074163C" w:rsidRPr="00AE1527" w:rsidRDefault="006136D7" w:rsidP="00C80137">
      <w:r w:rsidRPr="002B3624">
        <w:t xml:space="preserve">The </w:t>
      </w:r>
      <w:r>
        <w:t>PI</w:t>
      </w:r>
      <w:r w:rsidR="00AE1527">
        <w:t xml:space="preserve"> for </w:t>
      </w:r>
      <w:proofErr w:type="spellStart"/>
      <w:r w:rsidR="00AE1527">
        <w:t>Tivicay</w:t>
      </w:r>
      <w:proofErr w:type="spellEnd"/>
      <w:r w:rsidR="00AE1527">
        <w:t xml:space="preserve"> and </w:t>
      </w:r>
      <w:proofErr w:type="spellStart"/>
      <w:r w:rsidR="00AE1527">
        <w:t>Tivicay</w:t>
      </w:r>
      <w:proofErr w:type="spellEnd"/>
      <w:r w:rsidR="00AE1527">
        <w:t xml:space="preserve"> PD </w:t>
      </w:r>
      <w:r>
        <w:t xml:space="preserve">approved with the submission which is described in </w:t>
      </w:r>
      <w:r w:rsidRPr="002B3624">
        <w:t>this AusPAR is at Attachment 1.</w:t>
      </w:r>
      <w:r w:rsidR="00CC5044">
        <w:t xml:space="preserve"> </w:t>
      </w:r>
      <w:r w:rsidR="0074163C" w:rsidRPr="00940A89">
        <w:t xml:space="preserve">For the most recent </w:t>
      </w:r>
      <w:r w:rsidR="0074163C">
        <w:t>PI,</w:t>
      </w:r>
      <w:r w:rsidR="0074163C" w:rsidRPr="00940A89">
        <w:t xml:space="preserve"> ple</w:t>
      </w:r>
      <w:r w:rsidR="0074163C">
        <w:t xml:space="preserve">ase refer to the TGA </w:t>
      </w:r>
      <w:hyperlink r:id="rId21" w:history="1">
        <w:r w:rsidR="0074163C" w:rsidRPr="008A698E">
          <w:rPr>
            <w:rStyle w:val="Hyperlink"/>
          </w:rPr>
          <w:t>PI/CMI search facility.</w:t>
        </w:r>
      </w:hyperlink>
      <w:r w:rsidR="00AE1527">
        <w:t xml:space="preserve"> </w:t>
      </w:r>
    </w:p>
    <w:p w14:paraId="386A7FB3" w14:textId="103E402B" w:rsidR="00744121" w:rsidRDefault="008E7846" w:rsidP="00935AB2">
      <w:pPr>
        <w:autoSpaceDE w:val="0"/>
        <w:autoSpaceDN w:val="0"/>
        <w:adjustRightInd w:val="0"/>
        <w:spacing w:after="0"/>
      </w:pPr>
      <w:r w:rsidRPr="00C80137">
        <w:rPr>
          <w:b/>
        </w:rPr>
        <w:br w:type="page"/>
      </w:r>
    </w:p>
    <w:p w14:paraId="68B1CBE5" w14:textId="77777777" w:rsidR="00C80137" w:rsidRPr="001D043B" w:rsidRDefault="00C80137" w:rsidP="003A7F6C">
      <w:pPr>
        <w:pStyle w:val="TableTitle"/>
        <w:sectPr w:rsidR="00C80137" w:rsidRPr="001D043B" w:rsidSect="00B452CE">
          <w:headerReference w:type="even" r:id="rId22"/>
          <w:headerReference w:type="default" r:id="rId23"/>
          <w:headerReference w:type="first" r:id="rId24"/>
          <w:footerReference w:type="first" r:id="rId2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67F5BBF9" w14:textId="77777777" w:rsidTr="00A05FA4">
        <w:trPr>
          <w:trHeight w:hRule="exact" w:val="704"/>
        </w:trPr>
        <w:tc>
          <w:tcPr>
            <w:tcW w:w="9175" w:type="dxa"/>
          </w:tcPr>
          <w:p w14:paraId="07E7F02E" w14:textId="77777777" w:rsidR="001C32CD" w:rsidRPr="00487162" w:rsidRDefault="001C32CD" w:rsidP="00A05FA4">
            <w:pPr>
              <w:pStyle w:val="TGASignoff"/>
            </w:pPr>
            <w:r w:rsidRPr="00487162">
              <w:lastRenderedPageBreak/>
              <w:t>Therapeutic Goods Administration</w:t>
            </w:r>
          </w:p>
        </w:tc>
      </w:tr>
      <w:tr w:rsidR="001C32CD" w:rsidRPr="004C239D" w14:paraId="491EECD0" w14:textId="77777777" w:rsidTr="00A05FA4">
        <w:trPr>
          <w:trHeight w:val="1221"/>
        </w:trPr>
        <w:tc>
          <w:tcPr>
            <w:tcW w:w="9175" w:type="dxa"/>
            <w:tcMar>
              <w:top w:w="28" w:type="dxa"/>
            </w:tcMar>
          </w:tcPr>
          <w:p w14:paraId="59392030" w14:textId="77777777" w:rsidR="001C32CD" w:rsidRPr="00487162" w:rsidRDefault="001C32CD" w:rsidP="00A05FA4">
            <w:pPr>
              <w:pStyle w:val="Address"/>
            </w:pPr>
            <w:r w:rsidRPr="00487162">
              <w:t>PO Box 100 Woden ACT 2606 Australia</w:t>
            </w:r>
          </w:p>
          <w:p w14:paraId="7F94BE61" w14:textId="55C17AAC" w:rsidR="001C32CD" w:rsidRPr="00487162" w:rsidRDefault="001C32CD" w:rsidP="00A05FA4">
            <w:pPr>
              <w:pStyle w:val="Address"/>
            </w:pPr>
            <w:r w:rsidRPr="00487162">
              <w:t xml:space="preserve">Email: </w:t>
            </w:r>
            <w:hyperlink r:id="rId26" w:history="1">
              <w:r w:rsidRPr="004C239D">
                <w:rPr>
                  <w:rStyle w:val="Hyperlink"/>
                </w:rPr>
                <w:t>info@tga.gov.au</w:t>
              </w:r>
            </w:hyperlink>
            <w:r w:rsidRPr="00487162">
              <w:t xml:space="preserve">  Phone: 1800 020 </w:t>
            </w:r>
            <w:proofErr w:type="gramStart"/>
            <w:r w:rsidRPr="00487162">
              <w:t>653  Fax</w:t>
            </w:r>
            <w:proofErr w:type="gramEnd"/>
            <w:r w:rsidRPr="00487162">
              <w:t>: 02 6232 8605</w:t>
            </w:r>
          </w:p>
          <w:p w14:paraId="0858937E" w14:textId="7A8BFAB6" w:rsidR="001C32CD" w:rsidRPr="004C239D" w:rsidRDefault="00D174B5" w:rsidP="00A05FA4">
            <w:pPr>
              <w:pStyle w:val="Address"/>
              <w:spacing w:line="260" w:lineRule="atLeast"/>
              <w:rPr>
                <w:b/>
                <w:color w:val="0000FF"/>
                <w:u w:val="single"/>
              </w:rPr>
            </w:pPr>
            <w:hyperlink r:id="rId27" w:history="1">
              <w:r w:rsidR="007C6B9B" w:rsidRPr="007C6B9B">
                <w:rPr>
                  <w:rStyle w:val="Hyperlink"/>
                  <w:b/>
                </w:rPr>
                <w:t>https://www.tga.gov.au</w:t>
              </w:r>
            </w:hyperlink>
          </w:p>
        </w:tc>
      </w:tr>
    </w:tbl>
    <w:p w14:paraId="426FCF90" w14:textId="77777777" w:rsidR="00774E1D" w:rsidRPr="008A5E0B" w:rsidRDefault="00774E1D" w:rsidP="004C239D"/>
    <w:sectPr w:rsidR="00774E1D" w:rsidRPr="008A5E0B" w:rsidSect="001C32CD">
      <w:headerReference w:type="even" r:id="rId28"/>
      <w:headerReference w:type="default" r:id="rId29"/>
      <w:footerReference w:type="default" r:id="rId30"/>
      <w:headerReference w:type="first" r:id="rId31"/>
      <w:footerReference w:type="first" r:id="rId32"/>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27054" w14:textId="77777777" w:rsidR="00D467EC" w:rsidRDefault="00D467EC" w:rsidP="00C40A36">
      <w:pPr>
        <w:spacing w:after="0"/>
      </w:pPr>
      <w:r>
        <w:separator/>
      </w:r>
    </w:p>
  </w:endnote>
  <w:endnote w:type="continuationSeparator" w:id="0">
    <w:p w14:paraId="2BD5D88E" w14:textId="77777777" w:rsidR="00D467EC" w:rsidRDefault="00D467E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D467EC" w:rsidRPr="00487162" w14:paraId="4A351AED" w14:textId="77777777" w:rsidTr="00DB750B">
      <w:trPr>
        <w:trHeight w:val="269"/>
      </w:trPr>
      <w:tc>
        <w:tcPr>
          <w:tcW w:w="7371" w:type="dxa"/>
          <w:tcMar>
            <w:top w:w="142" w:type="dxa"/>
            <w:bottom w:w="0" w:type="dxa"/>
          </w:tcMar>
        </w:tcPr>
        <w:p w14:paraId="0959F3F1" w14:textId="55E5C6F2" w:rsidR="00D467EC" w:rsidRPr="00487162" w:rsidRDefault="00D467EC" w:rsidP="009074F9">
          <w:pPr>
            <w:pStyle w:val="Footer"/>
          </w:pPr>
          <w:proofErr w:type="spellStart"/>
          <w:r w:rsidRPr="00487162">
            <w:t>AusPA</w:t>
          </w:r>
          <w:r>
            <w:t>R</w:t>
          </w:r>
          <w:proofErr w:type="spellEnd"/>
          <w:r>
            <w:t xml:space="preserve"> -</w:t>
          </w:r>
          <w:proofErr w:type="spellStart"/>
          <w:r>
            <w:t>Tivicay</w:t>
          </w:r>
          <w:proofErr w:type="spellEnd"/>
          <w:r w:rsidRPr="00460036">
            <w:t xml:space="preserve">– </w:t>
          </w:r>
          <w:r>
            <w:t>dolutegravir</w:t>
          </w:r>
          <w:r w:rsidRPr="00460036">
            <w:t xml:space="preserve"> </w:t>
          </w:r>
          <w:r>
            <w:t xml:space="preserve">– </w:t>
          </w:r>
          <w:proofErr w:type="spellStart"/>
          <w:r>
            <w:t>ViiV</w:t>
          </w:r>
          <w:proofErr w:type="spellEnd"/>
          <w:r>
            <w:t xml:space="preserve"> Healthcare Pty Ltd </w:t>
          </w:r>
          <w:r w:rsidRPr="009074F9">
            <w:t>PM-2020-03495-1-2</w:t>
          </w:r>
          <w:r>
            <w:br/>
            <w:t>FINAL. 5 July 2022</w:t>
          </w:r>
        </w:p>
      </w:tc>
      <w:tc>
        <w:tcPr>
          <w:tcW w:w="1490" w:type="dxa"/>
          <w:tcMar>
            <w:top w:w="142" w:type="dxa"/>
            <w:bottom w:w="0" w:type="dxa"/>
          </w:tcMar>
        </w:tcPr>
        <w:p w14:paraId="5AF027D6" w14:textId="4521525A" w:rsidR="00D467EC" w:rsidRPr="00487162" w:rsidRDefault="00D467EC" w:rsidP="00DB750B">
          <w:pPr>
            <w:pStyle w:val="Footer"/>
            <w:jc w:val="right"/>
          </w:pPr>
          <w:r w:rsidRPr="00487162">
            <w:t xml:space="preserve">Page </w:t>
          </w:r>
          <w:r>
            <w:fldChar w:fldCharType="begin"/>
          </w:r>
          <w:r>
            <w:instrText xml:space="preserve"> PAGE  \* Arabic </w:instrText>
          </w:r>
          <w:r>
            <w:fldChar w:fldCharType="separate"/>
          </w:r>
          <w:r>
            <w:rPr>
              <w:noProof/>
            </w:rPr>
            <w:t>7</w:t>
          </w:r>
          <w:r>
            <w:fldChar w:fldCharType="end"/>
          </w:r>
          <w:r w:rsidRPr="00487162">
            <w:t xml:space="preserve"> of </w:t>
          </w:r>
          <w:r w:rsidR="00D174B5">
            <w:fldChar w:fldCharType="begin"/>
          </w:r>
          <w:r w:rsidR="00D174B5">
            <w:instrText xml:space="preserve"> NUMPAGES  \* Arabic </w:instrText>
          </w:r>
          <w:r w:rsidR="00D174B5">
            <w:fldChar w:fldCharType="separate"/>
          </w:r>
          <w:r>
            <w:rPr>
              <w:noProof/>
            </w:rPr>
            <w:t>28</w:t>
          </w:r>
          <w:r w:rsidR="00D174B5">
            <w:rPr>
              <w:noProof/>
            </w:rPr>
            <w:fldChar w:fldCharType="end"/>
          </w:r>
        </w:p>
      </w:tc>
    </w:tr>
  </w:tbl>
  <w:p w14:paraId="7256DC4C" w14:textId="77777777" w:rsidR="00D467EC" w:rsidRDefault="00D467EC"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467EC" w:rsidRPr="00487162" w14:paraId="25896619" w14:textId="77777777" w:rsidTr="00E45619">
      <w:trPr>
        <w:trHeight w:val="269"/>
      </w:trPr>
      <w:tc>
        <w:tcPr>
          <w:tcW w:w="4519" w:type="dxa"/>
          <w:tcBorders>
            <w:top w:val="single" w:sz="4" w:space="0" w:color="auto"/>
          </w:tcBorders>
          <w:tcMar>
            <w:top w:w="142" w:type="dxa"/>
            <w:bottom w:w="0" w:type="dxa"/>
          </w:tcMar>
        </w:tcPr>
        <w:p w14:paraId="0312FAAB" w14:textId="77777777" w:rsidR="00D467EC" w:rsidRPr="00487162" w:rsidRDefault="00D467EC" w:rsidP="00FE1DEE">
          <w:pPr>
            <w:pStyle w:val="Footer"/>
          </w:pPr>
          <w:r w:rsidRPr="00487162">
            <w:t>Document title, Part #, Section # - Section title</w:t>
          </w:r>
        </w:p>
        <w:p w14:paraId="0A27333D" w14:textId="77777777" w:rsidR="00D467EC" w:rsidRPr="00487162" w:rsidRDefault="00D467EC" w:rsidP="00FE1DEE">
          <w:pPr>
            <w:pStyle w:val="Footer"/>
          </w:pPr>
          <w:r w:rsidRPr="00487162">
            <w:t>V1.0 October 2010</w:t>
          </w:r>
        </w:p>
      </w:tc>
      <w:tc>
        <w:tcPr>
          <w:tcW w:w="4342" w:type="dxa"/>
          <w:tcBorders>
            <w:top w:val="single" w:sz="4" w:space="0" w:color="auto"/>
          </w:tcBorders>
          <w:tcMar>
            <w:top w:w="142" w:type="dxa"/>
            <w:bottom w:w="0" w:type="dxa"/>
          </w:tcMar>
        </w:tcPr>
        <w:p w14:paraId="1CE558B9" w14:textId="77777777" w:rsidR="00D467EC" w:rsidRPr="00487162" w:rsidRDefault="00D467EC"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D174B5">
            <w:fldChar w:fldCharType="begin"/>
          </w:r>
          <w:r w:rsidR="00D174B5">
            <w:instrText xml:space="preserve"> NUMPAGES  </w:instrText>
          </w:r>
          <w:r w:rsidR="00D174B5">
            <w:fldChar w:fldCharType="separate"/>
          </w:r>
          <w:r>
            <w:rPr>
              <w:noProof/>
            </w:rPr>
            <w:t>21</w:t>
          </w:r>
          <w:r w:rsidR="00D174B5">
            <w:rPr>
              <w:noProof/>
            </w:rPr>
            <w:fldChar w:fldCharType="end"/>
          </w:r>
        </w:p>
      </w:tc>
    </w:tr>
  </w:tbl>
  <w:p w14:paraId="231EA0D1" w14:textId="77777777" w:rsidR="00D467EC" w:rsidRDefault="00D46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BC0C0" w14:textId="77777777" w:rsidR="00D467EC" w:rsidRPr="001C32CD" w:rsidRDefault="00D467EC"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467EC" w14:paraId="03D38264" w14:textId="77777777" w:rsidTr="0010601F">
      <w:trPr>
        <w:trHeight w:val="108"/>
      </w:trPr>
      <w:tc>
        <w:tcPr>
          <w:tcW w:w="8875" w:type="dxa"/>
          <w:gridSpan w:val="2"/>
          <w:tcBorders>
            <w:bottom w:val="single" w:sz="4" w:space="0" w:color="auto"/>
          </w:tcBorders>
          <w:tcMar>
            <w:right w:w="284" w:type="dxa"/>
          </w:tcMar>
        </w:tcPr>
        <w:p w14:paraId="1350CBAA" w14:textId="77777777" w:rsidR="00D467EC" w:rsidRDefault="00D467EC" w:rsidP="006E08B3">
          <w:pPr>
            <w:pStyle w:val="Heading3"/>
          </w:pPr>
          <w:r>
            <w:t>Copyright</w:t>
          </w:r>
        </w:p>
        <w:p w14:paraId="1DA1F946" w14:textId="77777777" w:rsidR="00D467EC" w:rsidRDefault="00D467EC" w:rsidP="006E08B3">
          <w:r>
            <w:rPr>
              <w:rFonts w:cs="Arial"/>
            </w:rPr>
            <w:t>©</w:t>
          </w:r>
          <w:r>
            <w:t xml:space="preserve"> Commonwealth of Australia [add year]</w:t>
          </w:r>
        </w:p>
        <w:p w14:paraId="69E4B4F7" w14:textId="77777777" w:rsidR="00D467EC" w:rsidRDefault="00D467EC" w:rsidP="006E08B3"/>
        <w:p w14:paraId="05FF4CF6" w14:textId="77777777" w:rsidR="00D467EC" w:rsidRDefault="00D467EC"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2E383C0E" w14:textId="77777777" w:rsidR="00D467EC" w:rsidRDefault="00D467EC" w:rsidP="006E08B3"/>
        <w:p w14:paraId="3E64B1E3" w14:textId="77777777" w:rsidR="00D467EC" w:rsidRDefault="00D467EC" w:rsidP="006E08B3">
          <w:pPr>
            <w:pStyle w:val="Heading3"/>
          </w:pPr>
          <w:r>
            <w:t>Confidentiality</w:t>
          </w:r>
        </w:p>
        <w:p w14:paraId="38093246" w14:textId="77777777" w:rsidR="00D467EC" w:rsidRDefault="00D467EC"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53DA74FB" w14:textId="77777777" w:rsidR="00D467EC" w:rsidRDefault="00D467EC" w:rsidP="006E08B3"/>
        <w:p w14:paraId="7EC69AF2" w14:textId="77777777" w:rsidR="00D467EC" w:rsidRDefault="00D467EC" w:rsidP="006E08B3">
          <w:r>
            <w:t>For submission made by individuals, all personal details, other than your name, will be removed from your submission before it is published on the TGA’s Internet site.</w:t>
          </w:r>
        </w:p>
        <w:p w14:paraId="243326FC" w14:textId="77777777" w:rsidR="00D467EC" w:rsidRDefault="00D467EC" w:rsidP="006E08B3"/>
        <w:p w14:paraId="596B48C5" w14:textId="25116FC6" w:rsidR="00D467EC" w:rsidRDefault="00D467EC" w:rsidP="006E08B3">
          <w:r>
            <w:t>In addition, a list of parties making submissions will be published. If you do not wish to be identified with your submission you must specifically request this in the space provided in the submission coversheet.</w:t>
          </w:r>
        </w:p>
      </w:tc>
    </w:tr>
    <w:tr w:rsidR="00D467EC" w14:paraId="006854E3" w14:textId="77777777" w:rsidTr="0010601F">
      <w:trPr>
        <w:trHeight w:val="417"/>
      </w:trPr>
      <w:tc>
        <w:tcPr>
          <w:tcW w:w="4519" w:type="dxa"/>
          <w:tcBorders>
            <w:top w:val="single" w:sz="4" w:space="0" w:color="auto"/>
          </w:tcBorders>
          <w:tcMar>
            <w:top w:w="142" w:type="dxa"/>
            <w:bottom w:w="0" w:type="dxa"/>
          </w:tcMar>
        </w:tcPr>
        <w:p w14:paraId="643DDB1E" w14:textId="77777777" w:rsidR="00D467EC" w:rsidRDefault="00D467EC" w:rsidP="006E08B3">
          <w:r>
            <w:t>Document title, Part #, Section # - Section title</w:t>
          </w:r>
        </w:p>
        <w:p w14:paraId="340BEEDB" w14:textId="77777777" w:rsidR="00D467EC" w:rsidRDefault="00D467EC" w:rsidP="006E08B3">
          <w:r>
            <w:t>V1.0 October 2010</w:t>
          </w:r>
        </w:p>
      </w:tc>
      <w:tc>
        <w:tcPr>
          <w:tcW w:w="4356" w:type="dxa"/>
          <w:tcBorders>
            <w:top w:val="single" w:sz="4" w:space="0" w:color="auto"/>
          </w:tcBorders>
          <w:tcMar>
            <w:top w:w="142" w:type="dxa"/>
            <w:bottom w:w="0" w:type="dxa"/>
          </w:tcMar>
        </w:tcPr>
        <w:p w14:paraId="48D7230C" w14:textId="77777777" w:rsidR="00D467EC" w:rsidRDefault="00D467EC"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D174B5">
            <w:fldChar w:fldCharType="begin"/>
          </w:r>
          <w:r w:rsidR="00D174B5">
            <w:instrText xml:space="preserve"> NUMPAGES  \* Arabic </w:instrText>
          </w:r>
          <w:r w:rsidR="00D174B5">
            <w:fldChar w:fldCharType="separate"/>
          </w:r>
          <w:r>
            <w:rPr>
              <w:noProof/>
            </w:rPr>
            <w:t>21</w:t>
          </w:r>
          <w:r w:rsidR="00D174B5">
            <w:rPr>
              <w:noProof/>
            </w:rPr>
            <w:fldChar w:fldCharType="end"/>
          </w:r>
          <w:r>
            <w:t xml:space="preserve">  </w:t>
          </w:r>
        </w:p>
      </w:tc>
    </w:tr>
  </w:tbl>
  <w:p w14:paraId="3D8D2D8E" w14:textId="77777777" w:rsidR="00D467EC" w:rsidRDefault="00D467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CC83B" w14:textId="77777777" w:rsidR="00D467EC" w:rsidRDefault="00D467EC" w:rsidP="00C40A36">
      <w:pPr>
        <w:spacing w:after="0"/>
      </w:pPr>
      <w:r>
        <w:separator/>
      </w:r>
    </w:p>
  </w:footnote>
  <w:footnote w:type="continuationSeparator" w:id="0">
    <w:p w14:paraId="0C16077C" w14:textId="77777777" w:rsidR="00D467EC" w:rsidRDefault="00D467EC" w:rsidP="00C40A36">
      <w:pPr>
        <w:spacing w:after="0"/>
      </w:pPr>
      <w:r>
        <w:continuationSeparator/>
      </w:r>
    </w:p>
  </w:footnote>
  <w:footnote w:id="1">
    <w:p w14:paraId="5D56B8E1" w14:textId="4F38A975" w:rsidR="00D467EC" w:rsidRDefault="00D467EC" w:rsidP="00742806">
      <w:pPr>
        <w:pStyle w:val="FootnoteText"/>
      </w:pPr>
      <w:r>
        <w:rPr>
          <w:rStyle w:val="FootnoteReference"/>
        </w:rPr>
        <w:footnoteRef/>
      </w:r>
      <w:r>
        <w:t xml:space="preserve"> Panel on Antiretroviral Therapy and Medical Management of Children Living with HIV. Guidelines for</w:t>
      </w:r>
    </w:p>
    <w:p w14:paraId="62FF7E2E" w14:textId="7E81AAE4" w:rsidR="00D467EC" w:rsidRDefault="00D467EC" w:rsidP="00742806">
      <w:pPr>
        <w:pStyle w:val="FootnoteText"/>
      </w:pPr>
      <w:r>
        <w:t xml:space="preserve">the Use of Antiretroviral Agents in Pediatric HIV Infection   Available at: </w:t>
      </w:r>
      <w:hyperlink r:id="rId1" w:history="1">
        <w:r w:rsidRPr="004B4662">
          <w:rPr>
            <w:rStyle w:val="Hyperlink"/>
          </w:rPr>
          <w:t>https://clinicalinfo.hiv.gov/sites/default/files/guidelines/documents/PediatricGuidelines.pdf</w:t>
        </w:r>
      </w:hyperlink>
    </w:p>
  </w:footnote>
  <w:footnote w:id="2">
    <w:p w14:paraId="55F9B624" w14:textId="77777777" w:rsidR="00D467EC" w:rsidRDefault="00D467EC" w:rsidP="007D284D">
      <w:pPr>
        <w:pStyle w:val="FootnoteText"/>
      </w:pPr>
      <w:r>
        <w:rPr>
          <w:rStyle w:val="FootnoteReference"/>
        </w:rPr>
        <w:footnoteRef/>
      </w:r>
      <w:r>
        <w:t xml:space="preserve"> Kirby Institute. HIV, viral hepatitis and sexually transmissible infections in Australia: </w:t>
      </w:r>
    </w:p>
    <w:p w14:paraId="7E98A0DF" w14:textId="53A8FA2A" w:rsidR="00D467EC" w:rsidRDefault="00D467EC" w:rsidP="007D284D">
      <w:pPr>
        <w:pStyle w:val="FootnoteText"/>
      </w:pPr>
      <w:r>
        <w:t>annual surveillance report 2021. Sydney: Kirby Institute, UNSW Sydney; 2021.</w:t>
      </w:r>
      <w:r>
        <w:br/>
        <w:t xml:space="preserve">Available at: </w:t>
      </w:r>
      <w:r w:rsidRPr="00EF3BCC">
        <w:t>https://data.kirby.unsw.edu.au/hiv</w:t>
      </w:r>
    </w:p>
  </w:footnote>
  <w:footnote w:id="3">
    <w:p w14:paraId="6F3C5CF5" w14:textId="7CFAF44D" w:rsidR="00D467EC" w:rsidRDefault="00D467EC">
      <w:pPr>
        <w:pStyle w:val="FootnoteText"/>
        <w:rPr>
          <w:lang w:val="en-GB"/>
        </w:rPr>
      </w:pPr>
      <w:r>
        <w:rPr>
          <w:rStyle w:val="FootnoteReference"/>
        </w:rPr>
        <w:footnoteRef/>
      </w:r>
      <w:r>
        <w:t xml:space="preserve"> </w:t>
      </w:r>
      <w:r>
        <w:rPr>
          <w:lang w:val="en-GB"/>
        </w:rPr>
        <w:t xml:space="preserve">AusPAR for Tivicay dolutegravir Viiv Healthcare Pty Ltd </w:t>
      </w:r>
      <w:r w:rsidRPr="00F74C0C">
        <w:rPr>
          <w:lang w:val="en-GB"/>
        </w:rPr>
        <w:t>PM-2012-04124-1-2</w:t>
      </w:r>
      <w:r>
        <w:rPr>
          <w:lang w:val="en-GB"/>
        </w:rPr>
        <w:t>, 19 May 2014</w:t>
      </w:r>
    </w:p>
    <w:p w14:paraId="22BC80D6" w14:textId="2E331EDD" w:rsidR="00D467EC" w:rsidRPr="00F74C0C" w:rsidRDefault="00D467EC">
      <w:pPr>
        <w:pStyle w:val="FootnoteText"/>
        <w:rPr>
          <w:lang w:val="en-GB"/>
        </w:rPr>
      </w:pPr>
      <w:r>
        <w:rPr>
          <w:lang w:val="en-GB"/>
        </w:rPr>
        <w:t xml:space="preserve">Available at: </w:t>
      </w:r>
      <w:hyperlink r:id="rId2" w:history="1">
        <w:r w:rsidRPr="00F74C0C">
          <w:rPr>
            <w:rStyle w:val="Hyperlink"/>
            <w:lang w:val="en-GB"/>
          </w:rPr>
          <w:t>https://www.tga.gov.au/auspar/auspar-dolutegravir-sodium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4B59B" w14:textId="77777777" w:rsidR="00D467EC" w:rsidRDefault="00D467EC"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44059" w14:textId="77777777" w:rsidR="00D467EC" w:rsidRDefault="00D467EC">
    <w:pPr>
      <w:rPr>
        <w:noProof/>
        <w:lang w:eastAsia="en-AU"/>
      </w:rPr>
    </w:pPr>
    <w:r w:rsidRPr="00347824">
      <w:rPr>
        <w:noProof/>
        <w:lang w:val="en-GB" w:eastAsia="en-GB"/>
      </w:rPr>
      <w:drawing>
        <wp:anchor distT="0" distB="0" distL="114300" distR="114300" simplePos="0" relativeHeight="251659264" behindDoc="1" locked="0" layoutInCell="1" allowOverlap="1" wp14:anchorId="1D526F9F" wp14:editId="7E90F97B">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27555C9E" w14:textId="3EF12641" w:rsidR="00D467EC" w:rsidRDefault="00D467EC"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425F5" w14:textId="77777777" w:rsidR="00D467EC" w:rsidRDefault="00D467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B0364" w14:textId="77777777" w:rsidR="00D467EC" w:rsidRDefault="00D467EC">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95520" w14:textId="77777777" w:rsidR="00D467EC" w:rsidRDefault="00D467EC">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B2216" w14:textId="77777777" w:rsidR="00D467EC" w:rsidRDefault="00D467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D88DC" w14:textId="77777777" w:rsidR="00D467EC" w:rsidRDefault="00D467EC"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B7649" w14:textId="77777777" w:rsidR="00D467EC" w:rsidRDefault="00D467EC" w:rsidP="006E08B3">
    <w:r>
      <w:t>Therapeutic Goods Administration</w:t>
    </w:r>
  </w:p>
  <w:p w14:paraId="10F5C5F5" w14:textId="77777777" w:rsidR="00D467EC" w:rsidRDefault="00D467EC"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7C30A6D4"/>
    <w:styleLink w:val="ListBullets"/>
    <w:lvl w:ilvl="0">
      <w:start w:val="1"/>
      <w:numFmt w:val="bullet"/>
      <w:pStyle w:val="List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225540BA"/>
    <w:multiLevelType w:val="hybridMultilevel"/>
    <w:tmpl w:val="B2D2C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B37ED9"/>
    <w:multiLevelType w:val="hybridMultilevel"/>
    <w:tmpl w:val="2D7099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7EC70FB"/>
    <w:multiLevelType w:val="hybridMultilevel"/>
    <w:tmpl w:val="4D844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1"/>
  </w:num>
  <w:num w:numId="28">
    <w:abstractNumId w:val="13"/>
  </w:num>
  <w:num w:numId="29">
    <w:abstractNumId w:val="6"/>
  </w:num>
  <w:num w:numId="30">
    <w:abstractNumId w:val="10"/>
  </w:num>
  <w:num w:numId="31">
    <w:abstractNumId w:val="4"/>
  </w:num>
  <w:num w:numId="32">
    <w:abstractNumId w:val="1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8"/>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1A"/>
    <w:rsid w:val="00002031"/>
    <w:rsid w:val="00004734"/>
    <w:rsid w:val="00006B22"/>
    <w:rsid w:val="00006FAB"/>
    <w:rsid w:val="0001276A"/>
    <w:rsid w:val="000246AE"/>
    <w:rsid w:val="00025C67"/>
    <w:rsid w:val="00044772"/>
    <w:rsid w:val="0004541C"/>
    <w:rsid w:val="0005559E"/>
    <w:rsid w:val="000604D6"/>
    <w:rsid w:val="000734D8"/>
    <w:rsid w:val="00077775"/>
    <w:rsid w:val="000832BD"/>
    <w:rsid w:val="00090471"/>
    <w:rsid w:val="00096AA7"/>
    <w:rsid w:val="000A3AED"/>
    <w:rsid w:val="000B3532"/>
    <w:rsid w:val="000B3A75"/>
    <w:rsid w:val="000C00C2"/>
    <w:rsid w:val="000C690F"/>
    <w:rsid w:val="000D1295"/>
    <w:rsid w:val="000D391B"/>
    <w:rsid w:val="000D3D6D"/>
    <w:rsid w:val="000D4FC7"/>
    <w:rsid w:val="000E6196"/>
    <w:rsid w:val="000F4869"/>
    <w:rsid w:val="000F5B42"/>
    <w:rsid w:val="000F6E6F"/>
    <w:rsid w:val="00105F09"/>
    <w:rsid w:val="0010601F"/>
    <w:rsid w:val="0010788A"/>
    <w:rsid w:val="00107A31"/>
    <w:rsid w:val="00110EA5"/>
    <w:rsid w:val="00112F56"/>
    <w:rsid w:val="00115314"/>
    <w:rsid w:val="00122C2E"/>
    <w:rsid w:val="00124ACD"/>
    <w:rsid w:val="00125318"/>
    <w:rsid w:val="001305A2"/>
    <w:rsid w:val="00133238"/>
    <w:rsid w:val="00133A1B"/>
    <w:rsid w:val="0014197B"/>
    <w:rsid w:val="001447CD"/>
    <w:rsid w:val="001516B1"/>
    <w:rsid w:val="001548E5"/>
    <w:rsid w:val="00154EBB"/>
    <w:rsid w:val="00156316"/>
    <w:rsid w:val="00161181"/>
    <w:rsid w:val="00161D56"/>
    <w:rsid w:val="00162D14"/>
    <w:rsid w:val="00163780"/>
    <w:rsid w:val="00163DC7"/>
    <w:rsid w:val="00163FBA"/>
    <w:rsid w:val="00165389"/>
    <w:rsid w:val="0017693F"/>
    <w:rsid w:val="0018110E"/>
    <w:rsid w:val="00181684"/>
    <w:rsid w:val="001843C6"/>
    <w:rsid w:val="001850E0"/>
    <w:rsid w:val="00185407"/>
    <w:rsid w:val="001A03AF"/>
    <w:rsid w:val="001A2158"/>
    <w:rsid w:val="001A525F"/>
    <w:rsid w:val="001A5A00"/>
    <w:rsid w:val="001A66B8"/>
    <w:rsid w:val="001B09F9"/>
    <w:rsid w:val="001B1DA4"/>
    <w:rsid w:val="001B4991"/>
    <w:rsid w:val="001B5C90"/>
    <w:rsid w:val="001B6448"/>
    <w:rsid w:val="001B6A58"/>
    <w:rsid w:val="001C0237"/>
    <w:rsid w:val="001C32CD"/>
    <w:rsid w:val="001D2984"/>
    <w:rsid w:val="001D4EF3"/>
    <w:rsid w:val="001D6E30"/>
    <w:rsid w:val="001E07CF"/>
    <w:rsid w:val="001E359E"/>
    <w:rsid w:val="001E59F1"/>
    <w:rsid w:val="001F2CEE"/>
    <w:rsid w:val="001F49EB"/>
    <w:rsid w:val="001F6CBA"/>
    <w:rsid w:val="00201D4E"/>
    <w:rsid w:val="00201E44"/>
    <w:rsid w:val="002076C9"/>
    <w:rsid w:val="002161FA"/>
    <w:rsid w:val="00220B8A"/>
    <w:rsid w:val="002237EA"/>
    <w:rsid w:val="002257F3"/>
    <w:rsid w:val="00233456"/>
    <w:rsid w:val="002339A5"/>
    <w:rsid w:val="00250271"/>
    <w:rsid w:val="00250F35"/>
    <w:rsid w:val="00257848"/>
    <w:rsid w:val="002578E8"/>
    <w:rsid w:val="0027084A"/>
    <w:rsid w:val="00280265"/>
    <w:rsid w:val="00286434"/>
    <w:rsid w:val="00286C59"/>
    <w:rsid w:val="00291957"/>
    <w:rsid w:val="002942D1"/>
    <w:rsid w:val="0029501A"/>
    <w:rsid w:val="002A3721"/>
    <w:rsid w:val="002B1638"/>
    <w:rsid w:val="002B3624"/>
    <w:rsid w:val="002D0952"/>
    <w:rsid w:val="002E40B3"/>
    <w:rsid w:val="002E4C9A"/>
    <w:rsid w:val="002F11F8"/>
    <w:rsid w:val="002F3F56"/>
    <w:rsid w:val="002F44B5"/>
    <w:rsid w:val="002F5122"/>
    <w:rsid w:val="00311AC0"/>
    <w:rsid w:val="003176FC"/>
    <w:rsid w:val="0032283F"/>
    <w:rsid w:val="00323A85"/>
    <w:rsid w:val="00324E45"/>
    <w:rsid w:val="0032583B"/>
    <w:rsid w:val="00327883"/>
    <w:rsid w:val="00332715"/>
    <w:rsid w:val="00335504"/>
    <w:rsid w:val="00340C18"/>
    <w:rsid w:val="003442FD"/>
    <w:rsid w:val="00347824"/>
    <w:rsid w:val="00350567"/>
    <w:rsid w:val="003521E8"/>
    <w:rsid w:val="0035321F"/>
    <w:rsid w:val="00370CE3"/>
    <w:rsid w:val="003728F3"/>
    <w:rsid w:val="003735BC"/>
    <w:rsid w:val="0037496E"/>
    <w:rsid w:val="00383221"/>
    <w:rsid w:val="00386150"/>
    <w:rsid w:val="003874CE"/>
    <w:rsid w:val="003907F3"/>
    <w:rsid w:val="00390900"/>
    <w:rsid w:val="003A7F6C"/>
    <w:rsid w:val="003B4D60"/>
    <w:rsid w:val="003B7E39"/>
    <w:rsid w:val="003C58DC"/>
    <w:rsid w:val="003D1E62"/>
    <w:rsid w:val="003E0B99"/>
    <w:rsid w:val="003E2486"/>
    <w:rsid w:val="003E3208"/>
    <w:rsid w:val="003F0B04"/>
    <w:rsid w:val="0040134E"/>
    <w:rsid w:val="004334C7"/>
    <w:rsid w:val="00433B35"/>
    <w:rsid w:val="00440A2D"/>
    <w:rsid w:val="00441C3F"/>
    <w:rsid w:val="00444D1A"/>
    <w:rsid w:val="0045186A"/>
    <w:rsid w:val="00454BDC"/>
    <w:rsid w:val="004564A7"/>
    <w:rsid w:val="00456765"/>
    <w:rsid w:val="00460036"/>
    <w:rsid w:val="004617BF"/>
    <w:rsid w:val="00463658"/>
    <w:rsid w:val="004637A0"/>
    <w:rsid w:val="00471CC1"/>
    <w:rsid w:val="004722CC"/>
    <w:rsid w:val="00490483"/>
    <w:rsid w:val="004936E4"/>
    <w:rsid w:val="00493C50"/>
    <w:rsid w:val="00494E60"/>
    <w:rsid w:val="00495763"/>
    <w:rsid w:val="00497487"/>
    <w:rsid w:val="004A2771"/>
    <w:rsid w:val="004A6189"/>
    <w:rsid w:val="004A7390"/>
    <w:rsid w:val="004B7B76"/>
    <w:rsid w:val="004C239D"/>
    <w:rsid w:val="004C2B1B"/>
    <w:rsid w:val="004C2DCA"/>
    <w:rsid w:val="004C4FBE"/>
    <w:rsid w:val="004C61D2"/>
    <w:rsid w:val="004D0F54"/>
    <w:rsid w:val="004F0C4A"/>
    <w:rsid w:val="004F0F38"/>
    <w:rsid w:val="004F47D6"/>
    <w:rsid w:val="00500337"/>
    <w:rsid w:val="00501921"/>
    <w:rsid w:val="00505417"/>
    <w:rsid w:val="0052149B"/>
    <w:rsid w:val="00523A21"/>
    <w:rsid w:val="00530354"/>
    <w:rsid w:val="0053625B"/>
    <w:rsid w:val="005434C6"/>
    <w:rsid w:val="00543B39"/>
    <w:rsid w:val="00545CDB"/>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A68B6"/>
    <w:rsid w:val="005A79F5"/>
    <w:rsid w:val="005B286F"/>
    <w:rsid w:val="005C494B"/>
    <w:rsid w:val="005C5570"/>
    <w:rsid w:val="005C5B66"/>
    <w:rsid w:val="005C79A4"/>
    <w:rsid w:val="005D5442"/>
    <w:rsid w:val="005F5DE3"/>
    <w:rsid w:val="00600D70"/>
    <w:rsid w:val="00603F32"/>
    <w:rsid w:val="00605AD4"/>
    <w:rsid w:val="006136D7"/>
    <w:rsid w:val="00625A6E"/>
    <w:rsid w:val="00632398"/>
    <w:rsid w:val="006368E7"/>
    <w:rsid w:val="00640FC3"/>
    <w:rsid w:val="00642020"/>
    <w:rsid w:val="006430EE"/>
    <w:rsid w:val="00643CE5"/>
    <w:rsid w:val="0065337B"/>
    <w:rsid w:val="0065419D"/>
    <w:rsid w:val="006575CC"/>
    <w:rsid w:val="006603BC"/>
    <w:rsid w:val="006604D8"/>
    <w:rsid w:val="00664A5B"/>
    <w:rsid w:val="0066735C"/>
    <w:rsid w:val="006763D2"/>
    <w:rsid w:val="00680C08"/>
    <w:rsid w:val="006901BA"/>
    <w:rsid w:val="006916A0"/>
    <w:rsid w:val="006931B1"/>
    <w:rsid w:val="006A15C0"/>
    <w:rsid w:val="006A58A8"/>
    <w:rsid w:val="006C3E2A"/>
    <w:rsid w:val="006C642F"/>
    <w:rsid w:val="006D03E5"/>
    <w:rsid w:val="006D1EEA"/>
    <w:rsid w:val="006D5D3E"/>
    <w:rsid w:val="006D79BE"/>
    <w:rsid w:val="006E08B3"/>
    <w:rsid w:val="006E7D4A"/>
    <w:rsid w:val="006F17AC"/>
    <w:rsid w:val="006F25B8"/>
    <w:rsid w:val="006F572E"/>
    <w:rsid w:val="00703924"/>
    <w:rsid w:val="007046D6"/>
    <w:rsid w:val="00705DB0"/>
    <w:rsid w:val="0072292E"/>
    <w:rsid w:val="00722B57"/>
    <w:rsid w:val="00730F8A"/>
    <w:rsid w:val="00731725"/>
    <w:rsid w:val="00735A8C"/>
    <w:rsid w:val="00740A0F"/>
    <w:rsid w:val="0074163C"/>
    <w:rsid w:val="0074253D"/>
    <w:rsid w:val="00742806"/>
    <w:rsid w:val="00744121"/>
    <w:rsid w:val="0074429B"/>
    <w:rsid w:val="00747BA7"/>
    <w:rsid w:val="007615BC"/>
    <w:rsid w:val="00762F05"/>
    <w:rsid w:val="007652FF"/>
    <w:rsid w:val="00770CAC"/>
    <w:rsid w:val="00770EF1"/>
    <w:rsid w:val="0077131A"/>
    <w:rsid w:val="00773EF7"/>
    <w:rsid w:val="00774E1D"/>
    <w:rsid w:val="007765D8"/>
    <w:rsid w:val="0077675A"/>
    <w:rsid w:val="00780355"/>
    <w:rsid w:val="007819FD"/>
    <w:rsid w:val="00785717"/>
    <w:rsid w:val="00785721"/>
    <w:rsid w:val="00793A59"/>
    <w:rsid w:val="00797AA5"/>
    <w:rsid w:val="007A46F5"/>
    <w:rsid w:val="007A6505"/>
    <w:rsid w:val="007B6132"/>
    <w:rsid w:val="007B6E9F"/>
    <w:rsid w:val="007C1216"/>
    <w:rsid w:val="007C1AF7"/>
    <w:rsid w:val="007C6B9B"/>
    <w:rsid w:val="007D284D"/>
    <w:rsid w:val="007D53B6"/>
    <w:rsid w:val="007F0A04"/>
    <w:rsid w:val="00804D99"/>
    <w:rsid w:val="00805D27"/>
    <w:rsid w:val="00806DCB"/>
    <w:rsid w:val="008110BC"/>
    <w:rsid w:val="00821776"/>
    <w:rsid w:val="00827699"/>
    <w:rsid w:val="008321F5"/>
    <w:rsid w:val="00832369"/>
    <w:rsid w:val="00833ED8"/>
    <w:rsid w:val="00834660"/>
    <w:rsid w:val="00836BC2"/>
    <w:rsid w:val="0085156D"/>
    <w:rsid w:val="00852B28"/>
    <w:rsid w:val="0085641B"/>
    <w:rsid w:val="00857136"/>
    <w:rsid w:val="00865B03"/>
    <w:rsid w:val="00875A6B"/>
    <w:rsid w:val="008830FF"/>
    <w:rsid w:val="00884514"/>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4EFA"/>
    <w:rsid w:val="008C51A9"/>
    <w:rsid w:val="008E7846"/>
    <w:rsid w:val="008F02E5"/>
    <w:rsid w:val="008F1CCC"/>
    <w:rsid w:val="008F2967"/>
    <w:rsid w:val="008F6943"/>
    <w:rsid w:val="00902A21"/>
    <w:rsid w:val="009074F9"/>
    <w:rsid w:val="0091523F"/>
    <w:rsid w:val="00920330"/>
    <w:rsid w:val="009219D7"/>
    <w:rsid w:val="00922D53"/>
    <w:rsid w:val="00923B70"/>
    <w:rsid w:val="00924482"/>
    <w:rsid w:val="00930237"/>
    <w:rsid w:val="00933F7B"/>
    <w:rsid w:val="00935AB2"/>
    <w:rsid w:val="00937C17"/>
    <w:rsid w:val="00940A89"/>
    <w:rsid w:val="00941F77"/>
    <w:rsid w:val="00946EA5"/>
    <w:rsid w:val="00960520"/>
    <w:rsid w:val="00963C08"/>
    <w:rsid w:val="009752A5"/>
    <w:rsid w:val="00983924"/>
    <w:rsid w:val="009847A0"/>
    <w:rsid w:val="0098585A"/>
    <w:rsid w:val="009A4CED"/>
    <w:rsid w:val="009A690D"/>
    <w:rsid w:val="009B1D12"/>
    <w:rsid w:val="009B416B"/>
    <w:rsid w:val="009C4BD5"/>
    <w:rsid w:val="009D7B77"/>
    <w:rsid w:val="009E0BB0"/>
    <w:rsid w:val="009E3FBB"/>
    <w:rsid w:val="009E5A87"/>
    <w:rsid w:val="009F2673"/>
    <w:rsid w:val="009F7353"/>
    <w:rsid w:val="009F7EDA"/>
    <w:rsid w:val="00A04F85"/>
    <w:rsid w:val="00A05FA4"/>
    <w:rsid w:val="00A102E4"/>
    <w:rsid w:val="00A1219C"/>
    <w:rsid w:val="00A12C42"/>
    <w:rsid w:val="00A14DF7"/>
    <w:rsid w:val="00A22D57"/>
    <w:rsid w:val="00A3246D"/>
    <w:rsid w:val="00A36FA7"/>
    <w:rsid w:val="00A43921"/>
    <w:rsid w:val="00A44DDB"/>
    <w:rsid w:val="00A475B7"/>
    <w:rsid w:val="00A47AF7"/>
    <w:rsid w:val="00A47C3E"/>
    <w:rsid w:val="00A50226"/>
    <w:rsid w:val="00A547B9"/>
    <w:rsid w:val="00A60BAD"/>
    <w:rsid w:val="00A6696F"/>
    <w:rsid w:val="00A77F87"/>
    <w:rsid w:val="00A80B5B"/>
    <w:rsid w:val="00A84E36"/>
    <w:rsid w:val="00A964D1"/>
    <w:rsid w:val="00AA0ED0"/>
    <w:rsid w:val="00AC2B40"/>
    <w:rsid w:val="00AC2BB2"/>
    <w:rsid w:val="00AC2C3C"/>
    <w:rsid w:val="00AC512D"/>
    <w:rsid w:val="00AD0083"/>
    <w:rsid w:val="00AD3935"/>
    <w:rsid w:val="00AE1527"/>
    <w:rsid w:val="00AE65EB"/>
    <w:rsid w:val="00AE67A7"/>
    <w:rsid w:val="00AF1A54"/>
    <w:rsid w:val="00AF1D94"/>
    <w:rsid w:val="00AF2313"/>
    <w:rsid w:val="00AF5CB0"/>
    <w:rsid w:val="00AF60C5"/>
    <w:rsid w:val="00B009C6"/>
    <w:rsid w:val="00B01548"/>
    <w:rsid w:val="00B130C5"/>
    <w:rsid w:val="00B13EBD"/>
    <w:rsid w:val="00B1406F"/>
    <w:rsid w:val="00B21D29"/>
    <w:rsid w:val="00B25034"/>
    <w:rsid w:val="00B33588"/>
    <w:rsid w:val="00B33863"/>
    <w:rsid w:val="00B37D17"/>
    <w:rsid w:val="00B4175E"/>
    <w:rsid w:val="00B41C85"/>
    <w:rsid w:val="00B452CE"/>
    <w:rsid w:val="00B54C25"/>
    <w:rsid w:val="00B76B91"/>
    <w:rsid w:val="00B77EB1"/>
    <w:rsid w:val="00B811C6"/>
    <w:rsid w:val="00B855B0"/>
    <w:rsid w:val="00B92E08"/>
    <w:rsid w:val="00BB0B78"/>
    <w:rsid w:val="00BC622A"/>
    <w:rsid w:val="00BE0A78"/>
    <w:rsid w:val="00BE6542"/>
    <w:rsid w:val="00BE79F0"/>
    <w:rsid w:val="00BF046D"/>
    <w:rsid w:val="00BF1190"/>
    <w:rsid w:val="00BF3774"/>
    <w:rsid w:val="00BF5180"/>
    <w:rsid w:val="00BF5D04"/>
    <w:rsid w:val="00BF7063"/>
    <w:rsid w:val="00C008F0"/>
    <w:rsid w:val="00C009AA"/>
    <w:rsid w:val="00C1164D"/>
    <w:rsid w:val="00C16861"/>
    <w:rsid w:val="00C17F3D"/>
    <w:rsid w:val="00C34133"/>
    <w:rsid w:val="00C346AB"/>
    <w:rsid w:val="00C404A6"/>
    <w:rsid w:val="00C40A36"/>
    <w:rsid w:val="00C44419"/>
    <w:rsid w:val="00C45E7B"/>
    <w:rsid w:val="00C471B1"/>
    <w:rsid w:val="00C525A2"/>
    <w:rsid w:val="00C52E24"/>
    <w:rsid w:val="00C6316B"/>
    <w:rsid w:val="00C634A9"/>
    <w:rsid w:val="00C64586"/>
    <w:rsid w:val="00C70A36"/>
    <w:rsid w:val="00C70D53"/>
    <w:rsid w:val="00C73D0B"/>
    <w:rsid w:val="00C74F5C"/>
    <w:rsid w:val="00C772FF"/>
    <w:rsid w:val="00C80137"/>
    <w:rsid w:val="00C801AF"/>
    <w:rsid w:val="00C80256"/>
    <w:rsid w:val="00C81E52"/>
    <w:rsid w:val="00C94CD4"/>
    <w:rsid w:val="00C9747E"/>
    <w:rsid w:val="00CB6BC0"/>
    <w:rsid w:val="00CC1B7C"/>
    <w:rsid w:val="00CC5044"/>
    <w:rsid w:val="00CC727F"/>
    <w:rsid w:val="00CE6690"/>
    <w:rsid w:val="00CF15C3"/>
    <w:rsid w:val="00CF2B6F"/>
    <w:rsid w:val="00CF2F3E"/>
    <w:rsid w:val="00CF58B6"/>
    <w:rsid w:val="00CF5DAD"/>
    <w:rsid w:val="00D0062D"/>
    <w:rsid w:val="00D017ED"/>
    <w:rsid w:val="00D040D3"/>
    <w:rsid w:val="00D04C65"/>
    <w:rsid w:val="00D153D8"/>
    <w:rsid w:val="00D174B5"/>
    <w:rsid w:val="00D201D2"/>
    <w:rsid w:val="00D212F3"/>
    <w:rsid w:val="00D224FE"/>
    <w:rsid w:val="00D23139"/>
    <w:rsid w:val="00D33E32"/>
    <w:rsid w:val="00D425BB"/>
    <w:rsid w:val="00D453FA"/>
    <w:rsid w:val="00D467EC"/>
    <w:rsid w:val="00D6493E"/>
    <w:rsid w:val="00D7195D"/>
    <w:rsid w:val="00D7301E"/>
    <w:rsid w:val="00D83AE1"/>
    <w:rsid w:val="00D854AC"/>
    <w:rsid w:val="00D855D4"/>
    <w:rsid w:val="00D902C9"/>
    <w:rsid w:val="00D93466"/>
    <w:rsid w:val="00DA1124"/>
    <w:rsid w:val="00DA64CB"/>
    <w:rsid w:val="00DB06B8"/>
    <w:rsid w:val="00DB6124"/>
    <w:rsid w:val="00DB750B"/>
    <w:rsid w:val="00DB75B7"/>
    <w:rsid w:val="00DC0A2F"/>
    <w:rsid w:val="00DC1948"/>
    <w:rsid w:val="00DC6E02"/>
    <w:rsid w:val="00DD28CD"/>
    <w:rsid w:val="00DE02AE"/>
    <w:rsid w:val="00DE39D1"/>
    <w:rsid w:val="00DF1D7F"/>
    <w:rsid w:val="00DF4912"/>
    <w:rsid w:val="00DF4BE4"/>
    <w:rsid w:val="00DF7C6F"/>
    <w:rsid w:val="00E02382"/>
    <w:rsid w:val="00E02FB4"/>
    <w:rsid w:val="00E13FC7"/>
    <w:rsid w:val="00E20571"/>
    <w:rsid w:val="00E235F7"/>
    <w:rsid w:val="00E23659"/>
    <w:rsid w:val="00E239D4"/>
    <w:rsid w:val="00E26130"/>
    <w:rsid w:val="00E33D42"/>
    <w:rsid w:val="00E40B22"/>
    <w:rsid w:val="00E44ED1"/>
    <w:rsid w:val="00E45619"/>
    <w:rsid w:val="00E4588F"/>
    <w:rsid w:val="00E46DA3"/>
    <w:rsid w:val="00E51BB1"/>
    <w:rsid w:val="00E55CB0"/>
    <w:rsid w:val="00E60381"/>
    <w:rsid w:val="00E624A5"/>
    <w:rsid w:val="00E64BA4"/>
    <w:rsid w:val="00E7344E"/>
    <w:rsid w:val="00E82665"/>
    <w:rsid w:val="00E92C2D"/>
    <w:rsid w:val="00E94AFB"/>
    <w:rsid w:val="00EA5311"/>
    <w:rsid w:val="00EB0798"/>
    <w:rsid w:val="00EB40AD"/>
    <w:rsid w:val="00EB586E"/>
    <w:rsid w:val="00EB5FC8"/>
    <w:rsid w:val="00EC463D"/>
    <w:rsid w:val="00EC7A85"/>
    <w:rsid w:val="00ED2922"/>
    <w:rsid w:val="00ED3CAD"/>
    <w:rsid w:val="00ED5A41"/>
    <w:rsid w:val="00EE1DE8"/>
    <w:rsid w:val="00EE27C2"/>
    <w:rsid w:val="00EF25F1"/>
    <w:rsid w:val="00EF4BAD"/>
    <w:rsid w:val="00EF59DC"/>
    <w:rsid w:val="00F033EC"/>
    <w:rsid w:val="00F04F68"/>
    <w:rsid w:val="00F12670"/>
    <w:rsid w:val="00F14B27"/>
    <w:rsid w:val="00F3148D"/>
    <w:rsid w:val="00F325C5"/>
    <w:rsid w:val="00F328E7"/>
    <w:rsid w:val="00F32FE0"/>
    <w:rsid w:val="00F35298"/>
    <w:rsid w:val="00F47333"/>
    <w:rsid w:val="00F47E37"/>
    <w:rsid w:val="00F503BF"/>
    <w:rsid w:val="00F53C07"/>
    <w:rsid w:val="00F54B65"/>
    <w:rsid w:val="00F63DBF"/>
    <w:rsid w:val="00F640B6"/>
    <w:rsid w:val="00F64AB2"/>
    <w:rsid w:val="00F66DF2"/>
    <w:rsid w:val="00F74C0C"/>
    <w:rsid w:val="00F80E40"/>
    <w:rsid w:val="00F848D9"/>
    <w:rsid w:val="00F94A4E"/>
    <w:rsid w:val="00FA4BBA"/>
    <w:rsid w:val="00FA5069"/>
    <w:rsid w:val="00FA5B82"/>
    <w:rsid w:val="00FA639E"/>
    <w:rsid w:val="00FC1FCA"/>
    <w:rsid w:val="00FC25E4"/>
    <w:rsid w:val="00FC4EF7"/>
    <w:rsid w:val="00FD0824"/>
    <w:rsid w:val="00FD119B"/>
    <w:rsid w:val="00FD1EDC"/>
    <w:rsid w:val="00FE1DEE"/>
    <w:rsid w:val="00FF1A93"/>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2FB1C38"/>
  <w15:docId w15:val="{9F2F450D-8756-4E7C-8B9A-8945F87B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008F0"/>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D467EC"/>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9F2673"/>
    <w:pPr>
      <w:keepNext/>
      <w:spacing w:after="180"/>
    </w:pPr>
    <w:rPr>
      <w:b/>
      <w:szCs w:val="20"/>
    </w:rPr>
  </w:style>
  <w:style w:type="character" w:customStyle="1" w:styleId="UnresolvedMention1">
    <w:name w:val="Unresolved Mention1"/>
    <w:basedOn w:val="DefaultParagraphFont"/>
    <w:uiPriority w:val="99"/>
    <w:semiHidden/>
    <w:unhideWhenUsed/>
    <w:rsid w:val="009F2673"/>
    <w:rPr>
      <w:color w:val="605E5C"/>
      <w:shd w:val="clear" w:color="auto" w:fill="E1DFDD"/>
    </w:rPr>
  </w:style>
  <w:style w:type="paragraph" w:styleId="ListParagraph">
    <w:name w:val="List Paragraph"/>
    <w:basedOn w:val="Normal"/>
    <w:uiPriority w:val="34"/>
    <w:qFormat/>
    <w:rsid w:val="002161FA"/>
    <w:pPr>
      <w:adjustRightInd w:val="0"/>
      <w:snapToGrid w:val="0"/>
      <w:spacing w:before="180" w:after="180"/>
      <w:ind w:left="720"/>
      <w:contextualSpacing/>
    </w:pPr>
    <w:rPr>
      <w:rFonts w:eastAsia="MS Mincho"/>
      <w:szCs w:val="20"/>
      <w:lang w:eastAsia="ja-JP"/>
    </w:rPr>
  </w:style>
  <w:style w:type="paragraph" w:customStyle="1" w:styleId="Default">
    <w:name w:val="Default"/>
    <w:rsid w:val="00F328E7"/>
    <w:pPr>
      <w:autoSpaceDE w:val="0"/>
      <w:autoSpaceDN w:val="0"/>
      <w:adjustRightInd w:val="0"/>
      <w:spacing w:after="0" w:line="240" w:lineRule="auto"/>
    </w:pPr>
    <w:rPr>
      <w:rFonts w:ascii="Cambria" w:hAnsi="Cambria" w:cs="Cambria"/>
      <w:color w:val="000000"/>
      <w:sz w:val="24"/>
      <w:szCs w:val="24"/>
      <w:lang w:val="en-GB"/>
    </w:rPr>
  </w:style>
  <w:style w:type="character" w:customStyle="1" w:styleId="TabletextChar">
    <w:name w:val="Table text Char"/>
    <w:basedOn w:val="DefaultParagraphFont"/>
    <w:link w:val="Tabletext"/>
    <w:rsid w:val="00A547B9"/>
    <w:rPr>
      <w:rFonts w:ascii="Cambria" w:eastAsia="Cambria" w:hAnsi="Cambria" w:cs="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289732">
      <w:bodyDiv w:val="1"/>
      <w:marLeft w:val="0"/>
      <w:marRight w:val="0"/>
      <w:marTop w:val="0"/>
      <w:marBottom w:val="0"/>
      <w:divBdr>
        <w:top w:val="none" w:sz="0" w:space="0" w:color="auto"/>
        <w:left w:val="none" w:sz="0" w:space="0" w:color="auto"/>
        <w:bottom w:val="none" w:sz="0" w:space="0" w:color="auto"/>
        <w:right w:val="none" w:sz="0" w:space="0" w:color="auto"/>
      </w:divBdr>
    </w:div>
    <w:div w:id="1182205251">
      <w:bodyDiv w:val="1"/>
      <w:marLeft w:val="0"/>
      <w:marRight w:val="0"/>
      <w:marTop w:val="0"/>
      <w:marBottom w:val="0"/>
      <w:divBdr>
        <w:top w:val="none" w:sz="0" w:space="0" w:color="auto"/>
        <w:left w:val="none" w:sz="0" w:space="0" w:color="auto"/>
        <w:bottom w:val="none" w:sz="0" w:space="0" w:color="auto"/>
        <w:right w:val="none" w:sz="0" w:space="0" w:color="auto"/>
      </w:divBdr>
    </w:div>
    <w:div w:id="1795098853">
      <w:bodyDiv w:val="1"/>
      <w:marLeft w:val="0"/>
      <w:marRight w:val="0"/>
      <w:marTop w:val="0"/>
      <w:marBottom w:val="0"/>
      <w:divBdr>
        <w:top w:val="none" w:sz="0" w:space="0" w:color="auto"/>
        <w:left w:val="none" w:sz="0" w:space="0" w:color="auto"/>
        <w:bottom w:val="none" w:sz="0" w:space="0" w:color="auto"/>
        <w:right w:val="none" w:sz="0" w:space="0" w:color="auto"/>
      </w:divBdr>
    </w:div>
    <w:div w:id="1878739786">
      <w:bodyDiv w:val="1"/>
      <w:marLeft w:val="0"/>
      <w:marRight w:val="0"/>
      <w:marTop w:val="0"/>
      <w:marBottom w:val="0"/>
      <w:divBdr>
        <w:top w:val="none" w:sz="0" w:space="0" w:color="auto"/>
        <w:left w:val="none" w:sz="0" w:space="0" w:color="auto"/>
        <w:bottom w:val="none" w:sz="0" w:space="0" w:color="auto"/>
        <w:right w:val="none" w:sz="0" w:space="0" w:color="auto"/>
      </w:divBdr>
    </w:div>
    <w:div w:id="2059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eader" Target="header2.xml"/><Relationship Id="rId18" Type="http://schemas.openxmlformats.org/officeDocument/2006/relationships/hyperlink" Target="https://www.tga.gov.au/tgas-risk-management-approach" TargetMode="External"/><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picmi-search-facilit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tga.gov.au/publication/risk-management-plans-medicines-and-biologicals"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tga.gov.au/committee/advisory-committee-medicines-acm"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tga.gov.au/picmi-search-facility" TargetMode="Externa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hyperlink" Target="mailto:tga.copyright@tga.gov.au" TargetMode="External"/><Relationship Id="rId19" Type="http://schemas.openxmlformats.org/officeDocument/2006/relationships/hyperlink" Target="https://www.tga.gov.au/medicine-labels-guidance-tgo-91-and-tgo-92"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www.tga.gov.au/australian-public-assessment-report-auspar-guidance" TargetMode="External"/><Relationship Id="rId14" Type="http://schemas.openxmlformats.org/officeDocument/2006/relationships/hyperlink" Target="https://www.tga.gov.au/black-triangle-scheme" TargetMode="External"/><Relationship Id="rId22" Type="http://schemas.openxmlformats.org/officeDocument/2006/relationships/header" Target="header3.xml"/><Relationship Id="rId27" Type="http://schemas.openxmlformats.org/officeDocument/2006/relationships/hyperlink" Target="https://www.tga.gov.au" TargetMode="Externa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tga.gov.au/auspar/auspar-dolutegravir-sodium" TargetMode="External"/><Relationship Id="rId1" Type="http://schemas.openxmlformats.org/officeDocument/2006/relationships/hyperlink" Target="https://clinicalinfo.hiv.gov/sites/default/files/guidelines/documents/PediatricGuidelin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29A99-12A6-46C7-9E56-9D95BAAD5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10521</Words>
  <Characters>57867</Characters>
  <Application>Microsoft Office Word</Application>
  <DocSecurity>0</DocSecurity>
  <Lines>1285</Lines>
  <Paragraphs>705</Paragraphs>
  <ScaleCrop>false</ScaleCrop>
  <HeadingPairs>
    <vt:vector size="2" baseType="variant">
      <vt:variant>
        <vt:lpstr>Title</vt:lpstr>
      </vt:variant>
      <vt:variant>
        <vt:i4>1</vt:i4>
      </vt:variant>
    </vt:vector>
  </HeadingPairs>
  <TitlesOfParts>
    <vt:vector size="1" baseType="lpstr">
      <vt:lpstr>Australian public assessment report for Dolutegravir (as sodium)</vt:lpstr>
    </vt:vector>
  </TitlesOfParts>
  <Company>Department of Health Therapeutic Goods Administration</Company>
  <LinksUpToDate>false</LinksUpToDate>
  <CharactersWithSpaces>67683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Tivicay and Tivicay PD</dc:title>
  <dc:subject>prescription medicines</dc:subject>
  <dc:creator>Therapeutic Goods Administration</dc:creator>
  <cp:keywords/>
  <cp:lastModifiedBy>LACK, Janet</cp:lastModifiedBy>
  <cp:revision>3</cp:revision>
  <cp:lastPrinted>2019-08-14T04:30:00Z</cp:lastPrinted>
  <dcterms:created xsi:type="dcterms:W3CDTF">2022-08-01T04:04:00Z</dcterms:created>
  <dcterms:modified xsi:type="dcterms:W3CDTF">2022-08-01T04:07:00Z</dcterms:modified>
  <cp:category/>
</cp:coreProperties>
</file>