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00681" w14:textId="1F6254CF" w:rsidR="00375DF3" w:rsidRPr="00375DF3" w:rsidRDefault="00375DF3" w:rsidP="006018AE">
      <w:pPr>
        <w:tabs>
          <w:tab w:val="left" w:pos="284"/>
        </w:tabs>
        <w:spacing w:after="480" w:line="240" w:lineRule="auto"/>
        <w:rPr>
          <w:rFonts w:asciiTheme="majorHAnsi" w:hAnsiTheme="majorHAnsi"/>
        </w:rPr>
      </w:pPr>
      <w:r>
        <w:rPr>
          <w:noProof/>
          <w:color w:val="2B579A"/>
          <w:shd w:val="clear" w:color="auto" w:fill="E6E6E6"/>
          <w:lang w:eastAsia="en-AU"/>
        </w:rPr>
        <mc:AlternateContent>
          <mc:Choice Requires="wps">
            <w:drawing>
              <wp:inline distT="0" distB="0" distL="0" distR="0" wp14:anchorId="720DCFE5" wp14:editId="16ED70E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67E71" w14:textId="77777777" w:rsidR="00E61D02" w:rsidRPr="00BE2A26" w:rsidRDefault="00E61D02"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20DCFE5"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54367E71" w14:textId="77777777" w:rsidR="00E61D02" w:rsidRPr="00BE2A26" w:rsidRDefault="00E61D02"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D63A50">
        <w:rPr>
          <w:rFonts w:asciiTheme="majorHAnsi" w:hAnsiTheme="majorHAnsi"/>
        </w:rPr>
        <w:t>vaccine</w:t>
      </w:r>
      <w:r w:rsidR="001A3992" w:rsidRPr="001A3992">
        <w:rPr>
          <w:rFonts w:asciiTheme="majorHAnsi" w:hAnsiTheme="majorHAnsi"/>
        </w:rPr>
        <w:t xml:space="preserve"> 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05C67761" w14:textId="7D8AAF8C" w:rsidR="006018AE" w:rsidRPr="009C133A" w:rsidRDefault="006018AE" w:rsidP="00285173">
      <w:pPr>
        <w:pStyle w:val="Heading1"/>
        <w:numPr>
          <w:ilvl w:val="0"/>
          <w:numId w:val="0"/>
        </w:numPr>
        <w:spacing w:after="240"/>
        <w:rPr>
          <w:rFonts w:eastAsia="SimSun"/>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r>
        <w:rPr>
          <w:rFonts w:eastAsia="SimSun"/>
        </w:rPr>
        <w:t xml:space="preserve"> – </w:t>
      </w:r>
      <w:r w:rsidR="006A1A3C">
        <w:rPr>
          <w:rFonts w:eastAsia="SimSun"/>
        </w:rPr>
        <w:t xml:space="preserve">NUVAXOVID </w:t>
      </w:r>
      <w:r>
        <w:rPr>
          <w:rFonts w:eastAsia="SimSun"/>
        </w:rPr>
        <w:t>(</w:t>
      </w:r>
      <w:r w:rsidR="006A1A3C">
        <w:rPr>
          <w:rFonts w:eastAsia="SimSun"/>
        </w:rPr>
        <w:t xml:space="preserve">SARS-CoV-2 rS </w:t>
      </w:r>
      <w:r w:rsidR="004C2A15">
        <w:rPr>
          <w:rFonts w:eastAsia="SimSun"/>
        </w:rPr>
        <w:t>[</w:t>
      </w:r>
      <w:r w:rsidR="006A1A3C">
        <w:rPr>
          <w:rFonts w:eastAsia="SimSun"/>
        </w:rPr>
        <w:t>NVX-CoV2373</w:t>
      </w:r>
      <w:r w:rsidR="004C2A15">
        <w:rPr>
          <w:rFonts w:eastAsia="SimSun"/>
        </w:rPr>
        <w:t>]</w:t>
      </w:r>
      <w:r>
        <w:rPr>
          <w:rFonts w:eastAsia="SimSun"/>
        </w:rPr>
        <w:t>)</w:t>
      </w:r>
      <w:r w:rsidR="00A64655">
        <w:rPr>
          <w:rFonts w:eastAsia="SimSun"/>
        </w:rPr>
        <w:t xml:space="preserve"> </w:t>
      </w:r>
      <w:r w:rsidR="006A1A3C">
        <w:rPr>
          <w:rFonts w:eastAsia="SimSun"/>
        </w:rPr>
        <w:t>SUSPENSION FOR INJECTION</w:t>
      </w:r>
    </w:p>
    <w:p w14:paraId="29DE8919" w14:textId="556AE54B" w:rsidR="001A3992" w:rsidRDefault="001A3992" w:rsidP="001A3992">
      <w:pPr>
        <w:pStyle w:val="Heading1"/>
        <w:spacing w:before="0" w:after="120"/>
      </w:pPr>
      <w:r w:rsidRPr="00035C95">
        <w:t>Name of the medicine</w:t>
      </w:r>
    </w:p>
    <w:p w14:paraId="00EB4072" w14:textId="25BFC4C6" w:rsidR="006A1A3C" w:rsidRDefault="007F2B78" w:rsidP="006A1A3C">
      <w:pPr>
        <w:widowControl w:val="0"/>
        <w:spacing w:line="240" w:lineRule="auto"/>
        <w:rPr>
          <w:color w:val="000000" w:themeColor="text1"/>
        </w:rPr>
      </w:pPr>
      <w:r>
        <w:rPr>
          <w:color w:val="000000" w:themeColor="text1"/>
        </w:rPr>
        <w:t xml:space="preserve">SARS-CoV-2 </w:t>
      </w:r>
      <w:proofErr w:type="spellStart"/>
      <w:r>
        <w:rPr>
          <w:color w:val="000000" w:themeColor="text1"/>
        </w:rPr>
        <w:t>rS</w:t>
      </w:r>
      <w:proofErr w:type="spellEnd"/>
      <w:r>
        <w:rPr>
          <w:color w:val="000000" w:themeColor="text1"/>
        </w:rPr>
        <w:t xml:space="preserve"> (NVX-CoV2373)</w:t>
      </w:r>
    </w:p>
    <w:p w14:paraId="593E5B26" w14:textId="77777777" w:rsidR="001A3992" w:rsidRDefault="001A3992" w:rsidP="001A3992">
      <w:pPr>
        <w:pStyle w:val="Heading1"/>
        <w:spacing w:before="0" w:after="120"/>
      </w:pPr>
      <w:r w:rsidRPr="00DE5A80">
        <w:t xml:space="preserve">Qualitative and </w:t>
      </w:r>
      <w:r>
        <w:t>quantitative c</w:t>
      </w:r>
      <w:r w:rsidRPr="00DE5A80">
        <w:t>omposition</w:t>
      </w:r>
    </w:p>
    <w:p w14:paraId="2FE7670E" w14:textId="34884766" w:rsidR="006A1A3C" w:rsidRPr="004C2A15" w:rsidRDefault="00D90918" w:rsidP="004C2A15">
      <w:pPr>
        <w:widowControl w:val="0"/>
        <w:spacing w:line="240" w:lineRule="auto"/>
        <w:rPr>
          <w:color w:val="000000" w:themeColor="text1"/>
        </w:rPr>
      </w:pPr>
      <w:r>
        <w:rPr>
          <w:color w:val="000000" w:themeColor="text1"/>
        </w:rPr>
        <w:t>Each</w:t>
      </w:r>
      <w:r w:rsidR="006A1A3C" w:rsidRPr="2AF18351">
        <w:rPr>
          <w:color w:val="000000" w:themeColor="text1"/>
        </w:rPr>
        <w:t xml:space="preserve"> </w:t>
      </w:r>
      <w:r w:rsidR="006A1A3C" w:rsidRPr="004C2A15">
        <w:rPr>
          <w:color w:val="000000" w:themeColor="text1"/>
        </w:rPr>
        <w:t xml:space="preserve">multidose </w:t>
      </w:r>
      <w:r w:rsidR="006A1A3C" w:rsidRPr="2AF18351">
        <w:rPr>
          <w:color w:val="000000" w:themeColor="text1"/>
        </w:rPr>
        <w:t>vial contains 10 doses of 0.5 </w:t>
      </w:r>
      <w:proofErr w:type="spellStart"/>
      <w:r w:rsidR="006A1A3C" w:rsidRPr="2AF18351">
        <w:rPr>
          <w:color w:val="000000" w:themeColor="text1"/>
        </w:rPr>
        <w:t>mL</w:t>
      </w:r>
      <w:r w:rsidR="006A1A3C" w:rsidRPr="004C2A15">
        <w:rPr>
          <w:color w:val="000000" w:themeColor="text1"/>
        </w:rPr>
        <w:t>.</w:t>
      </w:r>
      <w:proofErr w:type="spellEnd"/>
    </w:p>
    <w:p w14:paraId="1743500F" w14:textId="5654A746" w:rsidR="00EF75DF" w:rsidRPr="00C05E64" w:rsidRDefault="006A1A3C" w:rsidP="00C05E64">
      <w:pPr>
        <w:widowControl w:val="0"/>
        <w:spacing w:line="240" w:lineRule="auto"/>
        <w:rPr>
          <w:color w:val="000000" w:themeColor="text1"/>
        </w:rPr>
      </w:pPr>
      <w:r w:rsidRPr="2AF18351">
        <w:rPr>
          <w:color w:val="000000" w:themeColor="text1"/>
        </w:rPr>
        <w:t>One dose (0.5 mL) contains 5 micrograms of SARS-CoV-2 spike protein</w:t>
      </w:r>
      <w:r w:rsidR="002859D4">
        <w:rPr>
          <w:color w:val="000000" w:themeColor="text1"/>
        </w:rPr>
        <w:t>*</w:t>
      </w:r>
      <w:r w:rsidRPr="2AF18351">
        <w:rPr>
          <w:color w:val="000000" w:themeColor="text1"/>
        </w:rPr>
        <w:t xml:space="preserve"> </w:t>
      </w:r>
      <w:r w:rsidR="002859D4">
        <w:rPr>
          <w:color w:val="000000" w:themeColor="text1"/>
        </w:rPr>
        <w:t xml:space="preserve">and is adjuvanted </w:t>
      </w:r>
      <w:r w:rsidRPr="2AF18351">
        <w:rPr>
          <w:color w:val="000000" w:themeColor="text1"/>
        </w:rPr>
        <w:t>with Matrix-M.</w:t>
      </w:r>
      <w:r w:rsidR="00EF75DF" w:rsidRPr="00C05E64">
        <w:rPr>
          <w:rFonts w:ascii="Calibri" w:hAnsi="Calibri" w:cs="Calibri"/>
          <w:strike/>
          <w:color w:val="000000" w:themeColor="text1"/>
        </w:rPr>
        <w:t xml:space="preserve"> </w:t>
      </w:r>
    </w:p>
    <w:p w14:paraId="4E62AB13" w14:textId="22111119" w:rsidR="002859D4" w:rsidRDefault="002859D4" w:rsidP="00EF75DF">
      <w:pPr>
        <w:rPr>
          <w:color w:val="000000" w:themeColor="text1"/>
        </w:rPr>
      </w:pPr>
      <w:bookmarkStart w:id="0" w:name="_Hlk80335779"/>
      <w:r>
        <w:rPr>
          <w:color w:val="000000" w:themeColor="text1"/>
        </w:rPr>
        <w:t xml:space="preserve">Adjuvant </w:t>
      </w:r>
      <w:r w:rsidRPr="00F500A4">
        <w:rPr>
          <w:color w:val="000000" w:themeColor="text1"/>
        </w:rPr>
        <w:t>Matrix-M contains</w:t>
      </w:r>
      <w:r>
        <w:rPr>
          <w:color w:val="000000" w:themeColor="text1"/>
        </w:rPr>
        <w:t>, per 0.5 mL dose:</w:t>
      </w:r>
      <w:r w:rsidRPr="00F500A4">
        <w:rPr>
          <w:color w:val="000000" w:themeColor="text1"/>
        </w:rPr>
        <w:t xml:space="preserve"> </w:t>
      </w:r>
      <w:proofErr w:type="spellStart"/>
      <w:r w:rsidRPr="008764A8">
        <w:rPr>
          <w:i/>
          <w:iCs/>
          <w:color w:val="000000" w:themeColor="text1"/>
        </w:rPr>
        <w:t>Quillaja</w:t>
      </w:r>
      <w:proofErr w:type="spellEnd"/>
      <w:r w:rsidRPr="008764A8">
        <w:rPr>
          <w:i/>
          <w:iCs/>
          <w:color w:val="000000" w:themeColor="text1"/>
        </w:rPr>
        <w:t xml:space="preserve"> </w:t>
      </w:r>
      <w:proofErr w:type="spellStart"/>
      <w:r w:rsidRPr="008764A8">
        <w:rPr>
          <w:i/>
          <w:iCs/>
          <w:color w:val="000000" w:themeColor="text1"/>
        </w:rPr>
        <w:t>saponaria</w:t>
      </w:r>
      <w:proofErr w:type="spellEnd"/>
      <w:r>
        <w:rPr>
          <w:color w:val="000000" w:themeColor="text1"/>
        </w:rPr>
        <w:t xml:space="preserve"> </w:t>
      </w:r>
      <w:r w:rsidRPr="00F500A4">
        <w:rPr>
          <w:color w:val="000000" w:themeColor="text1"/>
        </w:rPr>
        <w:t>saponins </w:t>
      </w:r>
      <w:r>
        <w:rPr>
          <w:color w:val="000000" w:themeColor="text1"/>
        </w:rPr>
        <w:t xml:space="preserve">fraction A (42.5 micrograms) and </w:t>
      </w:r>
      <w:proofErr w:type="spellStart"/>
      <w:r w:rsidRPr="008764A8">
        <w:rPr>
          <w:i/>
          <w:iCs/>
          <w:color w:val="000000" w:themeColor="text1"/>
        </w:rPr>
        <w:t>Quillaja</w:t>
      </w:r>
      <w:proofErr w:type="spellEnd"/>
      <w:r w:rsidRPr="008764A8">
        <w:rPr>
          <w:i/>
          <w:iCs/>
          <w:color w:val="000000" w:themeColor="text1"/>
        </w:rPr>
        <w:t xml:space="preserve"> </w:t>
      </w:r>
      <w:proofErr w:type="spellStart"/>
      <w:r w:rsidRPr="008764A8">
        <w:rPr>
          <w:i/>
          <w:iCs/>
          <w:color w:val="000000" w:themeColor="text1"/>
        </w:rPr>
        <w:t>saponaria</w:t>
      </w:r>
      <w:proofErr w:type="spellEnd"/>
      <w:r>
        <w:rPr>
          <w:color w:val="000000" w:themeColor="text1"/>
        </w:rPr>
        <w:t xml:space="preserve"> </w:t>
      </w:r>
      <w:r w:rsidRPr="00F500A4">
        <w:rPr>
          <w:color w:val="000000" w:themeColor="text1"/>
        </w:rPr>
        <w:t>saponins </w:t>
      </w:r>
      <w:r>
        <w:rPr>
          <w:color w:val="000000" w:themeColor="text1"/>
        </w:rPr>
        <w:t>fr</w:t>
      </w:r>
      <w:r w:rsidRPr="00F500A4">
        <w:rPr>
          <w:color w:val="000000" w:themeColor="text1"/>
        </w:rPr>
        <w:t>action C</w:t>
      </w:r>
      <w:r>
        <w:rPr>
          <w:color w:val="000000" w:themeColor="text1"/>
        </w:rPr>
        <w:t xml:space="preserve"> (7.5 micrograms),</w:t>
      </w:r>
      <w:r w:rsidRPr="002859D4">
        <w:rPr>
          <w:color w:val="000000" w:themeColor="text1"/>
        </w:rPr>
        <w:t xml:space="preserve"> </w:t>
      </w:r>
      <w:r w:rsidRPr="2AF18351">
        <w:rPr>
          <w:color w:val="000000" w:themeColor="text1"/>
        </w:rPr>
        <w:t>see section 6.5</w:t>
      </w:r>
      <w:r w:rsidR="00573F33">
        <w:rPr>
          <w:color w:val="000000" w:themeColor="text1"/>
        </w:rPr>
        <w:t xml:space="preserve"> Nature and Contents of Container</w:t>
      </w:r>
      <w:r>
        <w:rPr>
          <w:color w:val="000000" w:themeColor="text1"/>
        </w:rPr>
        <w:t>.</w:t>
      </w:r>
    </w:p>
    <w:p w14:paraId="442ECEE6" w14:textId="2C561566" w:rsidR="00ED1837" w:rsidRDefault="002859D4" w:rsidP="00EF75DF">
      <w:pPr>
        <w:rPr>
          <w:color w:val="000000" w:themeColor="text1"/>
        </w:rPr>
      </w:pPr>
      <w:r>
        <w:rPr>
          <w:color w:val="000000" w:themeColor="text1"/>
        </w:rPr>
        <w:t xml:space="preserve">*produced by recombinant DNA technology </w:t>
      </w:r>
      <w:r w:rsidR="00ED1837">
        <w:rPr>
          <w:color w:val="000000" w:themeColor="text1"/>
        </w:rPr>
        <w:t>using a bac</w:t>
      </w:r>
      <w:r w:rsidR="009B701C">
        <w:rPr>
          <w:color w:val="000000" w:themeColor="text1"/>
        </w:rPr>
        <w:t>u</w:t>
      </w:r>
      <w:r w:rsidR="00ED1837">
        <w:rPr>
          <w:color w:val="000000" w:themeColor="text1"/>
        </w:rPr>
        <w:t xml:space="preserve">lovirus expressions system in an insect cell line that is derived from Sf9 cells of the </w:t>
      </w:r>
      <w:r w:rsidR="00ED1837" w:rsidRPr="2AF18351">
        <w:rPr>
          <w:i/>
          <w:iCs/>
          <w:color w:val="000000" w:themeColor="text1"/>
        </w:rPr>
        <w:t xml:space="preserve">Spodoptera </w:t>
      </w:r>
      <w:proofErr w:type="spellStart"/>
      <w:r w:rsidR="00ED1837" w:rsidRPr="2AF18351">
        <w:rPr>
          <w:i/>
          <w:iCs/>
          <w:color w:val="000000" w:themeColor="text1"/>
        </w:rPr>
        <w:t>frugiperda</w:t>
      </w:r>
      <w:proofErr w:type="spellEnd"/>
      <w:r w:rsidR="00ED1837" w:rsidRPr="2AF18351">
        <w:rPr>
          <w:color w:val="000000" w:themeColor="text1"/>
        </w:rPr>
        <w:t xml:space="preserve"> </w:t>
      </w:r>
      <w:r w:rsidR="00ED1837">
        <w:rPr>
          <w:color w:val="000000" w:themeColor="text1"/>
        </w:rPr>
        <w:t>species.</w:t>
      </w:r>
    </w:p>
    <w:bookmarkEnd w:id="0"/>
    <w:p w14:paraId="65C1031D" w14:textId="194361AD" w:rsidR="004C2A15" w:rsidRPr="004C2A15" w:rsidRDefault="00EF75DF" w:rsidP="00EF75DF">
      <w:pPr>
        <w:spacing w:line="240" w:lineRule="auto"/>
        <w:rPr>
          <w:color w:val="000000" w:themeColor="text1"/>
        </w:rPr>
      </w:pPr>
      <w:r w:rsidRPr="00745460">
        <w:rPr>
          <w:color w:val="000000" w:themeColor="text1"/>
        </w:rPr>
        <w:t>For the full list of excipients, see section 6.1</w:t>
      </w:r>
      <w:r w:rsidR="0046144A">
        <w:rPr>
          <w:color w:val="000000" w:themeColor="text1"/>
        </w:rPr>
        <w:t xml:space="preserve"> List of Excipients</w:t>
      </w:r>
      <w:r w:rsidRPr="00745460">
        <w:rPr>
          <w:color w:val="000000" w:themeColor="text1"/>
        </w:rPr>
        <w:t>.</w:t>
      </w:r>
    </w:p>
    <w:p w14:paraId="320A3938" w14:textId="6EFBCE70" w:rsidR="001A3992" w:rsidRDefault="001A3992" w:rsidP="001A3992">
      <w:pPr>
        <w:pStyle w:val="Heading1"/>
        <w:spacing w:before="0" w:after="120"/>
      </w:pPr>
      <w:r w:rsidRPr="00035C95">
        <w:t>Pharmaceutical form</w:t>
      </w:r>
    </w:p>
    <w:p w14:paraId="38993C82" w14:textId="1C4AF7A0" w:rsidR="00EF75DF" w:rsidRPr="00637F08" w:rsidRDefault="00EF75DF" w:rsidP="00EF75DF">
      <w:pPr>
        <w:spacing w:line="240" w:lineRule="auto"/>
        <w:rPr>
          <w:noProof/>
        </w:rPr>
      </w:pPr>
      <w:r>
        <w:rPr>
          <w:color w:val="000000" w:themeColor="text1"/>
        </w:rPr>
        <w:t xml:space="preserve">Suspension for injection. </w:t>
      </w:r>
    </w:p>
    <w:p w14:paraId="4D41D9B5" w14:textId="2E2776E3" w:rsidR="001A3992" w:rsidRPr="00637F08" w:rsidRDefault="00C07D37" w:rsidP="00993F53">
      <w:pPr>
        <w:spacing w:line="240" w:lineRule="auto"/>
      </w:pPr>
      <w:r>
        <w:rPr>
          <w:color w:val="000000" w:themeColor="text1"/>
        </w:rPr>
        <w:t>NUVAXOVID</w:t>
      </w:r>
      <w:r w:rsidR="00EF75DF" w:rsidRPr="6EE6DBE9">
        <w:rPr>
          <w:color w:val="000000" w:themeColor="text1"/>
        </w:rPr>
        <w:t xml:space="preserve"> is colourless to slightly yellow, clear to mildly opalescent</w:t>
      </w:r>
      <w:r w:rsidR="00C05E64">
        <w:rPr>
          <w:color w:val="000000" w:themeColor="text1"/>
        </w:rPr>
        <w:t>.</w:t>
      </w:r>
      <w:r w:rsidR="00EF75DF" w:rsidRPr="6EE6DBE9">
        <w:rPr>
          <w:color w:val="000000" w:themeColor="text1"/>
        </w:rPr>
        <w:t xml:space="preserve"> </w:t>
      </w:r>
    </w:p>
    <w:p w14:paraId="7249CFB7" w14:textId="68D76E68" w:rsidR="001A3992" w:rsidRDefault="009B701C" w:rsidP="00871C99">
      <w:pPr>
        <w:pStyle w:val="Heading1"/>
      </w:pPr>
      <w:r>
        <w:t>CLINICAL PARTICULARs</w:t>
      </w:r>
    </w:p>
    <w:p w14:paraId="46E23083" w14:textId="60B9DA6B" w:rsidR="009B701C" w:rsidRDefault="009B701C" w:rsidP="009B701C">
      <w:pPr>
        <w:pStyle w:val="Heading2"/>
        <w:spacing w:before="0" w:after="120"/>
      </w:pPr>
      <w:r>
        <w:t xml:space="preserve">Therapeutic indications </w:t>
      </w:r>
    </w:p>
    <w:p w14:paraId="424235C8" w14:textId="7C665EEA" w:rsidR="000C072B" w:rsidRDefault="006A1A3C" w:rsidP="006A1A3C">
      <w:pPr>
        <w:rPr>
          <w:color w:val="000000" w:themeColor="text1"/>
        </w:rPr>
      </w:pPr>
      <w:r w:rsidRPr="00745460">
        <w:rPr>
          <w:color w:val="000000" w:themeColor="text1"/>
        </w:rPr>
        <w:t>N</w:t>
      </w:r>
      <w:r w:rsidR="007F2B78">
        <w:rPr>
          <w:color w:val="000000" w:themeColor="text1"/>
        </w:rPr>
        <w:t>UVAXOVID</w:t>
      </w:r>
      <w:r w:rsidRPr="00745460">
        <w:rPr>
          <w:color w:val="000000" w:themeColor="text1"/>
        </w:rPr>
        <w:t xml:space="preserve"> </w:t>
      </w:r>
      <w:r w:rsidR="007F2B78">
        <w:rPr>
          <w:color w:val="000000" w:themeColor="text1"/>
        </w:rPr>
        <w:t xml:space="preserve">has </w:t>
      </w:r>
      <w:r w:rsidR="007F2B78" w:rsidRPr="005830ED">
        <w:rPr>
          <w:b/>
          <w:bCs/>
          <w:color w:val="000000" w:themeColor="text1"/>
        </w:rPr>
        <w:t>provisional approval</w:t>
      </w:r>
      <w:r w:rsidR="007F2B78">
        <w:rPr>
          <w:color w:val="000000" w:themeColor="text1"/>
        </w:rPr>
        <w:t xml:space="preserve"> for the indication:  </w:t>
      </w:r>
    </w:p>
    <w:p w14:paraId="08120367" w14:textId="3EDAD0EA" w:rsidR="007F2B78" w:rsidRDefault="000C072B" w:rsidP="006A1A3C">
      <w:pPr>
        <w:rPr>
          <w:color w:val="000000" w:themeColor="text1"/>
        </w:rPr>
      </w:pPr>
      <w:r>
        <w:rPr>
          <w:color w:val="000000" w:themeColor="text1"/>
        </w:rPr>
        <w:t>A</w:t>
      </w:r>
      <w:r w:rsidR="007F2B78">
        <w:rPr>
          <w:color w:val="000000" w:themeColor="text1"/>
        </w:rPr>
        <w:t xml:space="preserve">ctive immunisation </w:t>
      </w:r>
      <w:r w:rsidR="00ED1837">
        <w:rPr>
          <w:color w:val="000000" w:themeColor="text1"/>
        </w:rPr>
        <w:t xml:space="preserve">to prevent </w:t>
      </w:r>
      <w:r w:rsidR="0060635B">
        <w:rPr>
          <w:color w:val="000000" w:themeColor="text1"/>
        </w:rPr>
        <w:t>coronavirus disease 2019 (</w:t>
      </w:r>
      <w:r w:rsidR="00ED1837">
        <w:rPr>
          <w:color w:val="000000" w:themeColor="text1"/>
        </w:rPr>
        <w:t>COVID-19</w:t>
      </w:r>
      <w:r w:rsidR="0060635B">
        <w:rPr>
          <w:color w:val="000000" w:themeColor="text1"/>
        </w:rPr>
        <w:t>)</w:t>
      </w:r>
      <w:r w:rsidR="00ED1837">
        <w:rPr>
          <w:color w:val="000000" w:themeColor="text1"/>
        </w:rPr>
        <w:t xml:space="preserve"> caused by SARS-CoV-2 in individuals 18 years of age and older</w:t>
      </w:r>
      <w:r w:rsidR="007F2B78">
        <w:rPr>
          <w:color w:val="000000" w:themeColor="text1"/>
        </w:rPr>
        <w:t>.</w:t>
      </w:r>
    </w:p>
    <w:p w14:paraId="6515AAA2" w14:textId="30E0D0AA" w:rsidR="006A1A3C" w:rsidRDefault="006A1A3C" w:rsidP="006A1A3C">
      <w:r w:rsidRPr="007F2B78">
        <w:t>The use of this vaccine should be in accordance with official recommendations.</w:t>
      </w:r>
    </w:p>
    <w:p w14:paraId="3BB1D2BD" w14:textId="525ABF2C" w:rsidR="000C072B" w:rsidRPr="007F2B78" w:rsidRDefault="000C072B" w:rsidP="000C072B">
      <w:r w:rsidRPr="000C072B">
        <w:rPr>
          <w:rFonts w:ascii="Calibri" w:hAnsi="Calibri" w:cs="Calibri"/>
          <w:color w:val="000000"/>
        </w:rPr>
        <w:t xml:space="preserve">The decision has been made </w:t>
      </w:r>
      <w:proofErr w:type="gramStart"/>
      <w:r w:rsidRPr="000C072B">
        <w:rPr>
          <w:rFonts w:ascii="Calibri" w:hAnsi="Calibri" w:cs="Calibri"/>
          <w:color w:val="000000"/>
        </w:rPr>
        <w:t>on the basis of</w:t>
      </w:r>
      <w:proofErr w:type="gramEnd"/>
      <w:r w:rsidRPr="000C072B">
        <w:rPr>
          <w:rFonts w:ascii="Calibri" w:hAnsi="Calibri" w:cs="Calibri"/>
          <w:color w:val="000000"/>
        </w:rPr>
        <w:t xml:space="preserve"> short-term efficacy and safety data. Continued approval depends on the evidence of </w:t>
      </w:r>
      <w:proofErr w:type="gramStart"/>
      <w:r w:rsidRPr="000C072B">
        <w:rPr>
          <w:rFonts w:ascii="Calibri" w:hAnsi="Calibri" w:cs="Calibri"/>
          <w:color w:val="000000"/>
        </w:rPr>
        <w:t>longer term</w:t>
      </w:r>
      <w:proofErr w:type="gramEnd"/>
      <w:r w:rsidRPr="000C072B">
        <w:rPr>
          <w:rFonts w:ascii="Calibri" w:hAnsi="Calibri" w:cs="Calibri"/>
          <w:color w:val="000000"/>
        </w:rPr>
        <w:t xml:space="preserve"> efficacy and safety from ongoing clinical trials and post-market assessment.</w:t>
      </w:r>
    </w:p>
    <w:p w14:paraId="14B28CF4" w14:textId="4AAB8B0C" w:rsidR="001A3992" w:rsidRDefault="001A3992" w:rsidP="00637F08">
      <w:pPr>
        <w:pStyle w:val="Heading2"/>
        <w:keepNext/>
        <w:spacing w:before="0" w:after="120"/>
      </w:pPr>
      <w:r>
        <w:lastRenderedPageBreak/>
        <w:t xml:space="preserve">Dose and method of administration </w:t>
      </w:r>
    </w:p>
    <w:p w14:paraId="0F95466A" w14:textId="45599AB6" w:rsidR="00B31BBE" w:rsidRPr="00745460" w:rsidRDefault="00B31BBE" w:rsidP="00B31BBE">
      <w:pPr>
        <w:pStyle w:val="Heading3"/>
      </w:pPr>
      <w:r>
        <w:t>Dosage</w:t>
      </w:r>
    </w:p>
    <w:p w14:paraId="410317DD" w14:textId="27893359" w:rsidR="006960A4" w:rsidRPr="006960A4" w:rsidRDefault="006960A4" w:rsidP="006960A4">
      <w:pPr>
        <w:spacing w:line="240" w:lineRule="auto"/>
        <w:rPr>
          <w:color w:val="000000" w:themeColor="text1"/>
          <w:u w:val="single"/>
        </w:rPr>
      </w:pPr>
      <w:bookmarkStart w:id="1" w:name="_Hlk78461185"/>
      <w:r>
        <w:rPr>
          <w:color w:val="000000" w:themeColor="text1"/>
          <w:u w:val="single"/>
        </w:rPr>
        <w:t>Primary series</w:t>
      </w:r>
    </w:p>
    <w:p w14:paraId="12F2E6FB" w14:textId="3E953ACD" w:rsidR="006A1A3C" w:rsidRPr="006960A4" w:rsidRDefault="006D34D8" w:rsidP="006A1A3C">
      <w:pPr>
        <w:spacing w:line="240" w:lineRule="auto"/>
        <w:rPr>
          <w:noProof/>
          <w:color w:val="A6A6A6" w:themeColor="background1" w:themeShade="A6"/>
        </w:rPr>
      </w:pPr>
      <w:r>
        <w:rPr>
          <w:color w:val="000000" w:themeColor="text1"/>
        </w:rPr>
        <w:t>NUVAXOVID is administered intramuscularly as a course of 2 doses of 0.5 mL each</w:t>
      </w:r>
      <w:r w:rsidR="006A1A3C" w:rsidRPr="2AF18351">
        <w:rPr>
          <w:color w:val="000000" w:themeColor="text1"/>
        </w:rPr>
        <w:t xml:space="preserve">. </w:t>
      </w:r>
      <w:r w:rsidR="00FC6F12">
        <w:rPr>
          <w:color w:val="000000" w:themeColor="text1"/>
        </w:rPr>
        <w:t>I</w:t>
      </w:r>
      <w:r>
        <w:rPr>
          <w:color w:val="000000" w:themeColor="text1"/>
        </w:rPr>
        <w:t>t is recommended that t</w:t>
      </w:r>
      <w:r w:rsidR="006A1A3C" w:rsidRPr="2AF18351">
        <w:rPr>
          <w:color w:val="000000" w:themeColor="text1"/>
        </w:rPr>
        <w:t>he second dose is to be administered 3</w:t>
      </w:r>
      <w:r w:rsidR="006A1A3C" w:rsidRPr="2AF18351">
        <w:rPr>
          <w:noProof/>
          <w:color w:val="000000" w:themeColor="text1"/>
        </w:rPr>
        <w:t> </w:t>
      </w:r>
      <w:r w:rsidR="006A1A3C" w:rsidRPr="2AF18351">
        <w:rPr>
          <w:color w:val="000000" w:themeColor="text1"/>
        </w:rPr>
        <w:t>weeks after the first dose, see section 5.1</w:t>
      </w:r>
      <w:r w:rsidR="0046144A">
        <w:rPr>
          <w:color w:val="000000" w:themeColor="text1"/>
        </w:rPr>
        <w:t xml:space="preserve"> Pharmacodynamic Properties</w:t>
      </w:r>
      <w:r w:rsidR="00993F53">
        <w:rPr>
          <w:color w:val="000000" w:themeColor="text1"/>
        </w:rPr>
        <w:t>.</w:t>
      </w:r>
      <w:r w:rsidR="006A1A3C" w:rsidRPr="004C2A15">
        <w:rPr>
          <w:i/>
          <w:iCs/>
          <w:noProof/>
          <w:color w:val="A6A6A6" w:themeColor="background1" w:themeShade="A6"/>
        </w:rPr>
        <w:t xml:space="preserve"> </w:t>
      </w:r>
    </w:p>
    <w:p w14:paraId="387EC627" w14:textId="77777777" w:rsidR="003633C6" w:rsidRPr="006960A4" w:rsidRDefault="003633C6" w:rsidP="003633C6">
      <w:pPr>
        <w:spacing w:line="240" w:lineRule="auto"/>
        <w:rPr>
          <w:noProof/>
          <w:u w:val="single"/>
        </w:rPr>
      </w:pPr>
      <w:bookmarkStart w:id="2" w:name="_Hlk101951097"/>
      <w:bookmarkEnd w:id="1"/>
      <w:r>
        <w:rPr>
          <w:noProof/>
          <w:u w:val="single"/>
        </w:rPr>
        <w:t>Booster Dose</w:t>
      </w:r>
    </w:p>
    <w:p w14:paraId="46366818" w14:textId="7AF3C350" w:rsidR="000823B7" w:rsidRDefault="000823B7" w:rsidP="003633C6">
      <w:pPr>
        <w:spacing w:line="240" w:lineRule="auto"/>
        <w:rPr>
          <w:color w:val="000000" w:themeColor="text1"/>
        </w:rPr>
      </w:pPr>
      <w:bookmarkStart w:id="3" w:name="_Hlk101960514"/>
      <w:r>
        <w:rPr>
          <w:color w:val="000000" w:themeColor="text1"/>
        </w:rPr>
        <w:t>A booster dose</w:t>
      </w:r>
      <w:r w:rsidR="006776E5">
        <w:rPr>
          <w:color w:val="000000" w:themeColor="text1"/>
        </w:rPr>
        <w:t xml:space="preserve"> </w:t>
      </w:r>
      <w:r>
        <w:rPr>
          <w:color w:val="000000" w:themeColor="text1"/>
        </w:rPr>
        <w:t xml:space="preserve">of NUVAXOVID </w:t>
      </w:r>
      <w:r w:rsidR="006776E5">
        <w:rPr>
          <w:color w:val="000000" w:themeColor="text1"/>
        </w:rPr>
        <w:t xml:space="preserve">(0.5 mL) </w:t>
      </w:r>
      <w:r>
        <w:rPr>
          <w:color w:val="000000" w:themeColor="text1"/>
        </w:rPr>
        <w:t xml:space="preserve">may be administered intramuscularly approximately 6 months after completion of </w:t>
      </w:r>
      <w:r w:rsidR="00751B82">
        <w:rPr>
          <w:color w:val="000000" w:themeColor="text1"/>
        </w:rPr>
        <w:t>a</w:t>
      </w:r>
      <w:r>
        <w:rPr>
          <w:color w:val="000000" w:themeColor="text1"/>
        </w:rPr>
        <w:t xml:space="preserve"> primary series in individuals 18 years of age and older.</w:t>
      </w:r>
    </w:p>
    <w:p w14:paraId="6FE704E0" w14:textId="4BAF3C09" w:rsidR="006960A4" w:rsidRPr="00977ED4" w:rsidRDefault="6B003ACD" w:rsidP="003633C6">
      <w:pPr>
        <w:spacing w:line="240" w:lineRule="auto"/>
        <w:rPr>
          <w:color w:val="000000" w:themeColor="text1"/>
        </w:rPr>
      </w:pPr>
      <w:bookmarkStart w:id="4" w:name="_Hlk101960774"/>
      <w:bookmarkEnd w:id="3"/>
      <w:r w:rsidRPr="2711C94B">
        <w:rPr>
          <w:color w:val="000000" w:themeColor="text1"/>
        </w:rPr>
        <w:t>The decision when and for whom to implement a booster dose of NUVAXOVID should be made based on available vaccine safety and effectiveness data (see sections 4.</w:t>
      </w:r>
      <w:r w:rsidR="0DD0F11A" w:rsidRPr="2711C94B">
        <w:rPr>
          <w:color w:val="000000" w:themeColor="text1"/>
        </w:rPr>
        <w:t>8</w:t>
      </w:r>
      <w:r w:rsidRPr="2711C94B">
        <w:rPr>
          <w:color w:val="000000" w:themeColor="text1"/>
        </w:rPr>
        <w:t xml:space="preserve"> </w:t>
      </w:r>
      <w:r w:rsidR="08FE34D2" w:rsidRPr="2711C94B">
        <w:rPr>
          <w:color w:val="000000" w:themeColor="text1"/>
        </w:rPr>
        <w:t xml:space="preserve">Adverse Effects </w:t>
      </w:r>
      <w:r w:rsidRPr="2711C94B">
        <w:rPr>
          <w:color w:val="000000" w:themeColor="text1"/>
        </w:rPr>
        <w:t>and 5.1</w:t>
      </w:r>
      <w:r w:rsidR="08FE34D2" w:rsidRPr="2711C94B">
        <w:rPr>
          <w:color w:val="000000" w:themeColor="text1"/>
        </w:rPr>
        <w:t xml:space="preserve"> Pharmacodynamic Properties</w:t>
      </w:r>
      <w:r w:rsidRPr="2711C94B">
        <w:rPr>
          <w:color w:val="000000" w:themeColor="text1"/>
        </w:rPr>
        <w:t>), in accordance with official recommendations</w:t>
      </w:r>
      <w:r w:rsidR="0568C3D3" w:rsidRPr="2711C94B">
        <w:rPr>
          <w:color w:val="000000" w:themeColor="text1"/>
        </w:rPr>
        <w:t>.</w:t>
      </w:r>
    </w:p>
    <w:bookmarkEnd w:id="2"/>
    <w:bookmarkEnd w:id="4"/>
    <w:p w14:paraId="3E1A2B37" w14:textId="36AC413F" w:rsidR="006960A4" w:rsidRPr="006960A4" w:rsidRDefault="006960A4" w:rsidP="006A1A3C">
      <w:pPr>
        <w:spacing w:line="240" w:lineRule="auto"/>
      </w:pPr>
      <w:r>
        <w:rPr>
          <w:u w:val="single"/>
        </w:rPr>
        <w:t>Interchangeability</w:t>
      </w:r>
    </w:p>
    <w:p w14:paraId="4497F6A2" w14:textId="18F57BA1" w:rsidR="006A1A3C" w:rsidRDefault="006A1A3C" w:rsidP="006A1A3C">
      <w:pPr>
        <w:spacing w:line="240" w:lineRule="auto"/>
      </w:pPr>
      <w:r w:rsidRPr="009A562D">
        <w:t xml:space="preserve">There are no data available on the interchangeability of </w:t>
      </w:r>
      <w:r w:rsidR="007F2B78" w:rsidRPr="009A562D">
        <w:t xml:space="preserve">NUVAXOVID </w:t>
      </w:r>
      <w:r w:rsidRPr="009A562D">
        <w:t xml:space="preserve">with other COVID-19 vaccines to complete the </w:t>
      </w:r>
      <w:r w:rsidRPr="009A562D">
        <w:rPr>
          <w:noProof/>
        </w:rPr>
        <w:t xml:space="preserve">primary </w:t>
      </w:r>
      <w:r w:rsidRPr="009A562D">
        <w:t xml:space="preserve">vaccination course. Individuals who have received a first dose of </w:t>
      </w:r>
      <w:r w:rsidR="007F2B78" w:rsidRPr="009A562D">
        <w:t xml:space="preserve">NUVAXOVID </w:t>
      </w:r>
      <w:r w:rsidRPr="009A562D">
        <w:t xml:space="preserve">should receive the second dose of </w:t>
      </w:r>
      <w:r w:rsidR="007F2B78" w:rsidRPr="009A562D">
        <w:t xml:space="preserve">NUVAXOVID </w:t>
      </w:r>
      <w:r w:rsidRPr="009A562D">
        <w:t>to complete the vaccination course, see section 4.4</w:t>
      </w:r>
      <w:r w:rsidR="0046144A">
        <w:t xml:space="preserve"> Special Warnings and Precautions for Use</w:t>
      </w:r>
      <w:r w:rsidRPr="009A562D">
        <w:t>.</w:t>
      </w:r>
    </w:p>
    <w:p w14:paraId="15274936" w14:textId="55436FE3" w:rsidR="002423DB" w:rsidRPr="009A562D" w:rsidRDefault="002423DB" w:rsidP="002423DB">
      <w:pPr>
        <w:spacing w:line="240" w:lineRule="auto"/>
      </w:pPr>
      <w:r w:rsidRPr="009A562D">
        <w:t xml:space="preserve">For precautions </w:t>
      </w:r>
      <w:r w:rsidR="009958D0">
        <w:t xml:space="preserve">for </w:t>
      </w:r>
      <w:r w:rsidRPr="009A562D">
        <w:t>administering the vaccine, see section 4.4</w:t>
      </w:r>
      <w:r w:rsidR="0046144A" w:rsidRPr="0046144A">
        <w:t xml:space="preserve"> </w:t>
      </w:r>
      <w:r w:rsidR="0046144A">
        <w:t>Special Warnings and Precautions for Use</w:t>
      </w:r>
      <w:r w:rsidRPr="009A562D">
        <w:t>.</w:t>
      </w:r>
      <w:r w:rsidRPr="009A562D">
        <w:rPr>
          <w:i/>
          <w:iCs/>
        </w:rPr>
        <w:t xml:space="preserve"> </w:t>
      </w:r>
    </w:p>
    <w:p w14:paraId="199124B1" w14:textId="0753E143" w:rsidR="00B31BBE" w:rsidRPr="00745460" w:rsidRDefault="004C27E4" w:rsidP="00B31BBE">
      <w:pPr>
        <w:pStyle w:val="Heading3"/>
      </w:pPr>
      <w:r>
        <w:t xml:space="preserve">Method of </w:t>
      </w:r>
      <w:r w:rsidR="002423DB">
        <w:t>administration</w:t>
      </w:r>
    </w:p>
    <w:p w14:paraId="756973A8" w14:textId="37EFC633" w:rsidR="00880F49" w:rsidRDefault="007F2B78" w:rsidP="002423DB">
      <w:r w:rsidRPr="009A562D">
        <w:t>NUVAXOVID</w:t>
      </w:r>
      <w:r w:rsidR="006A1A3C" w:rsidRPr="009A562D">
        <w:t xml:space="preserve"> is for intramuscular injection only</w:t>
      </w:r>
      <w:r w:rsidR="006D34D8">
        <w:t>, preferably into the deltoid muscle of the upper arm</w:t>
      </w:r>
      <w:r w:rsidR="002423DB">
        <w:t>.</w:t>
      </w:r>
      <w:r w:rsidR="006A1A3C" w:rsidRPr="009A562D">
        <w:t xml:space="preserve"> </w:t>
      </w:r>
    </w:p>
    <w:p w14:paraId="6A8841E1" w14:textId="3DD8D58F" w:rsidR="006D34D8" w:rsidRPr="009A562D" w:rsidRDefault="006A1A3C" w:rsidP="002423DB">
      <w:r w:rsidRPr="009A562D">
        <w:t>Do not inject the vaccine intravascularly, subcutaneously, or intradermally.</w:t>
      </w:r>
    </w:p>
    <w:p w14:paraId="1D8F7751" w14:textId="4E7AD357" w:rsidR="00B31BBE" w:rsidRDefault="00B31BBE" w:rsidP="00B31BBE">
      <w:pPr>
        <w:spacing w:line="240" w:lineRule="auto"/>
        <w:rPr>
          <w:color w:val="000000" w:themeColor="text1"/>
        </w:rPr>
      </w:pPr>
      <w:bookmarkStart w:id="5" w:name="_Hlk79992344"/>
      <w:r w:rsidRPr="5D3A42D4">
        <w:rPr>
          <w:color w:val="000000" w:themeColor="text1"/>
        </w:rPr>
        <w:t>This vaccine should be handled by a healthcare professional using aseptic techniques to ensure the sterility of each dose.</w:t>
      </w:r>
      <w:r w:rsidR="00E64D84">
        <w:rPr>
          <w:color w:val="000000" w:themeColor="text1"/>
        </w:rPr>
        <w:t xml:space="preserve"> The vaccine contains no antimicrobial preservative.</w:t>
      </w:r>
    </w:p>
    <w:p w14:paraId="23E10FBB" w14:textId="77777777" w:rsidR="00B31BBE" w:rsidRDefault="00B31BBE" w:rsidP="00B31BBE">
      <w:pPr>
        <w:spacing w:line="240" w:lineRule="auto"/>
        <w:rPr>
          <w:rFonts w:ascii="Calibri" w:hAnsi="Calibri" w:cs="Calibri"/>
        </w:rPr>
      </w:pPr>
      <w:r w:rsidRPr="005F3D84">
        <w:rPr>
          <w:rFonts w:ascii="Calibri" w:hAnsi="Calibri" w:cs="Calibri"/>
        </w:rPr>
        <w:t>The vaccine comes ready to use.</w:t>
      </w:r>
      <w:r>
        <w:rPr>
          <w:rFonts w:ascii="Calibri" w:hAnsi="Calibri" w:cs="Calibri"/>
        </w:rPr>
        <w:t xml:space="preserve"> Do not dilute.</w:t>
      </w:r>
    </w:p>
    <w:p w14:paraId="0C22276B" w14:textId="77777777" w:rsidR="00B31BBE" w:rsidRPr="004C5D82" w:rsidRDefault="00B31BBE" w:rsidP="007E12D2">
      <w:pPr>
        <w:spacing w:after="120" w:line="240" w:lineRule="auto"/>
      </w:pPr>
      <w:r w:rsidRPr="494061C4">
        <w:rPr>
          <w:i/>
          <w:iCs/>
        </w:rPr>
        <w:t>Inspect the vial</w:t>
      </w:r>
      <w:r>
        <w:t>:</w:t>
      </w:r>
    </w:p>
    <w:p w14:paraId="154EF73C" w14:textId="376DD652" w:rsidR="00B31BBE" w:rsidRPr="005F3D84" w:rsidRDefault="00B31BBE" w:rsidP="00B31BBE">
      <w:pPr>
        <w:pStyle w:val="ListParagraph"/>
        <w:numPr>
          <w:ilvl w:val="0"/>
          <w:numId w:val="12"/>
        </w:numPr>
        <w:spacing w:after="0" w:line="240" w:lineRule="auto"/>
        <w:rPr>
          <w:rFonts w:ascii="Calibri" w:hAnsi="Calibri" w:cs="Calibri"/>
          <w:color w:val="BFBFBF" w:themeColor="background1" w:themeShade="BF"/>
        </w:rPr>
      </w:pPr>
      <w:bookmarkStart w:id="6" w:name="_Hlk79911217"/>
      <w:bookmarkStart w:id="7" w:name="_Hlk79652264"/>
      <w:r w:rsidRPr="005F3D84">
        <w:rPr>
          <w:rFonts w:ascii="Calibri" w:hAnsi="Calibri" w:cs="Calibri"/>
        </w:rPr>
        <w:t xml:space="preserve">Gently swirl the multidose vial before and in between each dose withdrawal. Do not shake. </w:t>
      </w:r>
    </w:p>
    <w:p w14:paraId="7C4B9792" w14:textId="0D448B23" w:rsidR="00B31BBE" w:rsidRPr="005F3D84" w:rsidRDefault="00B31BBE" w:rsidP="00B31BBE">
      <w:pPr>
        <w:pStyle w:val="ListParagraph"/>
        <w:numPr>
          <w:ilvl w:val="0"/>
          <w:numId w:val="12"/>
        </w:numPr>
        <w:spacing w:after="0" w:line="240" w:lineRule="auto"/>
        <w:ind w:left="1080"/>
        <w:rPr>
          <w:rFonts w:ascii="Calibri" w:hAnsi="Calibri" w:cs="Calibri"/>
          <w:color w:val="A6A6A6" w:themeColor="background1" w:themeShade="A6"/>
        </w:rPr>
      </w:pPr>
      <w:bookmarkStart w:id="8" w:name="_Hlk80334509"/>
      <w:r w:rsidRPr="005F3D84">
        <w:rPr>
          <w:rFonts w:ascii="Calibri" w:hAnsi="Calibri" w:cs="Calibri"/>
        </w:rPr>
        <w:t>Each multidose vial contains a colourless to slightly yellow, clear to mildly opalescent suspension</w:t>
      </w:r>
      <w:r w:rsidR="00202B29">
        <w:rPr>
          <w:rFonts w:ascii="Calibri" w:hAnsi="Calibri" w:cs="Calibri"/>
        </w:rPr>
        <w:t xml:space="preserve"> free from visible particles</w:t>
      </w:r>
      <w:r w:rsidRPr="000B7226">
        <w:rPr>
          <w:rFonts w:ascii="Calibri" w:hAnsi="Calibri" w:cs="Calibri"/>
        </w:rPr>
        <w:t>.</w:t>
      </w:r>
      <w:bookmarkEnd w:id="8"/>
      <w:r w:rsidRPr="000B7226">
        <w:rPr>
          <w:rFonts w:ascii="Calibri" w:hAnsi="Calibri" w:cs="Calibri"/>
        </w:rPr>
        <w:t xml:space="preserve"> </w:t>
      </w:r>
      <w:bookmarkEnd w:id="6"/>
    </w:p>
    <w:p w14:paraId="7B02B352" w14:textId="199A8533" w:rsidR="00B31BBE" w:rsidRDefault="00B31BBE" w:rsidP="00B31BBE">
      <w:pPr>
        <w:pStyle w:val="ListParagraph"/>
        <w:numPr>
          <w:ilvl w:val="0"/>
          <w:numId w:val="12"/>
        </w:numPr>
        <w:spacing w:after="0" w:line="240" w:lineRule="auto"/>
        <w:ind w:left="1080"/>
        <w:rPr>
          <w:rFonts w:ascii="Calibri" w:hAnsi="Calibri" w:cs="Calibri"/>
          <w:noProof/>
        </w:rPr>
      </w:pPr>
      <w:bookmarkStart w:id="9" w:name="_Hlk79652435"/>
      <w:bookmarkStart w:id="10" w:name="_Hlk80334793"/>
      <w:bookmarkEnd w:id="7"/>
      <w:r w:rsidRPr="005F3D84">
        <w:rPr>
          <w:rFonts w:ascii="Calibri" w:hAnsi="Calibri" w:cs="Calibri"/>
        </w:rPr>
        <w:t>Visually inspect the contents of the vial for visible particulate matter and/or discolouration prior to administration. Do not administer the vaccine if either are present.</w:t>
      </w:r>
      <w:bookmarkEnd w:id="9"/>
    </w:p>
    <w:p w14:paraId="152F2F63" w14:textId="77777777" w:rsidR="0061506C" w:rsidRPr="0061506C" w:rsidRDefault="0061506C" w:rsidP="0061506C">
      <w:pPr>
        <w:spacing w:after="0" w:line="240" w:lineRule="auto"/>
        <w:rPr>
          <w:rFonts w:ascii="Calibri" w:hAnsi="Calibri" w:cs="Calibri"/>
          <w:noProof/>
        </w:rPr>
      </w:pPr>
    </w:p>
    <w:bookmarkEnd w:id="10"/>
    <w:p w14:paraId="557AE6A3" w14:textId="77777777" w:rsidR="00B31BBE" w:rsidRPr="002211C1" w:rsidRDefault="00B31BBE" w:rsidP="007E12D2">
      <w:pPr>
        <w:spacing w:after="120" w:line="240" w:lineRule="auto"/>
        <w:rPr>
          <w:i/>
          <w:iCs/>
        </w:rPr>
      </w:pPr>
      <w:r w:rsidRPr="00A25EEC">
        <w:rPr>
          <w:i/>
          <w:iCs/>
        </w:rPr>
        <w:t>Administer the vaccine:</w:t>
      </w:r>
    </w:p>
    <w:p w14:paraId="716ECA9B" w14:textId="20963762" w:rsidR="00202B29" w:rsidRPr="00637F08" w:rsidRDefault="00202B29" w:rsidP="00B31BBE">
      <w:pPr>
        <w:pStyle w:val="ListParagraph"/>
        <w:numPr>
          <w:ilvl w:val="0"/>
          <w:numId w:val="12"/>
        </w:numPr>
        <w:spacing w:after="0" w:line="240" w:lineRule="auto"/>
        <w:rPr>
          <w:rFonts w:ascii="Calibri" w:hAnsi="Calibri" w:cs="Calibri"/>
          <w:iCs/>
        </w:rPr>
      </w:pPr>
      <w:r w:rsidRPr="00637F08">
        <w:rPr>
          <w:rFonts w:ascii="Calibri" w:hAnsi="Calibri" w:cs="Calibri"/>
          <w:iCs/>
        </w:rPr>
        <w:t>An overfill is included in the vial to ensure that a maximum of ten (10) doses of 0.5 mL each can be extracted.</w:t>
      </w:r>
    </w:p>
    <w:p w14:paraId="4D08F8BD" w14:textId="590A929C" w:rsidR="00B31BBE" w:rsidRDefault="00B31BBE" w:rsidP="00B31BBE">
      <w:pPr>
        <w:pStyle w:val="ListParagraph"/>
        <w:numPr>
          <w:ilvl w:val="0"/>
          <w:numId w:val="12"/>
        </w:numPr>
        <w:spacing w:after="0" w:line="240" w:lineRule="auto"/>
        <w:rPr>
          <w:rFonts w:ascii="Calibri" w:hAnsi="Calibri" w:cs="Calibri"/>
        </w:rPr>
      </w:pPr>
      <w:r w:rsidRPr="005F3D84">
        <w:rPr>
          <w:rFonts w:ascii="Calibri" w:hAnsi="Calibri" w:cs="Calibri"/>
        </w:rPr>
        <w:lastRenderedPageBreak/>
        <w:t>Each 0.5</w:t>
      </w:r>
      <w:r w:rsidRPr="005F3D84">
        <w:rPr>
          <w:rFonts w:ascii="Calibri" w:hAnsi="Calibri" w:cs="Calibri"/>
          <w:noProof/>
        </w:rPr>
        <w:t> </w:t>
      </w:r>
      <w:r w:rsidRPr="005F3D84">
        <w:rPr>
          <w:rFonts w:ascii="Calibri" w:hAnsi="Calibri" w:cs="Calibri"/>
        </w:rPr>
        <w:t xml:space="preserve">mL dose is withdrawn into a sterile needle and sterile syringe to be administered by intramuscular injection, preferably in the deltoid muscle of the upper arm. </w:t>
      </w:r>
    </w:p>
    <w:p w14:paraId="05A75AFE" w14:textId="162E993B" w:rsidR="00E64D84" w:rsidRPr="005F3D84" w:rsidRDefault="00E64D84" w:rsidP="00B31BBE">
      <w:pPr>
        <w:pStyle w:val="ListParagraph"/>
        <w:numPr>
          <w:ilvl w:val="0"/>
          <w:numId w:val="12"/>
        </w:numPr>
        <w:spacing w:after="0" w:line="240" w:lineRule="auto"/>
        <w:rPr>
          <w:rFonts w:ascii="Calibri" w:hAnsi="Calibri" w:cs="Calibri"/>
        </w:rPr>
      </w:pPr>
      <w:r>
        <w:rPr>
          <w:rFonts w:ascii="Calibri" w:hAnsi="Calibri" w:cs="Calibri"/>
        </w:rPr>
        <w:t>Use a separate sterile needle and syringe for each individual dose, prior to use in a vaccination session.</w:t>
      </w:r>
    </w:p>
    <w:p w14:paraId="6C3B4F49" w14:textId="77777777" w:rsidR="00B31BBE" w:rsidRPr="005F3D84" w:rsidRDefault="00B31BBE" w:rsidP="00B31BBE">
      <w:pPr>
        <w:pStyle w:val="ListParagraph"/>
        <w:numPr>
          <w:ilvl w:val="0"/>
          <w:numId w:val="12"/>
        </w:numPr>
        <w:spacing w:after="0" w:line="240" w:lineRule="auto"/>
        <w:ind w:left="1440"/>
        <w:rPr>
          <w:rFonts w:ascii="Calibri" w:hAnsi="Calibri" w:cs="Calibri"/>
        </w:rPr>
      </w:pPr>
      <w:bookmarkStart w:id="11" w:name="_Hlk79992246"/>
      <w:r w:rsidRPr="005F3D84">
        <w:rPr>
          <w:rFonts w:ascii="Calibri" w:hAnsi="Calibri" w:cs="Calibri"/>
        </w:rPr>
        <w:t>Do not mix the vaccine in the same syringe with any other vaccines or medicinal products.</w:t>
      </w:r>
    </w:p>
    <w:bookmarkEnd w:id="11"/>
    <w:p w14:paraId="350B65C8" w14:textId="0431E179" w:rsidR="00B31BBE" w:rsidRDefault="00B31BBE" w:rsidP="00B31BBE">
      <w:pPr>
        <w:pStyle w:val="ListParagraph"/>
        <w:numPr>
          <w:ilvl w:val="0"/>
          <w:numId w:val="12"/>
        </w:numPr>
        <w:spacing w:after="0" w:line="240" w:lineRule="auto"/>
        <w:ind w:left="1440"/>
        <w:rPr>
          <w:rFonts w:ascii="Calibri" w:hAnsi="Calibri" w:cs="Calibri"/>
          <w:noProof/>
        </w:rPr>
      </w:pPr>
      <w:r w:rsidRPr="005F3D84">
        <w:rPr>
          <w:rFonts w:ascii="Calibri" w:hAnsi="Calibri" w:cs="Calibri"/>
        </w:rPr>
        <w:t>Do not pool excess vaccine from multiple vials.</w:t>
      </w:r>
    </w:p>
    <w:p w14:paraId="08A388D8" w14:textId="77777777" w:rsidR="00B31BBE" w:rsidRPr="00B31BBE" w:rsidRDefault="00B31BBE" w:rsidP="00B31BBE">
      <w:pPr>
        <w:spacing w:after="0" w:line="240" w:lineRule="auto"/>
        <w:rPr>
          <w:rFonts w:ascii="Calibri" w:hAnsi="Calibri" w:cs="Calibri"/>
          <w:noProof/>
        </w:rPr>
      </w:pPr>
    </w:p>
    <w:p w14:paraId="114C6F0B" w14:textId="77777777" w:rsidR="00B31BBE" w:rsidRPr="007E12D2" w:rsidRDefault="00B31BBE" w:rsidP="007E12D2">
      <w:pPr>
        <w:spacing w:after="120" w:line="240" w:lineRule="auto"/>
        <w:rPr>
          <w:i/>
          <w:iCs/>
        </w:rPr>
      </w:pPr>
      <w:r w:rsidRPr="6EE6DBE9">
        <w:rPr>
          <w:i/>
          <w:iCs/>
        </w:rPr>
        <w:t>Storage after first needle puncture:</w:t>
      </w:r>
    </w:p>
    <w:p w14:paraId="3C4CB41D" w14:textId="284AFC80" w:rsidR="00B31BBE" w:rsidRPr="00417AFA" w:rsidRDefault="00B31BBE" w:rsidP="00B31BBE">
      <w:pPr>
        <w:pStyle w:val="ListParagraph"/>
        <w:numPr>
          <w:ilvl w:val="0"/>
          <w:numId w:val="12"/>
        </w:numPr>
        <w:spacing w:after="0" w:line="240" w:lineRule="auto"/>
        <w:rPr>
          <w:rFonts w:ascii="Calibri" w:hAnsi="Calibri" w:cs="Calibri"/>
          <w:strike/>
          <w:noProof/>
        </w:rPr>
      </w:pPr>
      <w:r w:rsidRPr="00880F49">
        <w:rPr>
          <w:rFonts w:ascii="Calibri" w:hAnsi="Calibri" w:cs="Calibri"/>
          <w:noProof/>
        </w:rPr>
        <w:t>N</w:t>
      </w:r>
      <w:r w:rsidR="00AC4F18" w:rsidRPr="00880F49">
        <w:rPr>
          <w:rFonts w:ascii="Calibri" w:hAnsi="Calibri" w:cs="Calibri"/>
          <w:noProof/>
        </w:rPr>
        <w:t>UVAXOVID</w:t>
      </w:r>
      <w:r w:rsidRPr="00880F49">
        <w:rPr>
          <w:rFonts w:ascii="Calibri" w:hAnsi="Calibri" w:cs="Calibri"/>
          <w:noProof/>
        </w:rPr>
        <w:t xml:space="preserve"> contain</w:t>
      </w:r>
      <w:r w:rsidR="004776E2">
        <w:rPr>
          <w:rFonts w:ascii="Calibri" w:hAnsi="Calibri" w:cs="Calibri"/>
          <w:noProof/>
        </w:rPr>
        <w:t>s</w:t>
      </w:r>
      <w:r w:rsidRPr="00880F49">
        <w:rPr>
          <w:rFonts w:ascii="Calibri" w:hAnsi="Calibri" w:cs="Calibri"/>
          <w:noProof/>
        </w:rPr>
        <w:t xml:space="preserve"> </w:t>
      </w:r>
      <w:r w:rsidR="00E64D84">
        <w:rPr>
          <w:rFonts w:ascii="Calibri" w:hAnsi="Calibri" w:cs="Calibri"/>
          <w:noProof/>
        </w:rPr>
        <w:t>n</w:t>
      </w:r>
      <w:r w:rsidR="004776E2">
        <w:rPr>
          <w:rFonts w:ascii="Calibri" w:hAnsi="Calibri" w:cs="Calibri"/>
          <w:noProof/>
        </w:rPr>
        <w:t>o</w:t>
      </w:r>
      <w:r w:rsidR="00E64D84">
        <w:rPr>
          <w:rFonts w:ascii="Calibri" w:hAnsi="Calibri" w:cs="Calibri"/>
          <w:noProof/>
        </w:rPr>
        <w:t xml:space="preserve"> antimicrobial</w:t>
      </w:r>
      <w:r w:rsidRPr="00880F49">
        <w:rPr>
          <w:rFonts w:ascii="Calibri" w:hAnsi="Calibri" w:cs="Calibri"/>
          <w:noProof/>
        </w:rPr>
        <w:t xml:space="preserve"> preservative. Store the opened vial between 2°C to 25°C for up to 6 hours after first puncture, see section 6.3</w:t>
      </w:r>
      <w:r w:rsidR="00A304BE">
        <w:rPr>
          <w:rFonts w:ascii="Calibri" w:hAnsi="Calibri" w:cs="Calibri"/>
          <w:noProof/>
        </w:rPr>
        <w:t xml:space="preserve"> Shelf life</w:t>
      </w:r>
      <w:r w:rsidRPr="00417AFA">
        <w:rPr>
          <w:rFonts w:ascii="Calibri" w:hAnsi="Calibri" w:cs="Calibri"/>
          <w:noProof/>
        </w:rPr>
        <w:t xml:space="preserve">. </w:t>
      </w:r>
    </w:p>
    <w:p w14:paraId="44B27DBA" w14:textId="68117150" w:rsidR="00B31BBE" w:rsidRDefault="00B31BBE" w:rsidP="00B31BBE">
      <w:pPr>
        <w:pStyle w:val="ListParagraph"/>
        <w:numPr>
          <w:ilvl w:val="0"/>
          <w:numId w:val="12"/>
        </w:numPr>
        <w:spacing w:after="0" w:line="240" w:lineRule="auto"/>
        <w:rPr>
          <w:rFonts w:ascii="Calibri" w:hAnsi="Calibri" w:cs="Calibri"/>
          <w:noProof/>
        </w:rPr>
      </w:pPr>
      <w:r w:rsidRPr="005F3D84">
        <w:rPr>
          <w:rFonts w:ascii="Calibri" w:hAnsi="Calibri" w:cs="Calibri"/>
          <w:noProof/>
        </w:rPr>
        <w:t xml:space="preserve">Record the date and time of discard on the vial label. </w:t>
      </w:r>
    </w:p>
    <w:p w14:paraId="0034FB6F" w14:textId="77777777" w:rsidR="00B31BBE" w:rsidRPr="00B31BBE" w:rsidRDefault="00B31BBE" w:rsidP="00B31BBE">
      <w:pPr>
        <w:spacing w:after="0" w:line="240" w:lineRule="auto"/>
        <w:rPr>
          <w:rFonts w:ascii="Calibri" w:hAnsi="Calibri" w:cs="Calibri"/>
          <w:noProof/>
        </w:rPr>
      </w:pPr>
    </w:p>
    <w:p w14:paraId="0E8E16A6" w14:textId="77777777" w:rsidR="00B31BBE" w:rsidRPr="002211C1" w:rsidRDefault="00B31BBE" w:rsidP="007E12D2">
      <w:pPr>
        <w:spacing w:after="120" w:line="240" w:lineRule="auto"/>
        <w:rPr>
          <w:i/>
          <w:iCs/>
        </w:rPr>
      </w:pPr>
      <w:r w:rsidRPr="00A25EEC">
        <w:rPr>
          <w:i/>
          <w:iCs/>
        </w:rPr>
        <w:t>Discard:</w:t>
      </w:r>
    </w:p>
    <w:p w14:paraId="7C079C1E" w14:textId="3E2F331E" w:rsidR="00B31BBE" w:rsidRPr="00993F53" w:rsidRDefault="00B31BBE" w:rsidP="00B31BBE">
      <w:pPr>
        <w:pStyle w:val="ListParagraph"/>
        <w:numPr>
          <w:ilvl w:val="0"/>
          <w:numId w:val="11"/>
        </w:numPr>
        <w:spacing w:after="0" w:line="240" w:lineRule="auto"/>
        <w:rPr>
          <w:rFonts w:ascii="Calibri" w:hAnsi="Calibri" w:cs="Calibri"/>
          <w:noProof/>
        </w:rPr>
      </w:pPr>
      <w:bookmarkStart w:id="12" w:name="_Hlk80096994"/>
      <w:bookmarkEnd w:id="5"/>
      <w:r w:rsidRPr="00993F53">
        <w:rPr>
          <w:rFonts w:ascii="Calibri" w:hAnsi="Calibri" w:cs="Calibri"/>
        </w:rPr>
        <w:t>Discard this vaccine if not used within 6</w:t>
      </w:r>
      <w:r w:rsidRPr="00993F53">
        <w:rPr>
          <w:rFonts w:ascii="Calibri" w:hAnsi="Calibri" w:cs="Calibri"/>
          <w:noProof/>
        </w:rPr>
        <w:t> </w:t>
      </w:r>
      <w:r w:rsidRPr="00993F53">
        <w:rPr>
          <w:rFonts w:ascii="Calibri" w:hAnsi="Calibri" w:cs="Calibri"/>
        </w:rPr>
        <w:t>hours after first puncture of the vial</w:t>
      </w:r>
      <w:bookmarkEnd w:id="12"/>
      <w:r w:rsidRPr="00993F53">
        <w:rPr>
          <w:rFonts w:ascii="Calibri" w:hAnsi="Calibri" w:cs="Calibri"/>
          <w:noProof/>
        </w:rPr>
        <w:t>, see section 6.3</w:t>
      </w:r>
      <w:r w:rsidR="00A304BE" w:rsidRPr="00A304BE">
        <w:rPr>
          <w:rFonts w:ascii="Calibri" w:hAnsi="Calibri" w:cs="Calibri"/>
          <w:noProof/>
        </w:rPr>
        <w:t xml:space="preserve"> </w:t>
      </w:r>
      <w:r w:rsidR="00A304BE">
        <w:rPr>
          <w:rFonts w:ascii="Calibri" w:hAnsi="Calibri" w:cs="Calibri"/>
          <w:noProof/>
        </w:rPr>
        <w:t>Shelf life</w:t>
      </w:r>
      <w:r w:rsidRPr="00993F53">
        <w:rPr>
          <w:rFonts w:ascii="Calibri" w:hAnsi="Calibri" w:cs="Calibri"/>
          <w:noProof/>
        </w:rPr>
        <w:t xml:space="preserve">.  </w:t>
      </w:r>
    </w:p>
    <w:p w14:paraId="4AFD257B" w14:textId="77777777" w:rsidR="00B31BBE" w:rsidRDefault="00B31BBE" w:rsidP="00B31BBE">
      <w:pPr>
        <w:spacing w:line="240" w:lineRule="auto"/>
        <w:rPr>
          <w:noProof/>
        </w:rPr>
      </w:pPr>
    </w:p>
    <w:p w14:paraId="12B7C8AD" w14:textId="6CF79C4A" w:rsidR="006A1A3C" w:rsidRPr="009A562D" w:rsidRDefault="006A1A3C" w:rsidP="006A1A3C">
      <w:r w:rsidRPr="009A562D">
        <w:t xml:space="preserve">For instructions regarding </w:t>
      </w:r>
      <w:r w:rsidR="002423DB">
        <w:t>disposal</w:t>
      </w:r>
      <w:r w:rsidR="00B31BBE">
        <w:t xml:space="preserve"> of</w:t>
      </w:r>
      <w:r w:rsidRPr="009A562D">
        <w:t xml:space="preserve"> the vaccine, see section 6.6</w:t>
      </w:r>
      <w:r w:rsidR="0046144A">
        <w:t xml:space="preserve"> Special </w:t>
      </w:r>
      <w:r w:rsidR="00A304BE">
        <w:t>Precautions for Disposal</w:t>
      </w:r>
      <w:r w:rsidRPr="009A562D">
        <w:t>.</w:t>
      </w:r>
    </w:p>
    <w:p w14:paraId="20D62EA8" w14:textId="19878E1D" w:rsidR="001A3992" w:rsidRPr="009A562D" w:rsidRDefault="001A3992" w:rsidP="001A3992">
      <w:pPr>
        <w:pStyle w:val="Heading2"/>
        <w:spacing w:before="0" w:after="120"/>
      </w:pPr>
      <w:r w:rsidRPr="009A562D">
        <w:t>Contraindications</w:t>
      </w:r>
    </w:p>
    <w:p w14:paraId="0063A7B6" w14:textId="0746660E" w:rsidR="006A1A3C" w:rsidRPr="009A562D" w:rsidRDefault="006A1A3C" w:rsidP="006A1A3C">
      <w:r w:rsidRPr="009A562D">
        <w:t>Hypersensitivity to the active substance or to any of the excipients listed in section 6.1</w:t>
      </w:r>
      <w:r w:rsidR="00A304BE">
        <w:t xml:space="preserve"> List of Excipients</w:t>
      </w:r>
      <w:r w:rsidRPr="009A562D">
        <w:t>.</w:t>
      </w:r>
    </w:p>
    <w:p w14:paraId="53C8977B" w14:textId="77777777" w:rsidR="001A3992" w:rsidRPr="009A562D" w:rsidRDefault="00E74A56" w:rsidP="001A3992">
      <w:pPr>
        <w:pStyle w:val="Heading2"/>
        <w:spacing w:before="0" w:after="120"/>
      </w:pPr>
      <w:r w:rsidRPr="009A562D">
        <w:t>Special warnings and p</w:t>
      </w:r>
      <w:r w:rsidR="001A3992" w:rsidRPr="009A562D">
        <w:t xml:space="preserve">recautions </w:t>
      </w:r>
      <w:r w:rsidRPr="009A562D">
        <w:t>for use</w:t>
      </w:r>
    </w:p>
    <w:p w14:paraId="23045215" w14:textId="77777777" w:rsidR="006A1A3C" w:rsidRPr="00745460" w:rsidRDefault="006A1A3C" w:rsidP="00EF75DF">
      <w:pPr>
        <w:pStyle w:val="Heading3"/>
      </w:pPr>
      <w:r w:rsidRPr="77FB9B6A">
        <w:t>Hypersensitivity and anaphylaxis</w:t>
      </w:r>
    </w:p>
    <w:p w14:paraId="2A9A6A95" w14:textId="5AC2F160" w:rsidR="006A1A3C" w:rsidRPr="00637F08" w:rsidRDefault="006A1A3C" w:rsidP="00637F08">
      <w:pPr>
        <w:spacing w:line="240" w:lineRule="auto"/>
        <w:rPr>
          <w:color w:val="000000" w:themeColor="text1"/>
        </w:rPr>
      </w:pPr>
      <w:r w:rsidRPr="00637F08">
        <w:rPr>
          <w:color w:val="000000" w:themeColor="text1"/>
        </w:rPr>
        <w:t xml:space="preserve">Events of anaphylaxis have been reported with COVID-19 vaccines. Appropriate medical treatment and supervision should always be readily available in case of an anaphylactic reaction following the administration of the vaccine. </w:t>
      </w:r>
    </w:p>
    <w:p w14:paraId="347AC491" w14:textId="585C28DC" w:rsidR="006A1A3C" w:rsidRPr="00637F08" w:rsidRDefault="006A1A3C" w:rsidP="006A1A3C">
      <w:pPr>
        <w:spacing w:line="240" w:lineRule="auto"/>
        <w:rPr>
          <w:color w:val="000000" w:themeColor="text1"/>
        </w:rPr>
      </w:pPr>
      <w:r w:rsidRPr="00637F08">
        <w:rPr>
          <w:color w:val="000000" w:themeColor="text1"/>
        </w:rPr>
        <w:t xml:space="preserve">Close observation for at least 15 minutes is recommended following vaccination. A second dose of the vaccine should not be given to those who have experienced anaphylaxis to the first dose of </w:t>
      </w:r>
      <w:r w:rsidR="005F3D84" w:rsidRPr="00637F08">
        <w:rPr>
          <w:color w:val="000000" w:themeColor="text1"/>
        </w:rPr>
        <w:t>NUVAXOVID</w:t>
      </w:r>
      <w:r w:rsidRPr="00637F08">
        <w:rPr>
          <w:color w:val="000000" w:themeColor="text1"/>
        </w:rPr>
        <w:t xml:space="preserve">. </w:t>
      </w:r>
    </w:p>
    <w:p w14:paraId="29E32299" w14:textId="77777777" w:rsidR="006A1A3C" w:rsidRPr="00745460" w:rsidRDefault="006A1A3C" w:rsidP="00EF75DF">
      <w:pPr>
        <w:pStyle w:val="Heading3"/>
      </w:pPr>
      <w:r w:rsidRPr="77FB9B6A">
        <w:t>Anxiety-related reactions</w:t>
      </w:r>
    </w:p>
    <w:p w14:paraId="337E52CD" w14:textId="62985903" w:rsidR="006A1A3C" w:rsidRPr="00637F08" w:rsidRDefault="006A1A3C" w:rsidP="00637F08">
      <w:pPr>
        <w:spacing w:line="240" w:lineRule="auto"/>
        <w:rPr>
          <w:color w:val="000000" w:themeColor="text1"/>
        </w:rPr>
      </w:pPr>
      <w:r w:rsidRPr="00637F08">
        <w:rPr>
          <w:color w:val="000000" w:themeColor="text1"/>
        </w:rPr>
        <w:t xml:space="preserve">Anxiety-related reactions, including vasovagal reactions (syncope), hyperventilation, or stress‐related reactions may occur in association with vaccination as a psychogenic response to the needle injection. It is important that precautions are in place to avoid injury from fainting. </w:t>
      </w:r>
    </w:p>
    <w:p w14:paraId="4FE11FC7" w14:textId="77777777" w:rsidR="006A1A3C" w:rsidRPr="00745460" w:rsidRDefault="006A1A3C" w:rsidP="00EF75DF">
      <w:pPr>
        <w:pStyle w:val="Heading3"/>
      </w:pPr>
      <w:r w:rsidRPr="77FB9B6A">
        <w:t>Concurrent illness</w:t>
      </w:r>
    </w:p>
    <w:p w14:paraId="5CC45141" w14:textId="099BA0CF" w:rsidR="006A1A3C" w:rsidRPr="00637F08" w:rsidRDefault="006A1A3C" w:rsidP="00637F08">
      <w:pPr>
        <w:spacing w:line="240" w:lineRule="auto"/>
        <w:rPr>
          <w:color w:val="000000" w:themeColor="text1"/>
        </w:rPr>
      </w:pPr>
      <w:r w:rsidRPr="00637F08">
        <w:rPr>
          <w:color w:val="000000" w:themeColor="text1"/>
        </w:rPr>
        <w:t xml:space="preserve">Vaccination should be postponed in individuals suffering from an acute severe febrile illness or acute infection. The presence of a minor infection and/or low-grade fever should not delay vaccination. </w:t>
      </w:r>
    </w:p>
    <w:p w14:paraId="02E6F9B8" w14:textId="77777777" w:rsidR="006A1A3C" w:rsidRPr="00745460" w:rsidRDefault="006A1A3C" w:rsidP="00EF75DF">
      <w:pPr>
        <w:pStyle w:val="Heading3"/>
      </w:pPr>
      <w:r w:rsidRPr="77FB9B6A">
        <w:t>Thrombocytopenia and coagulation disorders</w:t>
      </w:r>
    </w:p>
    <w:p w14:paraId="08EAF7D8" w14:textId="3274DB13" w:rsidR="006A1A3C" w:rsidRPr="00637F08" w:rsidRDefault="006A1A3C" w:rsidP="00637F08">
      <w:pPr>
        <w:spacing w:line="240" w:lineRule="auto"/>
        <w:rPr>
          <w:color w:val="000000" w:themeColor="text1"/>
        </w:rPr>
      </w:pPr>
      <w:r w:rsidRPr="00637F08">
        <w:rPr>
          <w:color w:val="000000" w:themeColor="text1"/>
        </w:rPr>
        <w:t xml:space="preserve">As with other intramuscular injections, the vaccine should be given with caution in individuals receiving anticoagulant therapy or those with thrombocytopenia or any coagulation disorder (such </w:t>
      </w:r>
      <w:r w:rsidRPr="00637F08">
        <w:rPr>
          <w:color w:val="000000" w:themeColor="text1"/>
        </w:rPr>
        <w:lastRenderedPageBreak/>
        <w:t xml:space="preserve">as haemophilia) because bleeding or bruising may occur following an intramuscular administration in these individuals. </w:t>
      </w:r>
    </w:p>
    <w:p w14:paraId="6D9F6991" w14:textId="77777777" w:rsidR="006A1A3C" w:rsidRPr="00745460" w:rsidRDefault="006A1A3C" w:rsidP="00EF75DF">
      <w:pPr>
        <w:pStyle w:val="Heading3"/>
      </w:pPr>
      <w:r w:rsidRPr="2AF18351">
        <w:rPr>
          <w:noProof/>
        </w:rPr>
        <w:t>Immunocompromised</w:t>
      </w:r>
      <w:r w:rsidRPr="2AF18351">
        <w:t xml:space="preserve"> individuals</w:t>
      </w:r>
    </w:p>
    <w:p w14:paraId="3439B8F9" w14:textId="48053262" w:rsidR="006A1A3C" w:rsidRPr="00637F08" w:rsidRDefault="006A1A3C" w:rsidP="00637F08">
      <w:pPr>
        <w:spacing w:line="240" w:lineRule="auto"/>
        <w:rPr>
          <w:color w:val="000000" w:themeColor="text1"/>
        </w:rPr>
      </w:pPr>
      <w:r w:rsidRPr="00637F08">
        <w:rPr>
          <w:color w:val="000000" w:themeColor="text1"/>
        </w:rPr>
        <w:t xml:space="preserve">The efficacy, safety, and immunogenicity of the vaccine has been assessed in a limited number of immunocompromised individuals. The efficacy of </w:t>
      </w:r>
      <w:r w:rsidR="009A562D" w:rsidRPr="00637F08">
        <w:rPr>
          <w:color w:val="000000" w:themeColor="text1"/>
        </w:rPr>
        <w:t xml:space="preserve">NUVAXOVID </w:t>
      </w:r>
      <w:r w:rsidRPr="00637F08">
        <w:rPr>
          <w:color w:val="000000" w:themeColor="text1"/>
        </w:rPr>
        <w:t xml:space="preserve">may be lower in immunosuppressed individuals. </w:t>
      </w:r>
    </w:p>
    <w:p w14:paraId="556C0722" w14:textId="77777777" w:rsidR="006A1A3C" w:rsidRPr="00745460" w:rsidRDefault="006A1A3C" w:rsidP="00EF75DF">
      <w:pPr>
        <w:pStyle w:val="Heading3"/>
      </w:pPr>
      <w:r w:rsidRPr="2AF18351">
        <w:t>Duration of protection</w:t>
      </w:r>
    </w:p>
    <w:p w14:paraId="27C663DC" w14:textId="0A6AA236" w:rsidR="006A1A3C" w:rsidRPr="00637F08" w:rsidRDefault="006A1A3C" w:rsidP="006A1A3C">
      <w:pPr>
        <w:spacing w:line="240" w:lineRule="auto"/>
        <w:rPr>
          <w:color w:val="000000" w:themeColor="text1"/>
        </w:rPr>
      </w:pPr>
      <w:r w:rsidRPr="00637F08">
        <w:rPr>
          <w:color w:val="000000" w:themeColor="text1"/>
        </w:rPr>
        <w:t>The duration of protection afforded by the vaccine is unknown as it is still being determined by ongoing clinical trials.</w:t>
      </w:r>
      <w:r w:rsidRPr="2AF18351">
        <w:rPr>
          <w:color w:val="000000" w:themeColor="text1"/>
        </w:rPr>
        <w:t xml:space="preserve"> </w:t>
      </w:r>
    </w:p>
    <w:p w14:paraId="55D25C78" w14:textId="77777777" w:rsidR="006A1A3C" w:rsidRPr="00745460" w:rsidRDefault="006A1A3C" w:rsidP="00EF75DF">
      <w:pPr>
        <w:pStyle w:val="Heading3"/>
      </w:pPr>
      <w:r w:rsidRPr="65C6824B">
        <w:t>Limitations of vaccine effectiveness</w:t>
      </w:r>
    </w:p>
    <w:p w14:paraId="5E836B42" w14:textId="040D50DA" w:rsidR="006A1A3C" w:rsidRPr="00637F08" w:rsidRDefault="006A1A3C" w:rsidP="006A1A3C">
      <w:pPr>
        <w:spacing w:line="240" w:lineRule="auto"/>
        <w:rPr>
          <w:color w:val="000000" w:themeColor="text1"/>
        </w:rPr>
      </w:pPr>
      <w:r w:rsidRPr="00637F08">
        <w:rPr>
          <w:color w:val="000000" w:themeColor="text1"/>
        </w:rPr>
        <w:t xml:space="preserve">Individuals may not be fully protected until 7 days after their second dose. As with all vaccines, vaccination with </w:t>
      </w:r>
      <w:r w:rsidR="009A562D" w:rsidRPr="00637F08">
        <w:rPr>
          <w:color w:val="000000" w:themeColor="text1"/>
        </w:rPr>
        <w:t xml:space="preserve">NUVAXOVID </w:t>
      </w:r>
      <w:r w:rsidRPr="00637F08">
        <w:rPr>
          <w:color w:val="000000" w:themeColor="text1"/>
        </w:rPr>
        <w:t xml:space="preserve">may not protect all vaccine recipients. </w:t>
      </w:r>
    </w:p>
    <w:p w14:paraId="4BC14E87" w14:textId="77777777" w:rsidR="00AC4F18" w:rsidRPr="00745460" w:rsidRDefault="00AC4F18" w:rsidP="00AC4F18">
      <w:pPr>
        <w:pStyle w:val="Heading3"/>
      </w:pPr>
      <w:r w:rsidRPr="77FB9B6A">
        <w:t>Traceability</w:t>
      </w:r>
    </w:p>
    <w:p w14:paraId="51EE614A" w14:textId="77777777" w:rsidR="00AC4F18" w:rsidRPr="00637F08" w:rsidRDefault="00AC4F18" w:rsidP="00637F08">
      <w:pPr>
        <w:spacing w:line="240" w:lineRule="auto"/>
        <w:rPr>
          <w:color w:val="000000" w:themeColor="text1"/>
        </w:rPr>
      </w:pPr>
      <w:proofErr w:type="gramStart"/>
      <w:r w:rsidRPr="00637F08">
        <w:rPr>
          <w:color w:val="000000" w:themeColor="text1"/>
        </w:rPr>
        <w:t>In order to</w:t>
      </w:r>
      <w:proofErr w:type="gramEnd"/>
      <w:r w:rsidRPr="00637F08">
        <w:rPr>
          <w:color w:val="000000" w:themeColor="text1"/>
        </w:rPr>
        <w:t xml:space="preserve"> improve the traceability of biological medicinal products, the name and the batch number of the administered product should be recorded in the Australian Immunisation Register.</w:t>
      </w:r>
    </w:p>
    <w:p w14:paraId="53106CA0" w14:textId="3E0039C7" w:rsidR="001A3992" w:rsidRDefault="001A3992" w:rsidP="001A3992">
      <w:pPr>
        <w:pStyle w:val="Heading3"/>
        <w:spacing w:before="0" w:after="120"/>
      </w:pPr>
      <w:r w:rsidRPr="00B878CC">
        <w:t>Use in the elderly</w:t>
      </w:r>
    </w:p>
    <w:p w14:paraId="06E21B35" w14:textId="7DDEAED8" w:rsidR="004C2A15" w:rsidRPr="00637F08" w:rsidRDefault="004C2A15" w:rsidP="00637F08">
      <w:pPr>
        <w:spacing w:line="240" w:lineRule="auto"/>
        <w:rPr>
          <w:color w:val="000000" w:themeColor="text1"/>
        </w:rPr>
      </w:pPr>
      <w:r w:rsidRPr="00637F08">
        <w:rPr>
          <w:color w:val="000000" w:themeColor="text1"/>
        </w:rPr>
        <w:t>No dosage adjustment is required in individuals ≥ 65 years of age.</w:t>
      </w:r>
    </w:p>
    <w:p w14:paraId="38242924" w14:textId="2D1D1561" w:rsidR="001A3992" w:rsidRDefault="001A3992" w:rsidP="001A3992">
      <w:pPr>
        <w:pStyle w:val="Heading3"/>
        <w:spacing w:before="0" w:after="120"/>
      </w:pPr>
      <w:r w:rsidRPr="00B878CC">
        <w:t>Paediatric use</w:t>
      </w:r>
    </w:p>
    <w:p w14:paraId="4726B8CB" w14:textId="6A107C12" w:rsidR="004C2A15" w:rsidRPr="00637F08" w:rsidRDefault="004C2A15" w:rsidP="00637F08">
      <w:pPr>
        <w:spacing w:line="240" w:lineRule="auto"/>
        <w:rPr>
          <w:color w:val="000000" w:themeColor="text1"/>
        </w:rPr>
      </w:pPr>
      <w:r w:rsidRPr="00637F08">
        <w:rPr>
          <w:color w:val="000000" w:themeColor="text1"/>
        </w:rPr>
        <w:t xml:space="preserve">The safety and efficacy of </w:t>
      </w:r>
      <w:r w:rsidR="009A562D" w:rsidRPr="00637F08">
        <w:rPr>
          <w:color w:val="000000" w:themeColor="text1"/>
        </w:rPr>
        <w:t>NUVAXOVID</w:t>
      </w:r>
      <w:r w:rsidRPr="00637F08">
        <w:rPr>
          <w:color w:val="000000" w:themeColor="text1"/>
        </w:rPr>
        <w:t xml:space="preserve"> in children and adolescents less than 18 years of age have not yet been established. Limited data are available.</w:t>
      </w:r>
    </w:p>
    <w:p w14:paraId="5E4B1CF3" w14:textId="1389EAC3" w:rsidR="001A3992" w:rsidRDefault="001A3992" w:rsidP="001A3992">
      <w:pPr>
        <w:pStyle w:val="Heading3"/>
        <w:spacing w:before="0" w:after="120"/>
      </w:pPr>
      <w:r w:rsidRPr="00B878CC">
        <w:t>Effects on</w:t>
      </w:r>
      <w:r w:rsidRPr="00CC0D90">
        <w:t xml:space="preserve"> laboratory tests</w:t>
      </w:r>
    </w:p>
    <w:p w14:paraId="18108B0A" w14:textId="77777777" w:rsidR="004C2A15" w:rsidRPr="00637F08" w:rsidRDefault="004C2A15" w:rsidP="00637F08">
      <w:pPr>
        <w:spacing w:line="240" w:lineRule="auto"/>
        <w:rPr>
          <w:color w:val="000000" w:themeColor="text1"/>
        </w:rPr>
      </w:pPr>
      <w:r w:rsidRPr="00637F08">
        <w:rPr>
          <w:color w:val="000000" w:themeColor="text1"/>
        </w:rPr>
        <w:t>No data available.</w:t>
      </w:r>
    </w:p>
    <w:p w14:paraId="02A26C13" w14:textId="7060D6DD" w:rsidR="001A3992" w:rsidRDefault="001A3992" w:rsidP="001A3992">
      <w:pPr>
        <w:pStyle w:val="Heading2"/>
        <w:keepNext/>
        <w:keepLines/>
        <w:spacing w:before="0" w:after="120"/>
      </w:pPr>
      <w:r>
        <w:t>Interactions with other medicines and other forms of interactions</w:t>
      </w:r>
    </w:p>
    <w:p w14:paraId="740C603B" w14:textId="1C88A2A5" w:rsidR="0060635B" w:rsidRPr="00637F08" w:rsidRDefault="00FC4DCE" w:rsidP="00637F08">
      <w:pPr>
        <w:spacing w:line="240" w:lineRule="auto"/>
        <w:rPr>
          <w:color w:val="000000" w:themeColor="text1"/>
        </w:rPr>
      </w:pPr>
      <w:bookmarkStart w:id="13" w:name="_Hlk91588796"/>
      <w:r w:rsidRPr="00637F08">
        <w:rPr>
          <w:color w:val="000000" w:themeColor="text1"/>
        </w:rPr>
        <w:t xml:space="preserve">Co-administration of </w:t>
      </w:r>
      <w:r w:rsidR="009A562D" w:rsidRPr="00637F08">
        <w:rPr>
          <w:color w:val="000000" w:themeColor="text1"/>
        </w:rPr>
        <w:t xml:space="preserve">NUVAXOVID </w:t>
      </w:r>
      <w:r w:rsidRPr="00637F08">
        <w:rPr>
          <w:color w:val="000000" w:themeColor="text1"/>
        </w:rPr>
        <w:t xml:space="preserve">with inactivated influenza vaccines has been evaluated in </w:t>
      </w:r>
      <w:r w:rsidR="002D182B" w:rsidRPr="00637F08">
        <w:rPr>
          <w:color w:val="000000" w:themeColor="text1"/>
        </w:rPr>
        <w:t>a limited number of participants in an exploratory</w:t>
      </w:r>
      <w:r w:rsidRPr="00637F08">
        <w:rPr>
          <w:color w:val="000000" w:themeColor="text1"/>
        </w:rPr>
        <w:t xml:space="preserve"> clinical trial sub-study (2019nCoV-302)</w:t>
      </w:r>
      <w:r w:rsidR="0060635B" w:rsidRPr="00637F08">
        <w:rPr>
          <w:color w:val="000000" w:themeColor="text1"/>
        </w:rPr>
        <w:t>.</w:t>
      </w:r>
    </w:p>
    <w:p w14:paraId="47CBADE2" w14:textId="326BC96F" w:rsidR="00FC4DCE" w:rsidRPr="00637F08" w:rsidRDefault="0060635B" w:rsidP="00637F08">
      <w:pPr>
        <w:spacing w:line="240" w:lineRule="auto"/>
        <w:rPr>
          <w:color w:val="000000" w:themeColor="text1"/>
        </w:rPr>
      </w:pPr>
      <w:r w:rsidRPr="00637F08">
        <w:rPr>
          <w:color w:val="000000" w:themeColor="text1"/>
        </w:rPr>
        <w:t xml:space="preserve">The binding antibody response to SARS-CoV-2 was lower when NUVAXOVID was given concomitantly with inactivated influenza vaccine. </w:t>
      </w:r>
      <w:r w:rsidR="00EB3B6F" w:rsidRPr="00637F08">
        <w:rPr>
          <w:color w:val="000000" w:themeColor="text1"/>
        </w:rPr>
        <w:t>T</w:t>
      </w:r>
      <w:r w:rsidRPr="00637F08">
        <w:rPr>
          <w:color w:val="000000" w:themeColor="text1"/>
        </w:rPr>
        <w:t xml:space="preserve">he seroconversion rates of these participants, given NUVAXOVID and flu vaccine concomitantly, were </w:t>
      </w:r>
      <w:proofErr w:type="gramStart"/>
      <w:r w:rsidRPr="00637F08">
        <w:rPr>
          <w:color w:val="000000" w:themeColor="text1"/>
        </w:rPr>
        <w:t>similar to</w:t>
      </w:r>
      <w:proofErr w:type="gramEnd"/>
      <w:r w:rsidRPr="00637F08">
        <w:rPr>
          <w:color w:val="000000" w:themeColor="text1"/>
        </w:rPr>
        <w:t xml:space="preserve"> the seroconversion rates of the participants in the main study who received NUVAXOVID alone. </w:t>
      </w:r>
      <w:r w:rsidR="00EB3B6F" w:rsidRPr="00637F08">
        <w:rPr>
          <w:color w:val="000000" w:themeColor="text1"/>
        </w:rPr>
        <w:t>T</w:t>
      </w:r>
      <w:r w:rsidRPr="00637F08">
        <w:rPr>
          <w:color w:val="000000" w:themeColor="text1"/>
        </w:rPr>
        <w:t>he clinical significance of this is unknown</w:t>
      </w:r>
      <w:r w:rsidR="00FC4DCE" w:rsidRPr="00637F08">
        <w:rPr>
          <w:color w:val="000000" w:themeColor="text1"/>
        </w:rPr>
        <w:t xml:space="preserve">, see section 4.8 </w:t>
      </w:r>
      <w:r w:rsidR="00A304BE">
        <w:rPr>
          <w:color w:val="000000" w:themeColor="text1"/>
        </w:rPr>
        <w:t xml:space="preserve">Adverse Effects </w:t>
      </w:r>
      <w:r w:rsidR="00FC4DCE" w:rsidRPr="00637F08">
        <w:rPr>
          <w:color w:val="000000" w:themeColor="text1"/>
        </w:rPr>
        <w:t>and section 5.1</w:t>
      </w:r>
      <w:r w:rsidR="00A304BE">
        <w:rPr>
          <w:color w:val="000000" w:themeColor="text1"/>
        </w:rPr>
        <w:t xml:space="preserve"> Pharmacodynamic Properties</w:t>
      </w:r>
      <w:r w:rsidR="00FC4DCE" w:rsidRPr="00637F08">
        <w:rPr>
          <w:color w:val="000000" w:themeColor="text1"/>
        </w:rPr>
        <w:t xml:space="preserve">. Concomitant administration of </w:t>
      </w:r>
      <w:r w:rsidR="009A562D" w:rsidRPr="00637F08">
        <w:rPr>
          <w:color w:val="000000" w:themeColor="text1"/>
        </w:rPr>
        <w:t xml:space="preserve">NUVAXOVID </w:t>
      </w:r>
      <w:r w:rsidR="00FC4DCE" w:rsidRPr="00637F08">
        <w:rPr>
          <w:color w:val="000000" w:themeColor="text1"/>
        </w:rPr>
        <w:t>with other vaccines has not been studied.</w:t>
      </w:r>
    </w:p>
    <w:bookmarkEnd w:id="13"/>
    <w:p w14:paraId="2C18C78E" w14:textId="35FEA8E2" w:rsidR="001A3992" w:rsidRDefault="001A3992" w:rsidP="001A3992">
      <w:pPr>
        <w:pStyle w:val="Heading2"/>
        <w:spacing w:before="0" w:after="120"/>
      </w:pPr>
      <w:r>
        <w:t xml:space="preserve">Fertility, pregnancy and lactation </w:t>
      </w:r>
    </w:p>
    <w:p w14:paraId="4DAC6456" w14:textId="25901D4A" w:rsidR="001A3992" w:rsidRDefault="001A3992" w:rsidP="001A3992">
      <w:pPr>
        <w:pStyle w:val="Heading3"/>
        <w:spacing w:before="0" w:after="120"/>
      </w:pPr>
      <w:r w:rsidRPr="00B878CC">
        <w:t>Effects on fertility</w:t>
      </w:r>
    </w:p>
    <w:p w14:paraId="67F60C5F" w14:textId="03F692D5" w:rsidR="004C2A15" w:rsidRDefault="004C2A15" w:rsidP="009A562D">
      <w:pPr>
        <w:spacing w:line="240" w:lineRule="exact"/>
      </w:pPr>
      <w:r w:rsidRPr="009A562D">
        <w:t>Animal studies do not indicate direct or indirect harmful effects with respect to</w:t>
      </w:r>
      <w:r w:rsidR="000F34C9">
        <w:t xml:space="preserve"> </w:t>
      </w:r>
      <w:r w:rsidRPr="009A562D">
        <w:t xml:space="preserve">reproductive toxicity. </w:t>
      </w:r>
    </w:p>
    <w:p w14:paraId="1AD86A22" w14:textId="1E77EEEE" w:rsidR="006B3139" w:rsidRPr="009A562D" w:rsidRDefault="006B3139" w:rsidP="00EE3C16">
      <w:pPr>
        <w:spacing w:line="240" w:lineRule="auto"/>
      </w:pPr>
      <w:r>
        <w:t>A developmental and reproductive toxicity study was performed in female rats administered four intramuscular doses (</w:t>
      </w:r>
      <w:r w:rsidR="008B7FFA">
        <w:t>2</w:t>
      </w:r>
      <w:r>
        <w:t xml:space="preserve"> prior to mating; </w:t>
      </w:r>
      <w:r w:rsidR="008B7FFA">
        <w:t>2</w:t>
      </w:r>
      <w:r>
        <w:t xml:space="preserve"> during gestation) of 5 micrograms SARS-CoV-2 </w:t>
      </w:r>
      <w:proofErr w:type="spellStart"/>
      <w:r>
        <w:t>rS</w:t>
      </w:r>
      <w:proofErr w:type="spellEnd"/>
      <w:r>
        <w:t xml:space="preserve"> protein </w:t>
      </w:r>
      <w:r>
        <w:lastRenderedPageBreak/>
        <w:t xml:space="preserve">(approximately 200-fold excess relative to the human dose of 5 micrograms on a </w:t>
      </w:r>
      <w:r w:rsidR="00045401">
        <w:t>body surface-</w:t>
      </w:r>
      <w:r>
        <w:t xml:space="preserve">adjusted basis) with 10 micrograms Matrix-M adjuvant (approximately </w:t>
      </w:r>
      <w:r w:rsidR="00FD6C4C">
        <w:t>7</w:t>
      </w:r>
      <w:r>
        <w:t xml:space="preserve">-fold excess relative to the human dose of 50 micrograms on a </w:t>
      </w:r>
      <w:r w:rsidR="00417AFA">
        <w:t>body surface</w:t>
      </w:r>
      <w:r>
        <w:t xml:space="preserve">-adjusted basis). No vaccine-related adverse effects on </w:t>
      </w:r>
      <w:r w:rsidR="00FD6C4C">
        <w:t xml:space="preserve">female </w:t>
      </w:r>
      <w:r>
        <w:t>fertility, pregnancy/lactation, or development of the embryo/</w:t>
      </w:r>
      <w:proofErr w:type="spellStart"/>
      <w:r>
        <w:t>f</w:t>
      </w:r>
      <w:r w:rsidR="00452B43">
        <w:t>e</w:t>
      </w:r>
      <w:r>
        <w:t>tus</w:t>
      </w:r>
      <w:proofErr w:type="spellEnd"/>
      <w:r>
        <w:t xml:space="preserve"> and offspring through post-natal Day 21 were observed</w:t>
      </w:r>
      <w:r w:rsidR="00FD6C4C">
        <w:t>. The study did not evaluate effects on male fertility.</w:t>
      </w:r>
    </w:p>
    <w:p w14:paraId="6992083D" w14:textId="0B8B5F7A" w:rsidR="001A3992" w:rsidRDefault="001A3992" w:rsidP="005B2812">
      <w:pPr>
        <w:pStyle w:val="Heading3"/>
        <w:spacing w:before="0" w:after="120"/>
        <w:rPr>
          <w:rFonts w:cstheme="minorHAnsi"/>
        </w:rPr>
      </w:pPr>
      <w:r w:rsidRPr="00B878CC">
        <w:t xml:space="preserve">Use in pregnancy </w:t>
      </w:r>
      <w:r w:rsidR="005B2812" w:rsidRPr="00497C85">
        <w:rPr>
          <w:rFonts w:cstheme="minorHAnsi"/>
        </w:rPr>
        <w:t>– Pregnancy Category B</w:t>
      </w:r>
      <w:r w:rsidR="00EE3C16">
        <w:rPr>
          <w:rFonts w:cstheme="minorHAnsi"/>
        </w:rPr>
        <w:t>1</w:t>
      </w:r>
    </w:p>
    <w:p w14:paraId="03CDF66B" w14:textId="54220D04" w:rsidR="004C2A15" w:rsidRPr="009A562D" w:rsidRDefault="004C2A15" w:rsidP="009A562D">
      <w:pPr>
        <w:spacing w:line="240" w:lineRule="exact"/>
      </w:pPr>
      <w:r w:rsidRPr="009A562D">
        <w:t xml:space="preserve">There is limited experience with use of NUVAXOVID in pregnant women. </w:t>
      </w:r>
    </w:p>
    <w:p w14:paraId="4BAFF20F" w14:textId="0F223DA7" w:rsidR="004C2A15" w:rsidRPr="009A562D" w:rsidRDefault="00FD6C4C" w:rsidP="009A562D">
      <w:pPr>
        <w:spacing w:line="240" w:lineRule="exact"/>
      </w:pPr>
      <w:r>
        <w:t>A combined fertility and developmental toxicity study in rats</w:t>
      </w:r>
      <w:r w:rsidR="004C2A15" w:rsidRPr="009A562D">
        <w:t xml:space="preserve"> d</w:t>
      </w:r>
      <w:r w:rsidR="00EE3C16">
        <w:t xml:space="preserve">id not show vaccine related adverse effects on embryofetal development </w:t>
      </w:r>
      <w:r w:rsidR="004C2A15" w:rsidRPr="009A562D">
        <w:t xml:space="preserve">(see </w:t>
      </w:r>
      <w:r w:rsidR="006B3139">
        <w:t>Effects on fertility</w:t>
      </w:r>
      <w:r w:rsidR="004C2A15" w:rsidRPr="009A562D">
        <w:t>).</w:t>
      </w:r>
    </w:p>
    <w:p w14:paraId="0DEB01A1" w14:textId="4E1C7E7B" w:rsidR="004C2A15" w:rsidRPr="009A562D" w:rsidRDefault="004C2A15" w:rsidP="009A562D">
      <w:pPr>
        <w:spacing w:line="240" w:lineRule="exact"/>
      </w:pPr>
      <w:r>
        <w:t xml:space="preserve">Administration of </w:t>
      </w:r>
      <w:bookmarkStart w:id="14" w:name="_Hlk67482531"/>
      <w:r>
        <w:t xml:space="preserve">NUVAXOVID </w:t>
      </w:r>
      <w:bookmarkEnd w:id="14"/>
      <w:r>
        <w:t xml:space="preserve">in pregnancy should only be considered when the potential benefits outweigh any potential risks for the mother and </w:t>
      </w:r>
      <w:proofErr w:type="spellStart"/>
      <w:r>
        <w:t>fetus</w:t>
      </w:r>
      <w:proofErr w:type="spellEnd"/>
      <w:r>
        <w:t>.</w:t>
      </w:r>
    </w:p>
    <w:p w14:paraId="2252F390" w14:textId="56D89B46" w:rsidR="001A3992" w:rsidRDefault="001A3992" w:rsidP="001A3992">
      <w:pPr>
        <w:pStyle w:val="Heading3"/>
        <w:spacing w:before="0" w:after="120"/>
      </w:pPr>
      <w:r w:rsidRPr="00B878CC">
        <w:t>Use in</w:t>
      </w:r>
      <w:r w:rsidRPr="00164864">
        <w:t xml:space="preserve"> lactation. </w:t>
      </w:r>
    </w:p>
    <w:p w14:paraId="750A27C7" w14:textId="6A0C8C75" w:rsidR="001A7D8B" w:rsidRDefault="004C2A15" w:rsidP="009A562D">
      <w:pPr>
        <w:spacing w:line="240" w:lineRule="exact"/>
      </w:pPr>
      <w:r w:rsidRPr="009A562D">
        <w:t>It is unknown whether NUVAXOVID is excreted in human milk.</w:t>
      </w:r>
    </w:p>
    <w:p w14:paraId="6356A843" w14:textId="77777777" w:rsidR="001A3992" w:rsidRDefault="001A3992" w:rsidP="001A3992">
      <w:pPr>
        <w:pStyle w:val="Heading2"/>
        <w:spacing w:before="0" w:after="120"/>
      </w:pPr>
      <w:r w:rsidRPr="00EC3C40">
        <w:t>Effects</w:t>
      </w:r>
      <w:r>
        <w:t xml:space="preserve"> on ability to drive and use machines </w:t>
      </w:r>
    </w:p>
    <w:p w14:paraId="3BD17ADD" w14:textId="00F2D398" w:rsidR="006B3139" w:rsidRPr="00BD3279" w:rsidRDefault="009A562D" w:rsidP="00417AFA">
      <w:pPr>
        <w:spacing w:line="240" w:lineRule="auto"/>
      </w:pPr>
      <w:r>
        <w:t xml:space="preserve">NUVAXOVID has no or negligible influence on the ability to </w:t>
      </w:r>
      <w:r w:rsidR="005B2812" w:rsidRPr="009A562D">
        <w:t>drive and use machines</w:t>
      </w:r>
      <w:r>
        <w:t xml:space="preserve">. </w:t>
      </w:r>
      <w:r w:rsidR="001A7D8B">
        <w:t xml:space="preserve">However, some of the effects mentioned under section 4.8 </w:t>
      </w:r>
      <w:r w:rsidR="00A304BE">
        <w:t xml:space="preserve">Adverse Effects </w:t>
      </w:r>
      <w:r w:rsidR="001A7D8B">
        <w:t>may temporarily affect the ability to drive or use machines.</w:t>
      </w:r>
    </w:p>
    <w:p w14:paraId="2C706E4D" w14:textId="77777777" w:rsidR="001A3992" w:rsidRDefault="001A3992" w:rsidP="001A3992">
      <w:pPr>
        <w:pStyle w:val="Heading2"/>
        <w:keepNext/>
        <w:keepLines/>
        <w:spacing w:before="0" w:after="120"/>
      </w:pPr>
      <w:r>
        <w:t>Adverse effects (Undesirable effects)</w:t>
      </w:r>
    </w:p>
    <w:p w14:paraId="4451FE55" w14:textId="77777777" w:rsidR="00FC4DCE" w:rsidRPr="00745460" w:rsidRDefault="00FC4DCE" w:rsidP="00446B91">
      <w:pPr>
        <w:pStyle w:val="Heading3"/>
      </w:pPr>
      <w:bookmarkStart w:id="15" w:name="_Hlk80289498"/>
      <w:r w:rsidRPr="00745460">
        <w:t xml:space="preserve">Summary of safety profile </w:t>
      </w:r>
    </w:p>
    <w:p w14:paraId="7348C5CB" w14:textId="63133DA4" w:rsidR="000823B7" w:rsidRPr="00316ECA" w:rsidRDefault="00316ECA" w:rsidP="00FC4DCE">
      <w:pPr>
        <w:spacing w:line="240" w:lineRule="auto"/>
        <w:rPr>
          <w:i/>
          <w:iCs/>
          <w:noProof/>
        </w:rPr>
      </w:pPr>
      <w:bookmarkStart w:id="16" w:name="_Hlk101961023"/>
      <w:r w:rsidRPr="00316ECA">
        <w:rPr>
          <w:i/>
          <w:iCs/>
          <w:noProof/>
        </w:rPr>
        <w:t>Participants 18 years of age and older – after</w:t>
      </w:r>
      <w:r w:rsidR="006776E5">
        <w:rPr>
          <w:i/>
          <w:iCs/>
          <w:noProof/>
        </w:rPr>
        <w:t xml:space="preserve"> 2</w:t>
      </w:r>
      <w:r w:rsidRPr="00316ECA">
        <w:rPr>
          <w:i/>
          <w:iCs/>
          <w:noProof/>
        </w:rPr>
        <w:t xml:space="preserve">-dose primary series </w:t>
      </w:r>
    </w:p>
    <w:bookmarkEnd w:id="16"/>
    <w:p w14:paraId="70DD36A6" w14:textId="66C6CA38" w:rsidR="00FC4DCE" w:rsidRPr="00417AFA" w:rsidRDefault="00FC4DCE" w:rsidP="00FC4DCE">
      <w:pPr>
        <w:spacing w:line="240" w:lineRule="auto"/>
        <w:rPr>
          <w:noProof/>
        </w:rPr>
      </w:pPr>
      <w:r w:rsidRPr="5D3A42D4">
        <w:rPr>
          <w:noProof/>
        </w:rPr>
        <w:t>The safety of N</w:t>
      </w:r>
      <w:r w:rsidR="00AC4F18">
        <w:rPr>
          <w:noProof/>
        </w:rPr>
        <w:t>UVAXOVID</w:t>
      </w:r>
      <w:r w:rsidRPr="5D3A42D4">
        <w:rPr>
          <w:noProof/>
        </w:rPr>
        <w:t xml:space="preserve"> was evaluated from an interim analysis of pooled data from 5 ongoing clinical trials conducted in Australia, South Africa, the United Kingdom, and the United States and Mexico. At the time of the analysis, a total of 49,950 participants age 18 years and older received at least </w:t>
      </w:r>
      <w:r w:rsidR="008B7FFA">
        <w:rPr>
          <w:noProof/>
        </w:rPr>
        <w:t>1</w:t>
      </w:r>
      <w:r w:rsidRPr="5D3A42D4">
        <w:rPr>
          <w:noProof/>
        </w:rPr>
        <w:t xml:space="preserve"> dose of N</w:t>
      </w:r>
      <w:r w:rsidR="00AC4F18">
        <w:rPr>
          <w:noProof/>
        </w:rPr>
        <w:t>UVAXOVID</w:t>
      </w:r>
      <w:r w:rsidRPr="5D3A42D4">
        <w:rPr>
          <w:noProof/>
        </w:rPr>
        <w:t xml:space="preserve"> (n=30,058) or placebo (n=19,892). At the time of vaccination, the median age was 48 years (range 18 to 95 years).</w:t>
      </w:r>
      <w:r w:rsidR="006B316B">
        <w:rPr>
          <w:noProof/>
        </w:rPr>
        <w:t xml:space="preserve"> The median duration of follow-up was 70 days post-Dose 2, with 32,993 (66%) participants completing more than 2 months follow-up post-Dose 2.</w:t>
      </w:r>
      <w:r w:rsidRPr="5D3A42D4">
        <w:rPr>
          <w:noProof/>
        </w:rPr>
        <w:t xml:space="preserve"> </w:t>
      </w:r>
    </w:p>
    <w:bookmarkEnd w:id="15"/>
    <w:p w14:paraId="0B44EF34" w14:textId="6C2C683D" w:rsidR="00FC4DCE" w:rsidRPr="00417AFA" w:rsidRDefault="006B316B" w:rsidP="00F97B7C">
      <w:pPr>
        <w:autoSpaceDE w:val="0"/>
        <w:autoSpaceDN w:val="0"/>
        <w:adjustRightInd w:val="0"/>
        <w:spacing w:line="240" w:lineRule="auto"/>
        <w:rPr>
          <w:i/>
          <w:iCs/>
          <w:noProof/>
        </w:rPr>
      </w:pPr>
      <w:r>
        <w:rPr>
          <w:noProof/>
        </w:rPr>
        <w:t xml:space="preserve">Of the pooled reactogenicity data, which includes participants aged 18 and older enrolled in the 2 </w:t>
      </w:r>
      <w:r w:rsidR="00743A77">
        <w:rPr>
          <w:noProof/>
        </w:rPr>
        <w:t>P</w:t>
      </w:r>
      <w:r>
        <w:rPr>
          <w:noProof/>
        </w:rPr>
        <w:t xml:space="preserve">hase 3 studies who received </w:t>
      </w:r>
      <w:r w:rsidR="001C4B7C">
        <w:rPr>
          <w:noProof/>
        </w:rPr>
        <w:t>any</w:t>
      </w:r>
      <w:r>
        <w:rPr>
          <w:noProof/>
        </w:rPr>
        <w:t xml:space="preserve"> dose of NUVAXOVID (n=</w:t>
      </w:r>
      <w:r w:rsidR="001C4B7C">
        <w:rPr>
          <w:noProof/>
        </w:rPr>
        <w:t>20,055</w:t>
      </w:r>
      <w:r>
        <w:rPr>
          <w:noProof/>
        </w:rPr>
        <w:t>) or placebo (n=10,</w:t>
      </w:r>
      <w:r w:rsidR="001C4B7C">
        <w:rPr>
          <w:noProof/>
        </w:rPr>
        <w:t>561</w:t>
      </w:r>
      <w:r>
        <w:rPr>
          <w:noProof/>
        </w:rPr>
        <w:t>), t</w:t>
      </w:r>
      <w:r w:rsidR="00FC4DCE" w:rsidRPr="3ED2C5CD">
        <w:rPr>
          <w:noProof/>
        </w:rPr>
        <w:t xml:space="preserve">he most </w:t>
      </w:r>
      <w:r w:rsidR="00FC4DCE">
        <w:rPr>
          <w:noProof/>
        </w:rPr>
        <w:t>frequent</w:t>
      </w:r>
      <w:r w:rsidR="00FC4DCE" w:rsidRPr="3ED2C5CD">
        <w:rPr>
          <w:noProof/>
        </w:rPr>
        <w:t xml:space="preserve"> adverse reactions were </w:t>
      </w:r>
      <w:r w:rsidR="00FC4DCE" w:rsidRPr="2AF18351">
        <w:t>injection site tenderness (</w:t>
      </w:r>
      <w:r>
        <w:t>75</w:t>
      </w:r>
      <w:r w:rsidR="00FC4DCE" w:rsidRPr="2AF18351">
        <w:t>%), injection site pain (</w:t>
      </w:r>
      <w:r>
        <w:t>62</w:t>
      </w:r>
      <w:r w:rsidR="00FC4DCE">
        <w:rPr>
          <w:bCs/>
          <w:iCs/>
        </w:rPr>
        <w:t xml:space="preserve">%), </w:t>
      </w:r>
      <w:r w:rsidR="00FC4DCE">
        <w:rPr>
          <w:noProof/>
        </w:rPr>
        <w:t xml:space="preserve">fatigue </w:t>
      </w:r>
      <w:r w:rsidR="00FC4DCE" w:rsidRPr="3ED2C5CD">
        <w:rPr>
          <w:noProof/>
        </w:rPr>
        <w:t>(</w:t>
      </w:r>
      <w:r>
        <w:rPr>
          <w:noProof/>
        </w:rPr>
        <w:t>53</w:t>
      </w:r>
      <w:r w:rsidR="00FC4DCE" w:rsidRPr="3ED2C5CD">
        <w:rPr>
          <w:noProof/>
        </w:rPr>
        <w:t>%)</w:t>
      </w:r>
      <w:r w:rsidR="00FC4DCE">
        <w:rPr>
          <w:noProof/>
        </w:rPr>
        <w:t>, myalgia</w:t>
      </w:r>
      <w:r w:rsidR="00FC4DCE" w:rsidRPr="3ED2C5CD">
        <w:rPr>
          <w:noProof/>
        </w:rPr>
        <w:t xml:space="preserve"> (</w:t>
      </w:r>
      <w:r>
        <w:rPr>
          <w:noProof/>
        </w:rPr>
        <w:t>51</w:t>
      </w:r>
      <w:r w:rsidR="00FC4DCE" w:rsidRPr="3ED2C5CD">
        <w:rPr>
          <w:noProof/>
        </w:rPr>
        <w:t>%)</w:t>
      </w:r>
      <w:r w:rsidR="00FC4DCE">
        <w:rPr>
          <w:noProof/>
        </w:rPr>
        <w:t xml:space="preserve">, headache </w:t>
      </w:r>
      <w:r w:rsidR="00FC4DCE" w:rsidRPr="3ED2C5CD">
        <w:rPr>
          <w:noProof/>
        </w:rPr>
        <w:t>(</w:t>
      </w:r>
      <w:r>
        <w:rPr>
          <w:noProof/>
        </w:rPr>
        <w:t>50</w:t>
      </w:r>
      <w:r w:rsidR="00FC4DCE" w:rsidRPr="3ED2C5CD">
        <w:rPr>
          <w:noProof/>
        </w:rPr>
        <w:t>%)</w:t>
      </w:r>
      <w:r w:rsidR="00FC4DCE">
        <w:rPr>
          <w:noProof/>
        </w:rPr>
        <w:t xml:space="preserve">, </w:t>
      </w:r>
      <w:r w:rsidR="00EE60AB">
        <w:rPr>
          <w:noProof/>
        </w:rPr>
        <w:t>malaise</w:t>
      </w:r>
      <w:r w:rsidR="00EE60AB" w:rsidRPr="3ED2C5CD">
        <w:rPr>
          <w:noProof/>
        </w:rPr>
        <w:t xml:space="preserve"> </w:t>
      </w:r>
      <w:r w:rsidR="00EE60AB">
        <w:rPr>
          <w:noProof/>
        </w:rPr>
        <w:t>(</w:t>
      </w:r>
      <w:r>
        <w:rPr>
          <w:noProof/>
        </w:rPr>
        <w:t>41</w:t>
      </w:r>
      <w:r w:rsidR="00EE60AB">
        <w:rPr>
          <w:noProof/>
        </w:rPr>
        <w:t xml:space="preserve">%), </w:t>
      </w:r>
      <w:r w:rsidR="00EE60AB" w:rsidRPr="3ED2C5CD">
        <w:rPr>
          <w:noProof/>
        </w:rPr>
        <w:t xml:space="preserve"> </w:t>
      </w:r>
      <w:r w:rsidR="00FC4DCE" w:rsidRPr="5D3A42D4">
        <w:rPr>
          <w:noProof/>
        </w:rPr>
        <w:t>arthralgia (2</w:t>
      </w:r>
      <w:r>
        <w:rPr>
          <w:noProof/>
        </w:rPr>
        <w:t>4</w:t>
      </w:r>
      <w:r w:rsidR="00FC4DCE" w:rsidRPr="5D3A42D4">
        <w:rPr>
          <w:noProof/>
        </w:rPr>
        <w:t>%)</w:t>
      </w:r>
      <w:r w:rsidR="00FC4DCE">
        <w:rPr>
          <w:noProof/>
        </w:rPr>
        <w:t xml:space="preserve"> and </w:t>
      </w:r>
      <w:r w:rsidR="00FC4DCE" w:rsidRPr="3ED2C5CD">
        <w:rPr>
          <w:noProof/>
        </w:rPr>
        <w:t>nausea or vomiting</w:t>
      </w:r>
      <w:r w:rsidR="00FC4DCE">
        <w:rPr>
          <w:noProof/>
        </w:rPr>
        <w:t xml:space="preserve"> (1</w:t>
      </w:r>
      <w:r>
        <w:rPr>
          <w:noProof/>
        </w:rPr>
        <w:t>5</w:t>
      </w:r>
      <w:r w:rsidR="00FC4DCE" w:rsidRPr="006036E4">
        <w:rPr>
          <w:noProof/>
        </w:rPr>
        <w:t xml:space="preserve">%). Adverse reactions were usually </w:t>
      </w:r>
      <w:r w:rsidR="00FC4DCE" w:rsidRPr="3ED2C5CD">
        <w:rPr>
          <w:noProof/>
        </w:rPr>
        <w:t>mild to moderate</w:t>
      </w:r>
      <w:r w:rsidR="00FC4DCE" w:rsidRPr="006036E4">
        <w:rPr>
          <w:noProof/>
        </w:rPr>
        <w:t xml:space="preserve"> in severity </w:t>
      </w:r>
      <w:r w:rsidR="008E2ABA" w:rsidRPr="009E3C66">
        <w:rPr>
          <w:noProof/>
        </w:rPr>
        <w:t>with a median duration of less than or equal to 2 days for local events and less than or equal to 1 day for systemic events fo</w:t>
      </w:r>
      <w:r w:rsidR="00FC4DCE" w:rsidRPr="009E3C66">
        <w:rPr>
          <w:noProof/>
        </w:rPr>
        <w:t>llowing vaccination.</w:t>
      </w:r>
      <w:r w:rsidR="00FC4DCE" w:rsidRPr="5D3A42D4">
        <w:rPr>
          <w:noProof/>
        </w:rPr>
        <w:t xml:space="preserve"> </w:t>
      </w:r>
    </w:p>
    <w:p w14:paraId="679E6055" w14:textId="57555DE4" w:rsidR="006B316B" w:rsidRDefault="00743A77" w:rsidP="00F97B7C">
      <w:pPr>
        <w:autoSpaceDE w:val="0"/>
        <w:autoSpaceDN w:val="0"/>
        <w:adjustRightInd w:val="0"/>
        <w:spacing w:line="240" w:lineRule="auto"/>
        <w:rPr>
          <w:noProof/>
        </w:rPr>
      </w:pPr>
      <w:r>
        <w:rPr>
          <w:noProof/>
        </w:rPr>
        <w:t>O</w:t>
      </w:r>
      <w:r w:rsidR="006B316B">
        <w:rPr>
          <w:noProof/>
        </w:rPr>
        <w:t xml:space="preserve">verall, there was a higher incidence of adverse reactions in younger age groups: the incidence of injection site tenderness, injection site pain, fatigue, myalgia, headache, malaise, arthralgia, and nausea or vomiting was higher in </w:t>
      </w:r>
      <w:r w:rsidR="00E37A5E">
        <w:rPr>
          <w:noProof/>
        </w:rPr>
        <w:t>adults aged 18 to less than 65 years than those aged 65 years and above.</w:t>
      </w:r>
    </w:p>
    <w:p w14:paraId="0AB975FD" w14:textId="6F469008" w:rsidR="00FC4DCE" w:rsidRPr="006036E4" w:rsidRDefault="00E37A5E" w:rsidP="00F97B7C">
      <w:pPr>
        <w:autoSpaceDE w:val="0"/>
        <w:autoSpaceDN w:val="0"/>
        <w:adjustRightInd w:val="0"/>
        <w:spacing w:line="240" w:lineRule="auto"/>
        <w:rPr>
          <w:noProof/>
        </w:rPr>
      </w:pPr>
      <w:r>
        <w:rPr>
          <w:noProof/>
        </w:rPr>
        <w:t>L</w:t>
      </w:r>
      <w:r w:rsidR="00FC4DCE" w:rsidRPr="6EE6DBE9">
        <w:rPr>
          <w:noProof/>
        </w:rPr>
        <w:t>ocal and systemic adverse reactions were more frequently reported after Dose 2</w:t>
      </w:r>
      <w:r>
        <w:rPr>
          <w:noProof/>
        </w:rPr>
        <w:t xml:space="preserve"> than Dose 1</w:t>
      </w:r>
      <w:r w:rsidR="00FC4DCE" w:rsidRPr="6EE6DBE9">
        <w:rPr>
          <w:noProof/>
        </w:rPr>
        <w:t xml:space="preserve">. </w:t>
      </w:r>
    </w:p>
    <w:p w14:paraId="218B507C" w14:textId="25E0E10D" w:rsidR="00FC4DCE" w:rsidRPr="00417AFA" w:rsidRDefault="00FC4DCE" w:rsidP="00F97B7C">
      <w:pPr>
        <w:autoSpaceDE w:val="0"/>
        <w:autoSpaceDN w:val="0"/>
        <w:adjustRightInd w:val="0"/>
        <w:spacing w:line="240" w:lineRule="auto"/>
        <w:rPr>
          <w:i/>
          <w:iCs/>
          <w:noProof/>
        </w:rPr>
      </w:pPr>
      <w:r w:rsidRPr="5D3A42D4">
        <w:rPr>
          <w:noProof/>
        </w:rPr>
        <w:lastRenderedPageBreak/>
        <w:t>Licensed inactivated seasonal influenza vaccines were co-administered on the same day as the Dose 1 of N</w:t>
      </w:r>
      <w:r w:rsidR="005E7528">
        <w:rPr>
          <w:noProof/>
        </w:rPr>
        <w:t>UVAXOVID</w:t>
      </w:r>
      <w:r w:rsidRPr="5D3A42D4">
        <w:rPr>
          <w:noProof/>
        </w:rPr>
        <w:t xml:space="preserve"> (n=217) or placebo (n=214) in the opposite deltoid muscle of the arm in 431 participants enrolled in a</w:t>
      </w:r>
      <w:r w:rsidR="00E37A5E">
        <w:rPr>
          <w:noProof/>
        </w:rPr>
        <w:t>n exploratory</w:t>
      </w:r>
      <w:r w:rsidRPr="5D3A42D4">
        <w:rPr>
          <w:noProof/>
        </w:rPr>
        <w:t xml:space="preserve"> Phase 3 </w:t>
      </w:r>
      <w:r>
        <w:t>(2019nCoV-302) sub-study. The frequency of local and systemic adverse reactions in the influenza sub-study population was higher than in the main study population</w:t>
      </w:r>
      <w:r w:rsidRPr="5D3A42D4">
        <w:rPr>
          <w:noProof/>
        </w:rPr>
        <w:t xml:space="preserve"> following Dose 1 in both </w:t>
      </w:r>
      <w:r w:rsidR="005E7528" w:rsidRPr="5D3A42D4">
        <w:rPr>
          <w:noProof/>
        </w:rPr>
        <w:t>N</w:t>
      </w:r>
      <w:r w:rsidR="005E7528">
        <w:rPr>
          <w:noProof/>
        </w:rPr>
        <w:t>UVAXOVID</w:t>
      </w:r>
      <w:r w:rsidR="005E7528" w:rsidRPr="5D3A42D4">
        <w:rPr>
          <w:noProof/>
        </w:rPr>
        <w:t xml:space="preserve"> </w:t>
      </w:r>
      <w:r w:rsidRPr="5D3A42D4">
        <w:rPr>
          <w:noProof/>
        </w:rPr>
        <w:t xml:space="preserve">and placebo recipients. Frequences of solicted local and systemic adverse reactions were similar between the sub-study and main study populations following Dose 2 of </w:t>
      </w:r>
      <w:r w:rsidR="005E7528" w:rsidRPr="5D3A42D4">
        <w:rPr>
          <w:noProof/>
        </w:rPr>
        <w:t>N</w:t>
      </w:r>
      <w:r w:rsidR="005E7528">
        <w:rPr>
          <w:noProof/>
        </w:rPr>
        <w:t>UVAXOVID</w:t>
      </w:r>
      <w:r w:rsidRPr="5D3A42D4">
        <w:rPr>
          <w:noProof/>
        </w:rPr>
        <w:t xml:space="preserve"> alone. </w:t>
      </w:r>
    </w:p>
    <w:p w14:paraId="1FFBC210" w14:textId="1959102F" w:rsidR="000F34C9" w:rsidRPr="00417AFA" w:rsidRDefault="00FC4DCE" w:rsidP="00F97B7C">
      <w:pPr>
        <w:autoSpaceDE w:val="0"/>
        <w:autoSpaceDN w:val="0"/>
        <w:adjustRightInd w:val="0"/>
        <w:spacing w:line="240" w:lineRule="auto"/>
        <w:rPr>
          <w:i/>
          <w:iCs/>
          <w:noProof/>
        </w:rPr>
      </w:pPr>
      <w:r w:rsidRPr="6416E0F6">
        <w:rPr>
          <w:noProof/>
        </w:rPr>
        <w:t xml:space="preserve">Overall, a lower frequency of reactogenicity events was associated with greater age </w:t>
      </w:r>
      <w:r w:rsidRPr="008B7FFA">
        <w:rPr>
          <w:noProof/>
        </w:rPr>
        <w:t>across the 5 main studies and seasonal influenza vaccine sub-study.</w:t>
      </w:r>
      <w:r w:rsidR="000F34C9">
        <w:rPr>
          <w:noProof/>
        </w:rPr>
        <w:t xml:space="preserve"> </w:t>
      </w:r>
    </w:p>
    <w:p w14:paraId="6BA4708D" w14:textId="77777777" w:rsidR="00FC4DCE" w:rsidRPr="001F48A5" w:rsidRDefault="00FC4DCE" w:rsidP="00446B91">
      <w:pPr>
        <w:pStyle w:val="Heading3"/>
      </w:pPr>
      <w:r w:rsidRPr="006036E4">
        <w:t xml:space="preserve">Tabulated list of adverse </w:t>
      </w:r>
      <w:r w:rsidRPr="77FB9B6A">
        <w:t>reactions</w:t>
      </w:r>
      <w:r>
        <w:t xml:space="preserve"> </w:t>
      </w:r>
    </w:p>
    <w:p w14:paraId="012CA03F" w14:textId="77777777" w:rsidR="00FC4DCE" w:rsidRPr="001F48A5" w:rsidRDefault="00FC4DCE" w:rsidP="00FC4DCE">
      <w:pPr>
        <w:autoSpaceDE w:val="0"/>
        <w:autoSpaceDN w:val="0"/>
        <w:adjustRightInd w:val="0"/>
        <w:spacing w:line="240" w:lineRule="auto"/>
        <w:jc w:val="both"/>
      </w:pPr>
      <w:r>
        <w:t xml:space="preserve">Adverse reactions observed during clinical studies are listed below according to the following frequency categories: </w:t>
      </w:r>
    </w:p>
    <w:p w14:paraId="1B4FE5A6" w14:textId="31FE64F2" w:rsidR="00FC4DCE" w:rsidRPr="00446B91" w:rsidRDefault="00FC4DCE" w:rsidP="00093797">
      <w:pPr>
        <w:autoSpaceDE w:val="0"/>
        <w:autoSpaceDN w:val="0"/>
        <w:adjustRightInd w:val="0"/>
        <w:spacing w:line="240" w:lineRule="auto"/>
        <w:rPr>
          <w:noProof/>
        </w:rPr>
      </w:pPr>
      <w:r w:rsidRPr="00446B91">
        <w:t xml:space="preserve">Very common (≥ 1/10), </w:t>
      </w:r>
      <w:r w:rsidR="00093797">
        <w:br/>
      </w:r>
      <w:r w:rsidRPr="00446B91">
        <w:t xml:space="preserve">Common (≥ 1/100 to &lt; 1/10), </w:t>
      </w:r>
      <w:r w:rsidR="00093797">
        <w:br/>
      </w:r>
      <w:r w:rsidRPr="00446B91">
        <w:t xml:space="preserve">Uncommon (≥ 1/1,000 to &lt; 1/100), </w:t>
      </w:r>
      <w:r w:rsidR="00093797">
        <w:br/>
      </w:r>
      <w:r w:rsidRPr="00446B91">
        <w:t xml:space="preserve">Rare (≥ 1/10,000 to &lt; 1/1,000), </w:t>
      </w:r>
      <w:r w:rsidR="00093797">
        <w:br/>
      </w:r>
      <w:r w:rsidRPr="00446B91">
        <w:t>Very rare (&lt; 1/10,000),</w:t>
      </w:r>
      <w:r w:rsidR="00093797">
        <w:br/>
      </w:r>
      <w:r w:rsidRPr="00446B91">
        <w:t>Not known (cannot be estimated from the available data).</w:t>
      </w:r>
    </w:p>
    <w:p w14:paraId="44B624F4" w14:textId="4E8D5518" w:rsidR="004C2A15" w:rsidRPr="007B4E5C" w:rsidRDefault="004C2A15" w:rsidP="007F341E">
      <w:pPr>
        <w:keepNext/>
        <w:rPr>
          <w:b/>
          <w:bCs/>
          <w:sz w:val="23"/>
          <w:szCs w:val="23"/>
        </w:rPr>
      </w:pPr>
      <w:r>
        <w:rPr>
          <w:b/>
          <w:bCs/>
          <w:sz w:val="23"/>
          <w:szCs w:val="23"/>
        </w:rPr>
        <w:t xml:space="preserve">Table </w:t>
      </w:r>
      <w:r w:rsidR="00446B91">
        <w:rPr>
          <w:b/>
          <w:bCs/>
          <w:sz w:val="23"/>
          <w:szCs w:val="23"/>
        </w:rPr>
        <w:t>1</w:t>
      </w:r>
      <w:r>
        <w:rPr>
          <w:b/>
          <w:bCs/>
          <w:sz w:val="23"/>
          <w:szCs w:val="23"/>
        </w:rPr>
        <w:t>: Adverse reactions from clinical trials</w:t>
      </w:r>
    </w:p>
    <w:tbl>
      <w:tblPr>
        <w:tblStyle w:val="TableGrid"/>
        <w:tblW w:w="0" w:type="auto"/>
        <w:tblLook w:val="04A0" w:firstRow="1" w:lastRow="0" w:firstColumn="1" w:lastColumn="0" w:noHBand="0" w:noVBand="1"/>
      </w:tblPr>
      <w:tblGrid>
        <w:gridCol w:w="1495"/>
        <w:gridCol w:w="1220"/>
        <w:gridCol w:w="1168"/>
        <w:gridCol w:w="1754"/>
        <w:gridCol w:w="1446"/>
        <w:gridCol w:w="1417"/>
      </w:tblGrid>
      <w:tr w:rsidR="00477768" w:rsidRPr="00093797" w14:paraId="2ADE4ABD" w14:textId="77777777" w:rsidTr="00E76C64">
        <w:tc>
          <w:tcPr>
            <w:tcW w:w="1495" w:type="dxa"/>
          </w:tcPr>
          <w:p w14:paraId="686E23EC" w14:textId="5A4BEDB7" w:rsidR="00477768" w:rsidRPr="00093797" w:rsidRDefault="00477768" w:rsidP="00093797">
            <w:pPr>
              <w:keepNext/>
              <w:autoSpaceDE w:val="0"/>
              <w:autoSpaceDN w:val="0"/>
              <w:adjustRightInd w:val="0"/>
              <w:rPr>
                <w:b/>
                <w:bCs/>
                <w:sz w:val="18"/>
                <w:szCs w:val="18"/>
              </w:rPr>
            </w:pPr>
            <w:r w:rsidRPr="00093797">
              <w:rPr>
                <w:b/>
                <w:bCs/>
                <w:sz w:val="18"/>
                <w:szCs w:val="18"/>
              </w:rPr>
              <w:t>MedDRA System Organ Class</w:t>
            </w:r>
          </w:p>
        </w:tc>
        <w:tc>
          <w:tcPr>
            <w:tcW w:w="1220" w:type="dxa"/>
          </w:tcPr>
          <w:p w14:paraId="64650700" w14:textId="22C37F99" w:rsidR="00477768" w:rsidRPr="00093797" w:rsidRDefault="00477768" w:rsidP="00093797">
            <w:pPr>
              <w:keepNext/>
              <w:autoSpaceDE w:val="0"/>
              <w:autoSpaceDN w:val="0"/>
              <w:adjustRightInd w:val="0"/>
              <w:jc w:val="center"/>
              <w:rPr>
                <w:b/>
                <w:bCs/>
                <w:sz w:val="18"/>
                <w:szCs w:val="18"/>
                <w:vertAlign w:val="superscript"/>
              </w:rPr>
            </w:pPr>
            <w:r w:rsidRPr="00093797">
              <w:rPr>
                <w:b/>
                <w:bCs/>
                <w:sz w:val="18"/>
                <w:szCs w:val="18"/>
              </w:rPr>
              <w:t xml:space="preserve">Very common </w:t>
            </w:r>
            <w:r w:rsidRPr="00093797">
              <w:rPr>
                <w:b/>
                <w:bCs/>
                <w:sz w:val="18"/>
                <w:szCs w:val="18"/>
              </w:rPr>
              <w:br/>
              <w:t>(</w:t>
            </w:r>
            <w:r w:rsidRPr="00093797">
              <w:rPr>
                <w:rFonts w:cstheme="minorHAnsi"/>
                <w:b/>
                <w:bCs/>
                <w:sz w:val="18"/>
                <w:szCs w:val="18"/>
              </w:rPr>
              <w:t>≥</w:t>
            </w:r>
            <w:r w:rsidRPr="00093797">
              <w:rPr>
                <w:b/>
                <w:bCs/>
                <w:sz w:val="18"/>
                <w:szCs w:val="18"/>
              </w:rPr>
              <w:t xml:space="preserve"> 1/10)</w:t>
            </w:r>
          </w:p>
        </w:tc>
        <w:tc>
          <w:tcPr>
            <w:tcW w:w="1168" w:type="dxa"/>
          </w:tcPr>
          <w:p w14:paraId="12CA64EB" w14:textId="482DAACF" w:rsidR="00477768" w:rsidRPr="00093797" w:rsidRDefault="00477768" w:rsidP="00093797">
            <w:pPr>
              <w:keepNext/>
              <w:autoSpaceDE w:val="0"/>
              <w:autoSpaceDN w:val="0"/>
              <w:adjustRightInd w:val="0"/>
              <w:jc w:val="center"/>
              <w:rPr>
                <w:b/>
                <w:bCs/>
                <w:sz w:val="18"/>
                <w:szCs w:val="18"/>
              </w:rPr>
            </w:pPr>
            <w:r w:rsidRPr="00093797">
              <w:rPr>
                <w:b/>
                <w:bCs/>
                <w:sz w:val="18"/>
                <w:szCs w:val="18"/>
              </w:rPr>
              <w:t>Common</w:t>
            </w:r>
            <w:r w:rsidRPr="00093797">
              <w:rPr>
                <w:b/>
                <w:bCs/>
                <w:sz w:val="18"/>
                <w:szCs w:val="18"/>
              </w:rPr>
              <w:br/>
              <w:t>(</w:t>
            </w:r>
            <w:r w:rsidRPr="00093797">
              <w:rPr>
                <w:rFonts w:cstheme="minorHAnsi"/>
                <w:b/>
                <w:bCs/>
                <w:sz w:val="18"/>
                <w:szCs w:val="18"/>
              </w:rPr>
              <w:t>≥</w:t>
            </w:r>
            <w:r w:rsidRPr="00093797">
              <w:rPr>
                <w:b/>
                <w:bCs/>
                <w:sz w:val="18"/>
                <w:szCs w:val="18"/>
              </w:rPr>
              <w:t xml:space="preserve"> 1/100 to &lt; 1/10)</w:t>
            </w:r>
          </w:p>
        </w:tc>
        <w:tc>
          <w:tcPr>
            <w:tcW w:w="1754" w:type="dxa"/>
          </w:tcPr>
          <w:p w14:paraId="798E3DA5" w14:textId="02D91EAD" w:rsidR="00477768" w:rsidRPr="00093797" w:rsidRDefault="00477768" w:rsidP="00093797">
            <w:pPr>
              <w:keepNext/>
              <w:autoSpaceDE w:val="0"/>
              <w:autoSpaceDN w:val="0"/>
              <w:adjustRightInd w:val="0"/>
              <w:jc w:val="center"/>
              <w:rPr>
                <w:b/>
                <w:bCs/>
                <w:sz w:val="18"/>
                <w:szCs w:val="18"/>
              </w:rPr>
            </w:pPr>
            <w:r w:rsidRPr="00093797">
              <w:rPr>
                <w:b/>
                <w:bCs/>
                <w:sz w:val="18"/>
                <w:szCs w:val="18"/>
              </w:rPr>
              <w:t>Uncommon</w:t>
            </w:r>
            <w:r w:rsidRPr="00093797">
              <w:rPr>
                <w:b/>
                <w:bCs/>
                <w:sz w:val="18"/>
                <w:szCs w:val="18"/>
              </w:rPr>
              <w:br/>
              <w:t>(</w:t>
            </w:r>
            <w:r w:rsidRPr="00093797">
              <w:rPr>
                <w:rFonts w:cstheme="minorHAnsi"/>
                <w:b/>
                <w:bCs/>
                <w:sz w:val="18"/>
                <w:szCs w:val="18"/>
              </w:rPr>
              <w:t>≥</w:t>
            </w:r>
            <w:r w:rsidRPr="00093797">
              <w:rPr>
                <w:b/>
                <w:bCs/>
                <w:sz w:val="18"/>
                <w:szCs w:val="18"/>
              </w:rPr>
              <w:t xml:space="preserve"> 1/1</w:t>
            </w:r>
            <w:r>
              <w:rPr>
                <w:b/>
                <w:bCs/>
                <w:sz w:val="18"/>
                <w:szCs w:val="18"/>
              </w:rPr>
              <w:t>,00</w:t>
            </w:r>
            <w:r w:rsidRPr="00093797">
              <w:rPr>
                <w:b/>
                <w:bCs/>
                <w:sz w:val="18"/>
                <w:szCs w:val="18"/>
              </w:rPr>
              <w:t>0</w:t>
            </w:r>
            <w:r>
              <w:rPr>
                <w:b/>
                <w:bCs/>
                <w:sz w:val="18"/>
                <w:szCs w:val="18"/>
              </w:rPr>
              <w:t xml:space="preserve"> to &lt;1/100)</w:t>
            </w:r>
          </w:p>
        </w:tc>
        <w:tc>
          <w:tcPr>
            <w:tcW w:w="1446" w:type="dxa"/>
          </w:tcPr>
          <w:p w14:paraId="60DFDE92" w14:textId="11A559E0" w:rsidR="00477768" w:rsidRPr="00093797" w:rsidRDefault="00477768" w:rsidP="00093797">
            <w:pPr>
              <w:keepNext/>
              <w:autoSpaceDE w:val="0"/>
              <w:autoSpaceDN w:val="0"/>
              <w:adjustRightInd w:val="0"/>
              <w:jc w:val="center"/>
              <w:rPr>
                <w:b/>
                <w:bCs/>
                <w:sz w:val="18"/>
                <w:szCs w:val="18"/>
              </w:rPr>
            </w:pPr>
            <w:r w:rsidRPr="00093797">
              <w:rPr>
                <w:b/>
                <w:bCs/>
                <w:sz w:val="18"/>
                <w:szCs w:val="18"/>
              </w:rPr>
              <w:t>Rare</w:t>
            </w:r>
            <w:r w:rsidRPr="00093797">
              <w:rPr>
                <w:b/>
                <w:bCs/>
                <w:sz w:val="18"/>
                <w:szCs w:val="18"/>
              </w:rPr>
              <w:br/>
              <w:t>(</w:t>
            </w:r>
            <w:r w:rsidRPr="00093797">
              <w:rPr>
                <w:rFonts w:cstheme="minorHAnsi"/>
                <w:b/>
                <w:bCs/>
                <w:sz w:val="18"/>
                <w:szCs w:val="18"/>
              </w:rPr>
              <w:t>≥</w:t>
            </w:r>
            <w:r w:rsidRPr="00093797">
              <w:rPr>
                <w:b/>
                <w:bCs/>
                <w:sz w:val="18"/>
                <w:szCs w:val="18"/>
              </w:rPr>
              <w:t xml:space="preserve"> 1/10</w:t>
            </w:r>
            <w:r>
              <w:rPr>
                <w:b/>
                <w:bCs/>
                <w:sz w:val="18"/>
                <w:szCs w:val="18"/>
              </w:rPr>
              <w:t>,000 to &lt;1/1,000)</w:t>
            </w:r>
          </w:p>
        </w:tc>
        <w:tc>
          <w:tcPr>
            <w:tcW w:w="1417" w:type="dxa"/>
          </w:tcPr>
          <w:p w14:paraId="076A7C28" w14:textId="067BF623" w:rsidR="00477768" w:rsidRPr="00093797" w:rsidRDefault="00477768" w:rsidP="00093797">
            <w:pPr>
              <w:keepNext/>
              <w:autoSpaceDE w:val="0"/>
              <w:autoSpaceDN w:val="0"/>
              <w:adjustRightInd w:val="0"/>
              <w:jc w:val="center"/>
              <w:rPr>
                <w:b/>
                <w:bCs/>
                <w:sz w:val="18"/>
                <w:szCs w:val="18"/>
              </w:rPr>
            </w:pPr>
            <w:r w:rsidRPr="00093797">
              <w:rPr>
                <w:b/>
                <w:bCs/>
                <w:sz w:val="18"/>
                <w:szCs w:val="18"/>
              </w:rPr>
              <w:t>Very rare</w:t>
            </w:r>
            <w:r w:rsidRPr="00093797">
              <w:rPr>
                <w:b/>
                <w:bCs/>
                <w:sz w:val="18"/>
                <w:szCs w:val="18"/>
              </w:rPr>
              <w:br/>
              <w:t>(</w:t>
            </w:r>
            <w:r w:rsidRPr="00093797">
              <w:rPr>
                <w:rFonts w:cstheme="minorHAnsi"/>
                <w:b/>
                <w:bCs/>
                <w:sz w:val="18"/>
                <w:szCs w:val="18"/>
              </w:rPr>
              <w:t>≥</w:t>
            </w:r>
            <w:r w:rsidRPr="00093797">
              <w:rPr>
                <w:b/>
                <w:bCs/>
                <w:sz w:val="18"/>
                <w:szCs w:val="18"/>
              </w:rPr>
              <w:t xml:space="preserve"> 1/10,000)</w:t>
            </w:r>
          </w:p>
        </w:tc>
      </w:tr>
      <w:tr w:rsidR="00477768" w:rsidRPr="00093797" w14:paraId="3925BB0D" w14:textId="77777777" w:rsidTr="00E76C64">
        <w:tc>
          <w:tcPr>
            <w:tcW w:w="1495" w:type="dxa"/>
          </w:tcPr>
          <w:p w14:paraId="0D79900A" w14:textId="528A6C3F" w:rsidR="00477768" w:rsidRPr="00093797" w:rsidRDefault="00477768" w:rsidP="00EB13EA">
            <w:pPr>
              <w:keepNext/>
              <w:autoSpaceDE w:val="0"/>
              <w:autoSpaceDN w:val="0"/>
              <w:adjustRightInd w:val="0"/>
              <w:rPr>
                <w:sz w:val="18"/>
                <w:szCs w:val="18"/>
              </w:rPr>
            </w:pPr>
            <w:r>
              <w:rPr>
                <w:sz w:val="18"/>
                <w:szCs w:val="18"/>
              </w:rPr>
              <w:t>Blood and lymphatic system disorders</w:t>
            </w:r>
          </w:p>
        </w:tc>
        <w:tc>
          <w:tcPr>
            <w:tcW w:w="1220" w:type="dxa"/>
          </w:tcPr>
          <w:p w14:paraId="0B979518" w14:textId="2380944B" w:rsidR="00477768" w:rsidRPr="00093797" w:rsidRDefault="00477768" w:rsidP="00EB13EA">
            <w:pPr>
              <w:keepNext/>
              <w:autoSpaceDE w:val="0"/>
              <w:autoSpaceDN w:val="0"/>
              <w:adjustRightInd w:val="0"/>
              <w:rPr>
                <w:sz w:val="18"/>
                <w:szCs w:val="18"/>
              </w:rPr>
            </w:pPr>
          </w:p>
        </w:tc>
        <w:tc>
          <w:tcPr>
            <w:tcW w:w="1168" w:type="dxa"/>
          </w:tcPr>
          <w:p w14:paraId="513F7BCE" w14:textId="77777777" w:rsidR="00477768" w:rsidRPr="00093797" w:rsidRDefault="00477768" w:rsidP="00EB13EA">
            <w:pPr>
              <w:keepNext/>
              <w:autoSpaceDE w:val="0"/>
              <w:autoSpaceDN w:val="0"/>
              <w:adjustRightInd w:val="0"/>
              <w:rPr>
                <w:sz w:val="18"/>
                <w:szCs w:val="18"/>
              </w:rPr>
            </w:pPr>
          </w:p>
        </w:tc>
        <w:tc>
          <w:tcPr>
            <w:tcW w:w="1754" w:type="dxa"/>
          </w:tcPr>
          <w:p w14:paraId="0B7D6F9F" w14:textId="2D717ACF" w:rsidR="00477768" w:rsidRPr="00093797" w:rsidRDefault="00477768" w:rsidP="00EB13EA">
            <w:pPr>
              <w:keepNext/>
              <w:autoSpaceDE w:val="0"/>
              <w:autoSpaceDN w:val="0"/>
              <w:adjustRightInd w:val="0"/>
              <w:rPr>
                <w:sz w:val="18"/>
                <w:szCs w:val="18"/>
              </w:rPr>
            </w:pPr>
            <w:r w:rsidRPr="2711C94B">
              <w:rPr>
                <w:sz w:val="18"/>
                <w:szCs w:val="18"/>
              </w:rPr>
              <w:t>Lymphadenopathy</w:t>
            </w:r>
          </w:p>
        </w:tc>
        <w:tc>
          <w:tcPr>
            <w:tcW w:w="1446" w:type="dxa"/>
          </w:tcPr>
          <w:p w14:paraId="662FDBCF" w14:textId="77777777" w:rsidR="00477768" w:rsidRPr="00093797" w:rsidRDefault="00477768" w:rsidP="00EB13EA">
            <w:pPr>
              <w:keepNext/>
              <w:autoSpaceDE w:val="0"/>
              <w:autoSpaceDN w:val="0"/>
              <w:adjustRightInd w:val="0"/>
              <w:rPr>
                <w:sz w:val="18"/>
                <w:szCs w:val="18"/>
              </w:rPr>
            </w:pPr>
          </w:p>
        </w:tc>
        <w:tc>
          <w:tcPr>
            <w:tcW w:w="1417" w:type="dxa"/>
          </w:tcPr>
          <w:p w14:paraId="5510851D" w14:textId="77777777" w:rsidR="00477768" w:rsidRPr="00093797" w:rsidRDefault="00477768" w:rsidP="00EB13EA">
            <w:pPr>
              <w:keepNext/>
              <w:autoSpaceDE w:val="0"/>
              <w:autoSpaceDN w:val="0"/>
              <w:adjustRightInd w:val="0"/>
              <w:rPr>
                <w:sz w:val="18"/>
                <w:szCs w:val="18"/>
              </w:rPr>
            </w:pPr>
          </w:p>
        </w:tc>
      </w:tr>
      <w:tr w:rsidR="00477768" w:rsidRPr="00093797" w14:paraId="017FA290" w14:textId="77777777" w:rsidTr="00E76C64">
        <w:tc>
          <w:tcPr>
            <w:tcW w:w="1495" w:type="dxa"/>
          </w:tcPr>
          <w:p w14:paraId="2AEF353A" w14:textId="7158E7DF" w:rsidR="00477768" w:rsidRPr="00093797" w:rsidRDefault="00477768" w:rsidP="00093797">
            <w:pPr>
              <w:keepNext/>
              <w:autoSpaceDE w:val="0"/>
              <w:autoSpaceDN w:val="0"/>
              <w:adjustRightInd w:val="0"/>
              <w:rPr>
                <w:sz w:val="18"/>
                <w:szCs w:val="18"/>
              </w:rPr>
            </w:pPr>
            <w:r w:rsidRPr="00093797">
              <w:rPr>
                <w:sz w:val="18"/>
                <w:szCs w:val="18"/>
              </w:rPr>
              <w:t xml:space="preserve">Nervous system disorders </w:t>
            </w:r>
          </w:p>
        </w:tc>
        <w:tc>
          <w:tcPr>
            <w:tcW w:w="1220" w:type="dxa"/>
          </w:tcPr>
          <w:p w14:paraId="35D9CBFC" w14:textId="635888B7" w:rsidR="00477768" w:rsidRPr="00093797" w:rsidRDefault="00477768" w:rsidP="00093797">
            <w:pPr>
              <w:keepNext/>
              <w:autoSpaceDE w:val="0"/>
              <w:autoSpaceDN w:val="0"/>
              <w:adjustRightInd w:val="0"/>
              <w:rPr>
                <w:sz w:val="18"/>
                <w:szCs w:val="18"/>
              </w:rPr>
            </w:pPr>
            <w:r w:rsidRPr="00093797">
              <w:rPr>
                <w:sz w:val="18"/>
                <w:szCs w:val="18"/>
              </w:rPr>
              <w:t>Headache</w:t>
            </w:r>
          </w:p>
        </w:tc>
        <w:tc>
          <w:tcPr>
            <w:tcW w:w="1168" w:type="dxa"/>
          </w:tcPr>
          <w:p w14:paraId="7F735B2F" w14:textId="77777777" w:rsidR="00477768" w:rsidRPr="00093797" w:rsidRDefault="00477768" w:rsidP="00093797">
            <w:pPr>
              <w:keepNext/>
              <w:autoSpaceDE w:val="0"/>
              <w:autoSpaceDN w:val="0"/>
              <w:adjustRightInd w:val="0"/>
              <w:rPr>
                <w:sz w:val="18"/>
                <w:szCs w:val="18"/>
              </w:rPr>
            </w:pPr>
          </w:p>
        </w:tc>
        <w:tc>
          <w:tcPr>
            <w:tcW w:w="1754" w:type="dxa"/>
          </w:tcPr>
          <w:p w14:paraId="077E15B6" w14:textId="77777777" w:rsidR="00477768" w:rsidRPr="00093797" w:rsidRDefault="00477768" w:rsidP="00093797">
            <w:pPr>
              <w:keepNext/>
              <w:autoSpaceDE w:val="0"/>
              <w:autoSpaceDN w:val="0"/>
              <w:adjustRightInd w:val="0"/>
              <w:rPr>
                <w:sz w:val="18"/>
                <w:szCs w:val="18"/>
              </w:rPr>
            </w:pPr>
          </w:p>
        </w:tc>
        <w:tc>
          <w:tcPr>
            <w:tcW w:w="1446" w:type="dxa"/>
          </w:tcPr>
          <w:p w14:paraId="0B138F82" w14:textId="77777777" w:rsidR="00477768" w:rsidRPr="00093797" w:rsidRDefault="00477768" w:rsidP="00093797">
            <w:pPr>
              <w:keepNext/>
              <w:autoSpaceDE w:val="0"/>
              <w:autoSpaceDN w:val="0"/>
              <w:adjustRightInd w:val="0"/>
              <w:rPr>
                <w:sz w:val="18"/>
                <w:szCs w:val="18"/>
              </w:rPr>
            </w:pPr>
          </w:p>
        </w:tc>
        <w:tc>
          <w:tcPr>
            <w:tcW w:w="1417" w:type="dxa"/>
          </w:tcPr>
          <w:p w14:paraId="08751E09" w14:textId="77777777" w:rsidR="00477768" w:rsidRPr="00093797" w:rsidRDefault="00477768" w:rsidP="00093797">
            <w:pPr>
              <w:keepNext/>
              <w:autoSpaceDE w:val="0"/>
              <w:autoSpaceDN w:val="0"/>
              <w:adjustRightInd w:val="0"/>
              <w:rPr>
                <w:sz w:val="18"/>
                <w:szCs w:val="18"/>
              </w:rPr>
            </w:pPr>
          </w:p>
        </w:tc>
      </w:tr>
      <w:tr w:rsidR="00477768" w:rsidRPr="00093797" w14:paraId="4F3BF8B3" w14:textId="77777777" w:rsidTr="00E76C64">
        <w:tc>
          <w:tcPr>
            <w:tcW w:w="1495" w:type="dxa"/>
          </w:tcPr>
          <w:p w14:paraId="2D89AF61" w14:textId="77777777" w:rsidR="00477768" w:rsidRPr="00093797" w:rsidRDefault="00477768" w:rsidP="00EB13EA">
            <w:pPr>
              <w:keepNext/>
              <w:autoSpaceDE w:val="0"/>
              <w:autoSpaceDN w:val="0"/>
              <w:adjustRightInd w:val="0"/>
              <w:rPr>
                <w:sz w:val="18"/>
                <w:szCs w:val="18"/>
              </w:rPr>
            </w:pPr>
            <w:r>
              <w:rPr>
                <w:sz w:val="18"/>
                <w:szCs w:val="18"/>
              </w:rPr>
              <w:t>Vascular disorders</w:t>
            </w:r>
          </w:p>
        </w:tc>
        <w:tc>
          <w:tcPr>
            <w:tcW w:w="1220" w:type="dxa"/>
          </w:tcPr>
          <w:p w14:paraId="1619F568" w14:textId="77777777" w:rsidR="00477768" w:rsidRPr="00093797" w:rsidRDefault="00477768" w:rsidP="00EB13EA">
            <w:pPr>
              <w:keepNext/>
              <w:autoSpaceDE w:val="0"/>
              <w:autoSpaceDN w:val="0"/>
              <w:adjustRightInd w:val="0"/>
              <w:rPr>
                <w:sz w:val="18"/>
                <w:szCs w:val="18"/>
              </w:rPr>
            </w:pPr>
          </w:p>
        </w:tc>
        <w:tc>
          <w:tcPr>
            <w:tcW w:w="1168" w:type="dxa"/>
          </w:tcPr>
          <w:p w14:paraId="7CE85019" w14:textId="77777777" w:rsidR="00477768" w:rsidRPr="00093797" w:rsidRDefault="00477768" w:rsidP="00EB13EA">
            <w:pPr>
              <w:keepNext/>
              <w:autoSpaceDE w:val="0"/>
              <w:autoSpaceDN w:val="0"/>
              <w:adjustRightInd w:val="0"/>
              <w:rPr>
                <w:sz w:val="18"/>
                <w:szCs w:val="18"/>
              </w:rPr>
            </w:pPr>
          </w:p>
        </w:tc>
        <w:tc>
          <w:tcPr>
            <w:tcW w:w="1754" w:type="dxa"/>
          </w:tcPr>
          <w:p w14:paraId="7755CD8F" w14:textId="77777777" w:rsidR="00477768" w:rsidRPr="00093797" w:rsidRDefault="00477768" w:rsidP="00EB13EA">
            <w:pPr>
              <w:keepNext/>
              <w:autoSpaceDE w:val="0"/>
              <w:autoSpaceDN w:val="0"/>
              <w:adjustRightInd w:val="0"/>
              <w:rPr>
                <w:sz w:val="18"/>
                <w:szCs w:val="18"/>
              </w:rPr>
            </w:pPr>
            <w:r>
              <w:rPr>
                <w:sz w:val="18"/>
                <w:szCs w:val="18"/>
              </w:rPr>
              <w:t>Hypertension</w:t>
            </w:r>
          </w:p>
        </w:tc>
        <w:tc>
          <w:tcPr>
            <w:tcW w:w="1446" w:type="dxa"/>
          </w:tcPr>
          <w:p w14:paraId="31BBD82B" w14:textId="77777777" w:rsidR="00477768" w:rsidRPr="00093797" w:rsidRDefault="00477768" w:rsidP="00EB13EA">
            <w:pPr>
              <w:keepNext/>
              <w:autoSpaceDE w:val="0"/>
              <w:autoSpaceDN w:val="0"/>
              <w:adjustRightInd w:val="0"/>
              <w:rPr>
                <w:sz w:val="18"/>
                <w:szCs w:val="18"/>
              </w:rPr>
            </w:pPr>
          </w:p>
        </w:tc>
        <w:tc>
          <w:tcPr>
            <w:tcW w:w="1417" w:type="dxa"/>
          </w:tcPr>
          <w:p w14:paraId="0E60AEC9" w14:textId="77777777" w:rsidR="00477768" w:rsidRPr="00093797" w:rsidRDefault="00477768" w:rsidP="00EB13EA">
            <w:pPr>
              <w:keepNext/>
              <w:autoSpaceDE w:val="0"/>
              <w:autoSpaceDN w:val="0"/>
              <w:adjustRightInd w:val="0"/>
              <w:rPr>
                <w:sz w:val="18"/>
                <w:szCs w:val="18"/>
              </w:rPr>
            </w:pPr>
          </w:p>
        </w:tc>
      </w:tr>
      <w:tr w:rsidR="00477768" w:rsidRPr="00093797" w14:paraId="204A5893" w14:textId="77777777" w:rsidTr="00E76C64">
        <w:tc>
          <w:tcPr>
            <w:tcW w:w="1495" w:type="dxa"/>
          </w:tcPr>
          <w:p w14:paraId="69C087EC" w14:textId="7AC45A55" w:rsidR="00477768" w:rsidRPr="00093797" w:rsidRDefault="00477768" w:rsidP="00093797">
            <w:pPr>
              <w:keepNext/>
              <w:autoSpaceDE w:val="0"/>
              <w:autoSpaceDN w:val="0"/>
              <w:adjustRightInd w:val="0"/>
              <w:rPr>
                <w:sz w:val="18"/>
                <w:szCs w:val="18"/>
              </w:rPr>
            </w:pPr>
            <w:r w:rsidRPr="00093797">
              <w:rPr>
                <w:sz w:val="18"/>
                <w:szCs w:val="18"/>
              </w:rPr>
              <w:t xml:space="preserve">Gastrointestinal disorders </w:t>
            </w:r>
          </w:p>
        </w:tc>
        <w:tc>
          <w:tcPr>
            <w:tcW w:w="1220" w:type="dxa"/>
          </w:tcPr>
          <w:p w14:paraId="1A2B5216" w14:textId="3F0B6FBF" w:rsidR="00477768" w:rsidRPr="00093797" w:rsidRDefault="00477768" w:rsidP="00093797">
            <w:pPr>
              <w:keepNext/>
              <w:autoSpaceDE w:val="0"/>
              <w:autoSpaceDN w:val="0"/>
              <w:adjustRightInd w:val="0"/>
              <w:rPr>
                <w:sz w:val="18"/>
                <w:szCs w:val="18"/>
              </w:rPr>
            </w:pPr>
            <w:r w:rsidRPr="00093797">
              <w:rPr>
                <w:sz w:val="18"/>
                <w:szCs w:val="18"/>
              </w:rPr>
              <w:t xml:space="preserve">Nausea or </w:t>
            </w:r>
            <w:proofErr w:type="spellStart"/>
            <w:r w:rsidRPr="00093797">
              <w:rPr>
                <w:sz w:val="18"/>
                <w:szCs w:val="18"/>
              </w:rPr>
              <w:t>vomiting</w:t>
            </w:r>
            <w:r w:rsidRPr="00093797">
              <w:rPr>
                <w:sz w:val="18"/>
                <w:szCs w:val="18"/>
                <w:vertAlign w:val="superscript"/>
              </w:rPr>
              <w:t>a</w:t>
            </w:r>
            <w:proofErr w:type="spellEnd"/>
          </w:p>
        </w:tc>
        <w:tc>
          <w:tcPr>
            <w:tcW w:w="1168" w:type="dxa"/>
          </w:tcPr>
          <w:p w14:paraId="0AF8D84F" w14:textId="77777777" w:rsidR="00477768" w:rsidRPr="00093797" w:rsidRDefault="00477768" w:rsidP="00093797">
            <w:pPr>
              <w:keepNext/>
              <w:autoSpaceDE w:val="0"/>
              <w:autoSpaceDN w:val="0"/>
              <w:adjustRightInd w:val="0"/>
              <w:rPr>
                <w:sz w:val="18"/>
                <w:szCs w:val="18"/>
              </w:rPr>
            </w:pPr>
          </w:p>
        </w:tc>
        <w:tc>
          <w:tcPr>
            <w:tcW w:w="1754" w:type="dxa"/>
          </w:tcPr>
          <w:p w14:paraId="078EF8AA" w14:textId="77777777" w:rsidR="00477768" w:rsidRPr="00093797" w:rsidRDefault="00477768" w:rsidP="00093797">
            <w:pPr>
              <w:keepNext/>
              <w:autoSpaceDE w:val="0"/>
              <w:autoSpaceDN w:val="0"/>
              <w:adjustRightInd w:val="0"/>
              <w:rPr>
                <w:sz w:val="18"/>
                <w:szCs w:val="18"/>
              </w:rPr>
            </w:pPr>
          </w:p>
        </w:tc>
        <w:tc>
          <w:tcPr>
            <w:tcW w:w="1446" w:type="dxa"/>
          </w:tcPr>
          <w:p w14:paraId="12E63A72" w14:textId="77777777" w:rsidR="00477768" w:rsidRPr="00093797" w:rsidRDefault="00477768" w:rsidP="00093797">
            <w:pPr>
              <w:keepNext/>
              <w:autoSpaceDE w:val="0"/>
              <w:autoSpaceDN w:val="0"/>
              <w:adjustRightInd w:val="0"/>
              <w:rPr>
                <w:sz w:val="18"/>
                <w:szCs w:val="18"/>
              </w:rPr>
            </w:pPr>
          </w:p>
        </w:tc>
        <w:tc>
          <w:tcPr>
            <w:tcW w:w="1417" w:type="dxa"/>
          </w:tcPr>
          <w:p w14:paraId="255CF318" w14:textId="77777777" w:rsidR="00477768" w:rsidRPr="00093797" w:rsidRDefault="00477768" w:rsidP="00093797">
            <w:pPr>
              <w:keepNext/>
              <w:autoSpaceDE w:val="0"/>
              <w:autoSpaceDN w:val="0"/>
              <w:adjustRightInd w:val="0"/>
              <w:rPr>
                <w:sz w:val="18"/>
                <w:szCs w:val="18"/>
              </w:rPr>
            </w:pPr>
          </w:p>
        </w:tc>
      </w:tr>
      <w:tr w:rsidR="00477768" w:rsidRPr="00093797" w14:paraId="0D4708C0" w14:textId="77777777" w:rsidTr="00E76C64">
        <w:tc>
          <w:tcPr>
            <w:tcW w:w="1495" w:type="dxa"/>
          </w:tcPr>
          <w:p w14:paraId="145FADFA" w14:textId="01D44AD4" w:rsidR="00477768" w:rsidRPr="00093797" w:rsidDel="00E37A5E" w:rsidRDefault="00477768" w:rsidP="00093797">
            <w:pPr>
              <w:keepNext/>
              <w:autoSpaceDE w:val="0"/>
              <w:autoSpaceDN w:val="0"/>
              <w:adjustRightInd w:val="0"/>
              <w:rPr>
                <w:sz w:val="18"/>
                <w:szCs w:val="18"/>
              </w:rPr>
            </w:pPr>
            <w:r>
              <w:rPr>
                <w:sz w:val="18"/>
                <w:szCs w:val="18"/>
              </w:rPr>
              <w:t>Skin and subcutaneous tissue disorders</w:t>
            </w:r>
          </w:p>
        </w:tc>
        <w:tc>
          <w:tcPr>
            <w:tcW w:w="1220" w:type="dxa"/>
          </w:tcPr>
          <w:p w14:paraId="35A20A31" w14:textId="77777777" w:rsidR="00477768" w:rsidRPr="00093797" w:rsidRDefault="00477768" w:rsidP="00093797">
            <w:pPr>
              <w:keepNext/>
              <w:autoSpaceDE w:val="0"/>
              <w:autoSpaceDN w:val="0"/>
              <w:adjustRightInd w:val="0"/>
              <w:rPr>
                <w:sz w:val="18"/>
                <w:szCs w:val="18"/>
              </w:rPr>
            </w:pPr>
          </w:p>
        </w:tc>
        <w:tc>
          <w:tcPr>
            <w:tcW w:w="1168" w:type="dxa"/>
          </w:tcPr>
          <w:p w14:paraId="246DC063" w14:textId="77777777" w:rsidR="00477768" w:rsidRPr="00093797" w:rsidRDefault="00477768" w:rsidP="00093797">
            <w:pPr>
              <w:keepNext/>
              <w:autoSpaceDE w:val="0"/>
              <w:autoSpaceDN w:val="0"/>
              <w:adjustRightInd w:val="0"/>
              <w:rPr>
                <w:sz w:val="18"/>
                <w:szCs w:val="18"/>
              </w:rPr>
            </w:pPr>
          </w:p>
        </w:tc>
        <w:tc>
          <w:tcPr>
            <w:tcW w:w="1754" w:type="dxa"/>
          </w:tcPr>
          <w:p w14:paraId="3082AEC3" w14:textId="1996BF1F" w:rsidR="00477768" w:rsidRDefault="00477768" w:rsidP="00093797">
            <w:pPr>
              <w:keepNext/>
              <w:autoSpaceDE w:val="0"/>
              <w:autoSpaceDN w:val="0"/>
              <w:adjustRightInd w:val="0"/>
              <w:rPr>
                <w:sz w:val="18"/>
                <w:szCs w:val="18"/>
              </w:rPr>
            </w:pPr>
            <w:r>
              <w:rPr>
                <w:sz w:val="18"/>
                <w:szCs w:val="18"/>
              </w:rPr>
              <w:t>Rash</w:t>
            </w:r>
          </w:p>
          <w:p w14:paraId="1E1F8E22" w14:textId="7D52C64A" w:rsidR="00477768" w:rsidRDefault="00477768" w:rsidP="00093797">
            <w:pPr>
              <w:keepNext/>
              <w:autoSpaceDE w:val="0"/>
              <w:autoSpaceDN w:val="0"/>
              <w:adjustRightInd w:val="0"/>
              <w:rPr>
                <w:sz w:val="18"/>
                <w:szCs w:val="18"/>
              </w:rPr>
            </w:pPr>
            <w:r>
              <w:rPr>
                <w:sz w:val="18"/>
                <w:szCs w:val="18"/>
              </w:rPr>
              <w:t>Erythema</w:t>
            </w:r>
          </w:p>
          <w:p w14:paraId="7C157851" w14:textId="4C1CC8C2" w:rsidR="00477768" w:rsidRDefault="00477768" w:rsidP="00093797">
            <w:pPr>
              <w:keepNext/>
              <w:autoSpaceDE w:val="0"/>
              <w:autoSpaceDN w:val="0"/>
              <w:adjustRightInd w:val="0"/>
              <w:rPr>
                <w:sz w:val="18"/>
                <w:szCs w:val="18"/>
              </w:rPr>
            </w:pPr>
            <w:r>
              <w:rPr>
                <w:sz w:val="18"/>
                <w:szCs w:val="18"/>
              </w:rPr>
              <w:t>Pruritus</w:t>
            </w:r>
          </w:p>
          <w:p w14:paraId="217A4D7D" w14:textId="7EA50B08" w:rsidR="00477768" w:rsidRPr="00093797" w:rsidRDefault="00477768" w:rsidP="00093797">
            <w:pPr>
              <w:keepNext/>
              <w:autoSpaceDE w:val="0"/>
              <w:autoSpaceDN w:val="0"/>
              <w:adjustRightInd w:val="0"/>
              <w:rPr>
                <w:sz w:val="18"/>
                <w:szCs w:val="18"/>
              </w:rPr>
            </w:pPr>
            <w:r>
              <w:rPr>
                <w:sz w:val="18"/>
                <w:szCs w:val="18"/>
              </w:rPr>
              <w:t xml:space="preserve">Urticaria </w:t>
            </w:r>
          </w:p>
        </w:tc>
        <w:tc>
          <w:tcPr>
            <w:tcW w:w="1446" w:type="dxa"/>
          </w:tcPr>
          <w:p w14:paraId="6BFB7EBD" w14:textId="77777777" w:rsidR="00477768" w:rsidRPr="00093797" w:rsidDel="00E37A5E" w:rsidRDefault="00477768" w:rsidP="00093797">
            <w:pPr>
              <w:keepNext/>
              <w:autoSpaceDE w:val="0"/>
              <w:autoSpaceDN w:val="0"/>
              <w:adjustRightInd w:val="0"/>
              <w:rPr>
                <w:sz w:val="18"/>
                <w:szCs w:val="18"/>
              </w:rPr>
            </w:pPr>
          </w:p>
        </w:tc>
        <w:tc>
          <w:tcPr>
            <w:tcW w:w="1417" w:type="dxa"/>
          </w:tcPr>
          <w:p w14:paraId="2A39F9B2" w14:textId="77777777" w:rsidR="00477768" w:rsidRPr="00093797" w:rsidRDefault="00477768" w:rsidP="00093797">
            <w:pPr>
              <w:keepNext/>
              <w:autoSpaceDE w:val="0"/>
              <w:autoSpaceDN w:val="0"/>
              <w:adjustRightInd w:val="0"/>
              <w:rPr>
                <w:sz w:val="18"/>
                <w:szCs w:val="18"/>
              </w:rPr>
            </w:pPr>
          </w:p>
        </w:tc>
      </w:tr>
      <w:tr w:rsidR="00477768" w:rsidRPr="00093797" w14:paraId="163CA196" w14:textId="77777777" w:rsidTr="00E76C64">
        <w:tc>
          <w:tcPr>
            <w:tcW w:w="1495" w:type="dxa"/>
          </w:tcPr>
          <w:p w14:paraId="395E9219" w14:textId="44D258DC" w:rsidR="00477768" w:rsidRPr="00093797" w:rsidRDefault="00477768" w:rsidP="00093797">
            <w:pPr>
              <w:keepNext/>
              <w:autoSpaceDE w:val="0"/>
              <w:autoSpaceDN w:val="0"/>
              <w:adjustRightInd w:val="0"/>
              <w:rPr>
                <w:sz w:val="18"/>
                <w:szCs w:val="18"/>
              </w:rPr>
            </w:pPr>
            <w:r w:rsidRPr="00093797">
              <w:rPr>
                <w:sz w:val="18"/>
                <w:szCs w:val="18"/>
              </w:rPr>
              <w:t xml:space="preserve">Musculoskeletal and connective tissue disorders </w:t>
            </w:r>
          </w:p>
        </w:tc>
        <w:tc>
          <w:tcPr>
            <w:tcW w:w="1220" w:type="dxa"/>
          </w:tcPr>
          <w:p w14:paraId="7C178FF6" w14:textId="425481FC" w:rsidR="00477768" w:rsidRPr="00093797" w:rsidRDefault="00477768" w:rsidP="00093797">
            <w:pPr>
              <w:keepNext/>
              <w:autoSpaceDE w:val="0"/>
              <w:autoSpaceDN w:val="0"/>
              <w:adjustRightInd w:val="0"/>
              <w:rPr>
                <w:sz w:val="18"/>
                <w:szCs w:val="18"/>
              </w:rPr>
            </w:pPr>
            <w:proofErr w:type="spellStart"/>
            <w:r w:rsidRPr="00093797">
              <w:rPr>
                <w:sz w:val="18"/>
                <w:szCs w:val="18"/>
              </w:rPr>
              <w:t>Myalgia</w:t>
            </w:r>
            <w:r w:rsidRPr="00093797">
              <w:rPr>
                <w:sz w:val="18"/>
                <w:szCs w:val="18"/>
                <w:vertAlign w:val="superscript"/>
              </w:rPr>
              <w:t>a</w:t>
            </w:r>
            <w:proofErr w:type="spellEnd"/>
            <w:r w:rsidRPr="00093797">
              <w:rPr>
                <w:sz w:val="18"/>
                <w:szCs w:val="18"/>
              </w:rPr>
              <w:t xml:space="preserve">, </w:t>
            </w:r>
            <w:r w:rsidRPr="00093797">
              <w:rPr>
                <w:sz w:val="18"/>
                <w:szCs w:val="18"/>
              </w:rPr>
              <w:br/>
            </w:r>
            <w:proofErr w:type="spellStart"/>
            <w:r w:rsidRPr="00093797">
              <w:rPr>
                <w:sz w:val="18"/>
                <w:szCs w:val="18"/>
              </w:rPr>
              <w:t>Arthralgia</w:t>
            </w:r>
            <w:r w:rsidRPr="00093797">
              <w:rPr>
                <w:sz w:val="18"/>
                <w:szCs w:val="18"/>
                <w:vertAlign w:val="superscript"/>
              </w:rPr>
              <w:t>a</w:t>
            </w:r>
            <w:proofErr w:type="spellEnd"/>
          </w:p>
        </w:tc>
        <w:tc>
          <w:tcPr>
            <w:tcW w:w="1168" w:type="dxa"/>
          </w:tcPr>
          <w:p w14:paraId="2EFACA21" w14:textId="77777777" w:rsidR="00477768" w:rsidRPr="00093797" w:rsidRDefault="00477768" w:rsidP="00093797">
            <w:pPr>
              <w:keepNext/>
              <w:autoSpaceDE w:val="0"/>
              <w:autoSpaceDN w:val="0"/>
              <w:adjustRightInd w:val="0"/>
              <w:rPr>
                <w:sz w:val="18"/>
                <w:szCs w:val="18"/>
              </w:rPr>
            </w:pPr>
          </w:p>
        </w:tc>
        <w:tc>
          <w:tcPr>
            <w:tcW w:w="1754" w:type="dxa"/>
          </w:tcPr>
          <w:p w14:paraId="66290DE8" w14:textId="77777777" w:rsidR="00477768" w:rsidRPr="00093797" w:rsidRDefault="00477768" w:rsidP="00093797">
            <w:pPr>
              <w:keepNext/>
              <w:autoSpaceDE w:val="0"/>
              <w:autoSpaceDN w:val="0"/>
              <w:adjustRightInd w:val="0"/>
              <w:rPr>
                <w:sz w:val="18"/>
                <w:szCs w:val="18"/>
              </w:rPr>
            </w:pPr>
          </w:p>
        </w:tc>
        <w:tc>
          <w:tcPr>
            <w:tcW w:w="1446" w:type="dxa"/>
          </w:tcPr>
          <w:p w14:paraId="500766C8" w14:textId="77777777" w:rsidR="00477768" w:rsidRPr="00093797" w:rsidRDefault="00477768" w:rsidP="00093797">
            <w:pPr>
              <w:keepNext/>
              <w:autoSpaceDE w:val="0"/>
              <w:autoSpaceDN w:val="0"/>
              <w:adjustRightInd w:val="0"/>
              <w:rPr>
                <w:sz w:val="18"/>
                <w:szCs w:val="18"/>
              </w:rPr>
            </w:pPr>
          </w:p>
        </w:tc>
        <w:tc>
          <w:tcPr>
            <w:tcW w:w="1417" w:type="dxa"/>
          </w:tcPr>
          <w:p w14:paraId="46FED6E8" w14:textId="77777777" w:rsidR="00477768" w:rsidRPr="00093797" w:rsidRDefault="00477768" w:rsidP="00093797">
            <w:pPr>
              <w:keepNext/>
              <w:autoSpaceDE w:val="0"/>
              <w:autoSpaceDN w:val="0"/>
              <w:adjustRightInd w:val="0"/>
              <w:rPr>
                <w:sz w:val="18"/>
                <w:szCs w:val="18"/>
              </w:rPr>
            </w:pPr>
          </w:p>
        </w:tc>
      </w:tr>
      <w:tr w:rsidR="00477768" w:rsidRPr="00093797" w14:paraId="564E28ED" w14:textId="77777777" w:rsidTr="00E76C64">
        <w:tc>
          <w:tcPr>
            <w:tcW w:w="1495" w:type="dxa"/>
          </w:tcPr>
          <w:p w14:paraId="045530CF" w14:textId="54A7D17A" w:rsidR="00477768" w:rsidRPr="00093797" w:rsidRDefault="00477768" w:rsidP="00093797">
            <w:pPr>
              <w:keepNext/>
              <w:autoSpaceDE w:val="0"/>
              <w:autoSpaceDN w:val="0"/>
              <w:adjustRightInd w:val="0"/>
              <w:rPr>
                <w:sz w:val="18"/>
                <w:szCs w:val="18"/>
              </w:rPr>
            </w:pPr>
            <w:r w:rsidRPr="00093797">
              <w:rPr>
                <w:sz w:val="18"/>
                <w:szCs w:val="18"/>
              </w:rPr>
              <w:t xml:space="preserve">General disorders and administration site conditions </w:t>
            </w:r>
          </w:p>
        </w:tc>
        <w:tc>
          <w:tcPr>
            <w:tcW w:w="1220" w:type="dxa"/>
          </w:tcPr>
          <w:p w14:paraId="36AFAE68" w14:textId="7D91FAC3" w:rsidR="00477768" w:rsidRPr="005D0540" w:rsidRDefault="00477768" w:rsidP="00093797">
            <w:pPr>
              <w:pStyle w:val="NormalIndent"/>
              <w:keepNext/>
              <w:spacing w:after="0"/>
              <w:ind w:left="0"/>
              <w:rPr>
                <w:rFonts w:asciiTheme="minorHAnsi" w:eastAsiaTheme="minorHAnsi" w:hAnsiTheme="minorHAnsi" w:cstheme="minorBidi"/>
                <w:sz w:val="18"/>
                <w:szCs w:val="18"/>
                <w:lang w:val="fr-CA" w:eastAsia="en-US"/>
              </w:rPr>
            </w:pPr>
            <w:r w:rsidRPr="005D0540">
              <w:rPr>
                <w:rFonts w:asciiTheme="minorHAnsi" w:eastAsiaTheme="minorHAnsi" w:hAnsiTheme="minorHAnsi" w:cstheme="minorBidi"/>
                <w:sz w:val="18"/>
                <w:szCs w:val="18"/>
                <w:lang w:val="fr-CA" w:eastAsia="en-US"/>
              </w:rPr>
              <w:t xml:space="preserve">Injection site </w:t>
            </w:r>
            <w:proofErr w:type="spellStart"/>
            <w:r w:rsidRPr="005D0540">
              <w:rPr>
                <w:rFonts w:asciiTheme="minorHAnsi" w:eastAsiaTheme="minorHAnsi" w:hAnsiTheme="minorHAnsi" w:cstheme="minorBidi"/>
                <w:sz w:val="18"/>
                <w:szCs w:val="18"/>
                <w:lang w:val="fr-CA" w:eastAsia="en-US"/>
              </w:rPr>
              <w:t>tenderness</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t xml:space="preserve">Injection site </w:t>
            </w:r>
            <w:proofErr w:type="spellStart"/>
            <w:r w:rsidRPr="005D0540">
              <w:rPr>
                <w:rFonts w:asciiTheme="minorHAnsi" w:eastAsiaTheme="minorHAnsi" w:hAnsiTheme="minorHAnsi" w:cstheme="minorBidi"/>
                <w:sz w:val="18"/>
                <w:szCs w:val="18"/>
                <w:lang w:val="fr-CA" w:eastAsia="en-US"/>
              </w:rPr>
              <w:t>pain</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r>
            <w:proofErr w:type="spellStart"/>
            <w:r w:rsidRPr="005D0540">
              <w:rPr>
                <w:rFonts w:asciiTheme="minorHAnsi" w:eastAsiaTheme="minorHAnsi" w:hAnsiTheme="minorHAnsi" w:cstheme="minorBidi"/>
                <w:sz w:val="18"/>
                <w:szCs w:val="18"/>
                <w:lang w:val="fr-CA" w:eastAsia="en-US"/>
              </w:rPr>
              <w:t>Fatigue</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r>
            <w:proofErr w:type="spellStart"/>
            <w:r w:rsidRPr="005D0540">
              <w:rPr>
                <w:rFonts w:asciiTheme="minorHAnsi" w:eastAsiaTheme="minorHAnsi" w:hAnsiTheme="minorHAnsi" w:cstheme="minorBidi"/>
                <w:sz w:val="18"/>
                <w:szCs w:val="18"/>
                <w:lang w:val="fr-CA" w:eastAsia="en-US"/>
              </w:rPr>
              <w:t>Malaise</w:t>
            </w:r>
            <w:r w:rsidRPr="005D0540">
              <w:rPr>
                <w:sz w:val="18"/>
                <w:szCs w:val="18"/>
                <w:vertAlign w:val="superscript"/>
                <w:lang w:val="fr-CA"/>
              </w:rPr>
              <w:t>a</w:t>
            </w:r>
            <w:proofErr w:type="spellEnd"/>
            <w:r w:rsidRPr="005D0540">
              <w:rPr>
                <w:sz w:val="18"/>
                <w:szCs w:val="18"/>
                <w:vertAlign w:val="superscript"/>
                <w:lang w:val="fr-CA"/>
              </w:rPr>
              <w:t>, b</w:t>
            </w:r>
          </w:p>
          <w:p w14:paraId="533E3437" w14:textId="77777777" w:rsidR="00477768" w:rsidRPr="005D0540" w:rsidRDefault="00477768" w:rsidP="00093797">
            <w:pPr>
              <w:keepNext/>
              <w:autoSpaceDE w:val="0"/>
              <w:autoSpaceDN w:val="0"/>
              <w:adjustRightInd w:val="0"/>
              <w:rPr>
                <w:sz w:val="18"/>
                <w:szCs w:val="18"/>
                <w:lang w:val="fr-CA"/>
              </w:rPr>
            </w:pPr>
          </w:p>
        </w:tc>
        <w:tc>
          <w:tcPr>
            <w:tcW w:w="1168" w:type="dxa"/>
          </w:tcPr>
          <w:p w14:paraId="1465F29B" w14:textId="3C854A32" w:rsidR="00477768" w:rsidRPr="00093797" w:rsidRDefault="00477768" w:rsidP="00093797">
            <w:pPr>
              <w:keepNext/>
              <w:autoSpaceDE w:val="0"/>
              <w:autoSpaceDN w:val="0"/>
              <w:adjustRightInd w:val="0"/>
              <w:rPr>
                <w:sz w:val="18"/>
                <w:szCs w:val="18"/>
              </w:rPr>
            </w:pPr>
            <w:r w:rsidRPr="00093797">
              <w:rPr>
                <w:sz w:val="18"/>
                <w:szCs w:val="18"/>
              </w:rPr>
              <w:t xml:space="preserve">Injection site </w:t>
            </w:r>
            <w:proofErr w:type="spellStart"/>
            <w:proofErr w:type="gramStart"/>
            <w:r w:rsidRPr="00093797">
              <w:rPr>
                <w:sz w:val="18"/>
                <w:szCs w:val="18"/>
              </w:rPr>
              <w:t>redness</w:t>
            </w:r>
            <w:r w:rsidRPr="00093797">
              <w:rPr>
                <w:sz w:val="18"/>
                <w:szCs w:val="18"/>
                <w:vertAlign w:val="superscript"/>
              </w:rPr>
              <w:t>a</w:t>
            </w:r>
            <w:r>
              <w:rPr>
                <w:sz w:val="18"/>
                <w:szCs w:val="18"/>
                <w:vertAlign w:val="superscript"/>
              </w:rPr>
              <w:t>,c</w:t>
            </w:r>
            <w:proofErr w:type="spellEnd"/>
            <w:proofErr w:type="gramEnd"/>
            <w:r w:rsidRPr="00093797">
              <w:rPr>
                <w:sz w:val="18"/>
                <w:szCs w:val="18"/>
              </w:rPr>
              <w:t>,</w:t>
            </w:r>
            <w:r w:rsidRPr="00093797">
              <w:rPr>
                <w:sz w:val="18"/>
                <w:szCs w:val="18"/>
              </w:rPr>
              <w:br/>
              <w:t xml:space="preserve">Injection site </w:t>
            </w:r>
            <w:proofErr w:type="spellStart"/>
            <w:r w:rsidRPr="00093797">
              <w:rPr>
                <w:sz w:val="18"/>
                <w:szCs w:val="18"/>
              </w:rPr>
              <w:t>swelling</w:t>
            </w:r>
            <w:r w:rsidRPr="00093797">
              <w:rPr>
                <w:sz w:val="18"/>
                <w:szCs w:val="18"/>
                <w:vertAlign w:val="superscript"/>
              </w:rPr>
              <w:t>a</w:t>
            </w:r>
            <w:proofErr w:type="spellEnd"/>
            <w:r w:rsidRPr="00093797">
              <w:rPr>
                <w:sz w:val="18"/>
                <w:szCs w:val="18"/>
              </w:rPr>
              <w:t>,</w:t>
            </w:r>
            <w:r w:rsidRPr="00093797">
              <w:rPr>
                <w:sz w:val="18"/>
                <w:szCs w:val="18"/>
              </w:rPr>
              <w:br/>
            </w:r>
            <w:proofErr w:type="spellStart"/>
            <w:r w:rsidRPr="00093797">
              <w:rPr>
                <w:sz w:val="18"/>
                <w:szCs w:val="18"/>
              </w:rPr>
              <w:t>Pyrexia</w:t>
            </w:r>
            <w:r w:rsidRPr="00093797">
              <w:rPr>
                <w:sz w:val="18"/>
                <w:szCs w:val="18"/>
                <w:vertAlign w:val="superscript"/>
              </w:rPr>
              <w:t>a</w:t>
            </w:r>
            <w:proofErr w:type="spellEnd"/>
            <w:r w:rsidRPr="00093797">
              <w:rPr>
                <w:sz w:val="18"/>
                <w:szCs w:val="18"/>
              </w:rPr>
              <w:t xml:space="preserve">, </w:t>
            </w:r>
            <w:r w:rsidRPr="00093797">
              <w:rPr>
                <w:sz w:val="18"/>
                <w:szCs w:val="18"/>
              </w:rPr>
              <w:br/>
              <w:t xml:space="preserve">Chills, </w:t>
            </w:r>
            <w:r w:rsidRPr="00093797">
              <w:rPr>
                <w:sz w:val="18"/>
                <w:szCs w:val="18"/>
              </w:rPr>
              <w:br/>
              <w:t>Pain in extremity</w:t>
            </w:r>
          </w:p>
        </w:tc>
        <w:tc>
          <w:tcPr>
            <w:tcW w:w="1754" w:type="dxa"/>
          </w:tcPr>
          <w:p w14:paraId="2618E8DF" w14:textId="55010D9D" w:rsidR="00477768" w:rsidRPr="00093797" w:rsidRDefault="00477768" w:rsidP="00093797">
            <w:pPr>
              <w:keepNext/>
              <w:autoSpaceDE w:val="0"/>
              <w:autoSpaceDN w:val="0"/>
              <w:adjustRightInd w:val="0"/>
              <w:rPr>
                <w:sz w:val="18"/>
                <w:szCs w:val="18"/>
              </w:rPr>
            </w:pPr>
            <w:r>
              <w:rPr>
                <w:sz w:val="18"/>
                <w:szCs w:val="18"/>
              </w:rPr>
              <w:t>Injection site pruritus</w:t>
            </w:r>
          </w:p>
        </w:tc>
        <w:tc>
          <w:tcPr>
            <w:tcW w:w="1446" w:type="dxa"/>
          </w:tcPr>
          <w:p w14:paraId="24AA6E35" w14:textId="77777777" w:rsidR="00477768" w:rsidRPr="00093797" w:rsidRDefault="00477768" w:rsidP="00093797">
            <w:pPr>
              <w:keepNext/>
              <w:autoSpaceDE w:val="0"/>
              <w:autoSpaceDN w:val="0"/>
              <w:adjustRightInd w:val="0"/>
              <w:rPr>
                <w:sz w:val="18"/>
                <w:szCs w:val="18"/>
              </w:rPr>
            </w:pPr>
          </w:p>
        </w:tc>
        <w:tc>
          <w:tcPr>
            <w:tcW w:w="1417" w:type="dxa"/>
          </w:tcPr>
          <w:p w14:paraId="3952ADC3" w14:textId="77777777" w:rsidR="00477768" w:rsidRPr="00093797" w:rsidRDefault="00477768" w:rsidP="00093797">
            <w:pPr>
              <w:keepNext/>
              <w:autoSpaceDE w:val="0"/>
              <w:autoSpaceDN w:val="0"/>
              <w:adjustRightInd w:val="0"/>
              <w:rPr>
                <w:sz w:val="18"/>
                <w:szCs w:val="18"/>
              </w:rPr>
            </w:pPr>
          </w:p>
        </w:tc>
      </w:tr>
    </w:tbl>
    <w:p w14:paraId="582DD2E8" w14:textId="3625632E" w:rsidR="004C2A15" w:rsidRPr="006036E4" w:rsidRDefault="004C2A15" w:rsidP="004C2A15">
      <w:pPr>
        <w:autoSpaceDE w:val="0"/>
        <w:autoSpaceDN w:val="0"/>
        <w:adjustRightInd w:val="0"/>
        <w:spacing w:after="0" w:line="240" w:lineRule="auto"/>
        <w:jc w:val="both"/>
        <w:rPr>
          <w:sz w:val="18"/>
          <w:szCs w:val="18"/>
        </w:rPr>
      </w:pPr>
      <w:r w:rsidRPr="006036E4">
        <w:rPr>
          <w:sz w:val="18"/>
          <w:szCs w:val="18"/>
          <w:vertAlign w:val="superscript"/>
        </w:rPr>
        <w:t>a</w:t>
      </w:r>
      <w:r w:rsidRPr="006036E4">
        <w:rPr>
          <w:sz w:val="18"/>
          <w:szCs w:val="18"/>
        </w:rPr>
        <w:t xml:space="preserve"> </w:t>
      </w:r>
      <w:proofErr w:type="gramStart"/>
      <w:r w:rsidRPr="006036E4">
        <w:rPr>
          <w:sz w:val="18"/>
          <w:szCs w:val="18"/>
        </w:rPr>
        <w:t>Higher frequencies of these events</w:t>
      </w:r>
      <w:proofErr w:type="gramEnd"/>
      <w:r w:rsidRPr="006036E4">
        <w:rPr>
          <w:sz w:val="18"/>
          <w:szCs w:val="18"/>
        </w:rPr>
        <w:t xml:space="preserve"> were observed after the second dose.</w:t>
      </w:r>
    </w:p>
    <w:p w14:paraId="7100E0A0" w14:textId="50FDF4D1" w:rsidR="004C2A15" w:rsidRDefault="004C2A15" w:rsidP="004C2A15">
      <w:pPr>
        <w:autoSpaceDE w:val="0"/>
        <w:autoSpaceDN w:val="0"/>
        <w:adjustRightInd w:val="0"/>
        <w:spacing w:after="0" w:line="240" w:lineRule="auto"/>
        <w:jc w:val="both"/>
        <w:rPr>
          <w:sz w:val="18"/>
          <w:szCs w:val="18"/>
        </w:rPr>
      </w:pPr>
      <w:r w:rsidRPr="38495E97">
        <w:rPr>
          <w:sz w:val="18"/>
          <w:szCs w:val="18"/>
          <w:vertAlign w:val="superscript"/>
        </w:rPr>
        <w:t>b</w:t>
      </w:r>
      <w:r w:rsidRPr="38495E97">
        <w:rPr>
          <w:sz w:val="18"/>
          <w:szCs w:val="18"/>
        </w:rPr>
        <w:t xml:space="preserve"> </w:t>
      </w:r>
      <w:r w:rsidR="0088028D">
        <w:rPr>
          <w:sz w:val="18"/>
          <w:szCs w:val="18"/>
        </w:rPr>
        <w:t>This term also included events reported as influenza-like illness.</w:t>
      </w:r>
    </w:p>
    <w:p w14:paraId="31FEC972" w14:textId="08CBDBE2" w:rsidR="0088028D" w:rsidRPr="006036E4" w:rsidRDefault="0088028D" w:rsidP="004C2A15">
      <w:pPr>
        <w:autoSpaceDE w:val="0"/>
        <w:autoSpaceDN w:val="0"/>
        <w:adjustRightInd w:val="0"/>
        <w:spacing w:after="0" w:line="240" w:lineRule="auto"/>
        <w:jc w:val="both"/>
        <w:rPr>
          <w:sz w:val="18"/>
          <w:szCs w:val="18"/>
        </w:rPr>
      </w:pPr>
      <w:r>
        <w:rPr>
          <w:sz w:val="18"/>
          <w:szCs w:val="18"/>
          <w:vertAlign w:val="superscript"/>
        </w:rPr>
        <w:t>c</w:t>
      </w:r>
      <w:r w:rsidRPr="38495E97">
        <w:rPr>
          <w:sz w:val="18"/>
          <w:szCs w:val="18"/>
        </w:rPr>
        <w:t xml:space="preserve"> </w:t>
      </w:r>
      <w:r>
        <w:rPr>
          <w:sz w:val="18"/>
          <w:szCs w:val="18"/>
        </w:rPr>
        <w:t>This term includes both injection site redness and injection site erythema (common)</w:t>
      </w:r>
      <w:r w:rsidRPr="38495E97">
        <w:rPr>
          <w:sz w:val="18"/>
          <w:szCs w:val="18"/>
        </w:rPr>
        <w:t>.</w:t>
      </w:r>
    </w:p>
    <w:p w14:paraId="5B98B7E5" w14:textId="77777777" w:rsidR="00316ECA" w:rsidRPr="00316ECA" w:rsidRDefault="00316ECA" w:rsidP="00316ECA">
      <w:pPr>
        <w:pStyle w:val="Heading3"/>
      </w:pPr>
      <w:bookmarkStart w:id="17" w:name="_Hlk101961100"/>
      <w:r w:rsidRPr="00316ECA">
        <w:lastRenderedPageBreak/>
        <w:t>Participants 18 years of age and older – after booster dose</w:t>
      </w:r>
    </w:p>
    <w:p w14:paraId="4451B2EF" w14:textId="490D2641" w:rsidR="00DA6011" w:rsidRPr="00097ECF" w:rsidRDefault="00316ECA" w:rsidP="00DA6011">
      <w:pPr>
        <w:rPr>
          <w:rFonts w:cstheme="minorHAnsi"/>
        </w:rPr>
      </w:pPr>
      <w:bookmarkStart w:id="18" w:name="_Hlk101592912"/>
      <w:r w:rsidRPr="00097ECF">
        <w:rPr>
          <w:rFonts w:cstheme="minorHAnsi"/>
        </w:rPr>
        <w:t xml:space="preserve">The safety and immunogenicity of a booster dose of </w:t>
      </w:r>
      <w:r w:rsidR="005D0540">
        <w:rPr>
          <w:rFonts w:cstheme="minorHAnsi"/>
        </w:rPr>
        <w:t>NUVAXOVID</w:t>
      </w:r>
      <w:r w:rsidRPr="00097ECF">
        <w:rPr>
          <w:rFonts w:cstheme="minorHAnsi"/>
        </w:rPr>
        <w:t xml:space="preserve"> was evaluated in an ongoing Phase 2 randomised, placebo-controlled, observer-blinded clinical study (Study 2019nCoV-101, Part 2) conducted in participants aged 18 to 84 years of age. A total of 254 participants received </w:t>
      </w:r>
      <w:r>
        <w:rPr>
          <w:rFonts w:cstheme="minorHAnsi"/>
        </w:rPr>
        <w:t>2</w:t>
      </w:r>
      <w:r w:rsidRPr="00097ECF">
        <w:rPr>
          <w:rFonts w:cstheme="minorHAnsi"/>
        </w:rPr>
        <w:t xml:space="preserve"> doses of N</w:t>
      </w:r>
      <w:r w:rsidR="006A2F54">
        <w:rPr>
          <w:rFonts w:cstheme="minorHAnsi"/>
        </w:rPr>
        <w:t>UVAXOVID</w:t>
      </w:r>
      <w:r w:rsidRPr="00097ECF">
        <w:rPr>
          <w:rFonts w:cstheme="minorHAnsi"/>
        </w:rPr>
        <w:t xml:space="preserve"> (0.5 mL</w:t>
      </w:r>
      <w:r w:rsidR="003D0B74">
        <w:rPr>
          <w:rFonts w:cstheme="minorHAnsi"/>
        </w:rPr>
        <w:t>,</w:t>
      </w:r>
      <w:r w:rsidRPr="00097ECF">
        <w:rPr>
          <w:rFonts w:cstheme="minorHAnsi"/>
        </w:rPr>
        <w:t xml:space="preserve"> 3 weeks apart) as the primary vaccination series.  </w:t>
      </w:r>
      <w:bookmarkStart w:id="19" w:name="_Hlk102376226"/>
      <w:r w:rsidRPr="00097ECF">
        <w:rPr>
          <w:rFonts w:cstheme="minorHAnsi"/>
        </w:rPr>
        <w:t>A subset of 10</w:t>
      </w:r>
      <w:r w:rsidR="00BA1D52">
        <w:rPr>
          <w:rFonts w:cstheme="minorHAnsi"/>
        </w:rPr>
        <w:t>5</w:t>
      </w:r>
      <w:r w:rsidRPr="00097ECF">
        <w:rPr>
          <w:rFonts w:cstheme="minorHAnsi"/>
        </w:rPr>
        <w:t xml:space="preserve"> participants (</w:t>
      </w:r>
      <w:r w:rsidR="00BA1D52">
        <w:rPr>
          <w:rFonts w:cstheme="minorHAnsi"/>
        </w:rPr>
        <w:t>Safety</w:t>
      </w:r>
      <w:r w:rsidRPr="00097ECF">
        <w:rPr>
          <w:rFonts w:cstheme="minorHAnsi"/>
        </w:rPr>
        <w:t xml:space="preserve"> Analysis Set) </w:t>
      </w:r>
      <w:r w:rsidR="00BA1D52">
        <w:rPr>
          <w:rFonts w:cstheme="minorHAnsi"/>
        </w:rPr>
        <w:t xml:space="preserve">were randomised to </w:t>
      </w:r>
      <w:r w:rsidRPr="00097ECF">
        <w:rPr>
          <w:rFonts w:cstheme="minorHAnsi"/>
        </w:rPr>
        <w:t>receive a booster dose of N</w:t>
      </w:r>
      <w:r w:rsidR="00BA1D52">
        <w:rPr>
          <w:rFonts w:cstheme="minorHAnsi"/>
        </w:rPr>
        <w:t>UVAXOVID</w:t>
      </w:r>
      <w:r w:rsidRPr="00097ECF">
        <w:rPr>
          <w:rFonts w:cstheme="minorHAnsi"/>
        </w:rPr>
        <w:t xml:space="preserve"> approximately 6 months after receiving Dose 2 of the primary series</w:t>
      </w:r>
      <w:r w:rsidR="00EB1193">
        <w:rPr>
          <w:rFonts w:cstheme="minorHAnsi"/>
        </w:rPr>
        <w:t>; 104 of the 105 participants received NUVAXOVID</w:t>
      </w:r>
      <w:r w:rsidRPr="00097ECF">
        <w:rPr>
          <w:rFonts w:cstheme="minorHAnsi"/>
        </w:rPr>
        <w:t>.</w:t>
      </w:r>
      <w:bookmarkStart w:id="20" w:name="_Hlk101593778"/>
      <w:r w:rsidRPr="00097ECF">
        <w:rPr>
          <w:rFonts w:cstheme="minorHAnsi"/>
        </w:rPr>
        <w:t xml:space="preserve"> </w:t>
      </w:r>
      <w:bookmarkEnd w:id="20"/>
      <w:bookmarkEnd w:id="19"/>
      <w:r w:rsidRPr="00097ECF">
        <w:rPr>
          <w:rFonts w:cstheme="minorHAnsi"/>
        </w:rPr>
        <w:t>The most frequent solicited adverse reactions were injection site tenderness (81%), fatigue (63%), injection site pain (55%), muscle pain (51%), malaise (47</w:t>
      </w:r>
      <w:bookmarkStart w:id="21" w:name="_Hlk101436081"/>
      <w:r w:rsidR="00DA6011" w:rsidRPr="00097ECF">
        <w:rPr>
          <w:rFonts w:cstheme="minorHAnsi"/>
        </w:rPr>
        <w:t>%)</w:t>
      </w:r>
      <w:r w:rsidR="00DA6011">
        <w:rPr>
          <w:rFonts w:cstheme="minorHAnsi"/>
        </w:rPr>
        <w:t>,</w:t>
      </w:r>
      <w:r w:rsidR="00DA6011" w:rsidRPr="00097ECF">
        <w:rPr>
          <w:rFonts w:cstheme="minorHAnsi"/>
        </w:rPr>
        <w:t xml:space="preserve"> headache (46%), joint pain (29%), and fever (17%) with a median duration of 1 to 3 days following vaccination. </w:t>
      </w:r>
    </w:p>
    <w:p w14:paraId="43808384" w14:textId="7BD0FAAF" w:rsidR="00A304BE" w:rsidRPr="005D0540" w:rsidRDefault="00DA6011" w:rsidP="00DA6011">
      <w:pPr>
        <w:rPr>
          <w:rFonts w:cstheme="minorHAnsi"/>
          <w:shd w:val="clear" w:color="auto" w:fill="FFFFFF"/>
        </w:rPr>
      </w:pPr>
      <w:r w:rsidRPr="00097ECF">
        <w:rPr>
          <w:rFonts w:cstheme="minorHAnsi"/>
        </w:rPr>
        <w:t>In a second ongoing Phase 2a/b randomised, placebo-controlled, observer-blinded clinical study conducted in South Africa (Study 2019nCoV-501), the immunogenicity and safety of a booster dose of N</w:t>
      </w:r>
      <w:r>
        <w:rPr>
          <w:rFonts w:cstheme="minorHAnsi"/>
        </w:rPr>
        <w:t>UVAXOVID</w:t>
      </w:r>
      <w:r w:rsidRPr="00097ECF">
        <w:rPr>
          <w:rFonts w:cstheme="minorHAnsi"/>
        </w:rPr>
        <w:t xml:space="preserve"> was evaluated in healthy HIV-negative participants 18 to 84 years of age (Cohort 1) and medically stable people living with HIV (PLWH) 18 to 64 years of age (Cohort 2). Overall, 1,898 participants (Safety Analysis Set) received a booster dose of N</w:t>
      </w:r>
      <w:r>
        <w:rPr>
          <w:rFonts w:cstheme="minorHAnsi"/>
        </w:rPr>
        <w:t>UVAXOVID</w:t>
      </w:r>
      <w:r w:rsidRPr="00097ECF">
        <w:rPr>
          <w:rFonts w:cstheme="minorHAnsi"/>
        </w:rPr>
        <w:t xml:space="preserve"> approximately 6 months after receiving the second dose of </w:t>
      </w:r>
      <w:r>
        <w:rPr>
          <w:rFonts w:cstheme="minorHAnsi"/>
        </w:rPr>
        <w:t>a 2</w:t>
      </w:r>
      <w:r w:rsidRPr="00097ECF">
        <w:rPr>
          <w:rFonts w:cstheme="minorHAnsi"/>
        </w:rPr>
        <w:t>-dose primary series. Solicited adverse reactions were not collected following the booster dose</w:t>
      </w:r>
      <w:r w:rsidRPr="005D0540">
        <w:rPr>
          <w:rFonts w:cstheme="minorHAnsi"/>
        </w:rPr>
        <w:t>.</w:t>
      </w:r>
      <w:bookmarkEnd w:id="21"/>
      <w:bookmarkEnd w:id="18"/>
      <w:bookmarkEnd w:id="17"/>
      <w:r w:rsidR="00AC28BF" w:rsidRPr="005D0540">
        <w:rPr>
          <w:rFonts w:cstheme="minorHAnsi"/>
        </w:rPr>
        <w:t xml:space="preserve"> The unsolicited adverse reaction profile for the booster dose was </w:t>
      </w:r>
      <w:proofErr w:type="gramStart"/>
      <w:r w:rsidR="00AC28BF" w:rsidRPr="005D0540">
        <w:rPr>
          <w:rFonts w:cstheme="minorHAnsi"/>
        </w:rPr>
        <w:t>similar to</w:t>
      </w:r>
      <w:proofErr w:type="gramEnd"/>
      <w:r w:rsidR="00AC28BF" w:rsidRPr="005D0540">
        <w:rPr>
          <w:rFonts w:cstheme="minorHAnsi"/>
        </w:rPr>
        <w:t xml:space="preserve"> that of the primary series presented in Table 1.</w:t>
      </w:r>
    </w:p>
    <w:p w14:paraId="6D9F504E" w14:textId="77777777" w:rsidR="00DA6011" w:rsidRDefault="00DA6011" w:rsidP="00DA6011">
      <w:pPr>
        <w:pStyle w:val="Heading3"/>
      </w:pPr>
      <w:r>
        <w:t>Booster dose following primary vaccination with other COVID-19 vaccine</w:t>
      </w:r>
    </w:p>
    <w:p w14:paraId="7B2AD817" w14:textId="2250F953" w:rsidR="1F067FDB" w:rsidRDefault="1C8108CD" w:rsidP="00DA6011">
      <w:pPr>
        <w:rPr>
          <w:rFonts w:ascii="Calibri" w:eastAsia="Calibri" w:hAnsi="Calibri" w:cs="Calibri"/>
        </w:rPr>
      </w:pPr>
      <w:r w:rsidRPr="00D19432">
        <w:rPr>
          <w:rFonts w:ascii="Calibri" w:eastAsia="Calibri" w:hAnsi="Calibri" w:cs="Calibri"/>
        </w:rPr>
        <w:t>The safety of NUVAXOVID as a heterologous booster in individuals whose primary vaccination series was with other COVID-19 vaccines has been reported in the COV-BOOST study conducted in the UK (ISRCTN 73765130). This was an independent</w:t>
      </w:r>
      <w:r w:rsidR="00912A02">
        <w:rPr>
          <w:rFonts w:ascii="Calibri" w:eastAsia="Calibri" w:hAnsi="Calibri" w:cs="Calibri"/>
        </w:rPr>
        <w:t>,</w:t>
      </w:r>
      <w:r w:rsidRPr="00D19432">
        <w:rPr>
          <w:rFonts w:ascii="Calibri" w:eastAsia="Calibri" w:hAnsi="Calibri" w:cs="Calibri"/>
        </w:rPr>
        <w:t xml:space="preserve"> randomised, controlled, Phase 2 trial that evaluated a single</w:t>
      </w:r>
      <w:r w:rsidR="4645F1DB" w:rsidRPr="00D19432">
        <w:rPr>
          <w:rFonts w:ascii="Calibri" w:eastAsia="Calibri" w:hAnsi="Calibri" w:cs="Calibri"/>
        </w:rPr>
        <w:t xml:space="preserve"> </w:t>
      </w:r>
      <w:r w:rsidR="042FA802" w:rsidRPr="00D19432">
        <w:rPr>
          <w:rFonts w:ascii="Calibri" w:eastAsia="Calibri" w:hAnsi="Calibri" w:cs="Calibri"/>
        </w:rPr>
        <w:t>heterologous booster vaccination against COVID-19 in adults</w:t>
      </w:r>
      <w:r w:rsidR="0DEED426" w:rsidRPr="00D19432">
        <w:rPr>
          <w:rFonts w:ascii="Calibri" w:eastAsia="Calibri" w:hAnsi="Calibri" w:cs="Calibri"/>
        </w:rPr>
        <w:t xml:space="preserve"> aged 30 years and older, with no history of laboratory-confirmed SARS-CoV-2 infection</w:t>
      </w:r>
      <w:r w:rsidR="22C85346" w:rsidRPr="00D19432">
        <w:rPr>
          <w:rFonts w:ascii="Calibri" w:eastAsia="Calibri" w:hAnsi="Calibri" w:cs="Calibri"/>
        </w:rPr>
        <w:t>,</w:t>
      </w:r>
      <w:r w:rsidR="0DEED426" w:rsidRPr="00D19432">
        <w:rPr>
          <w:rFonts w:ascii="Calibri" w:eastAsia="Calibri" w:hAnsi="Calibri" w:cs="Calibri"/>
        </w:rPr>
        <w:t xml:space="preserve"> at</w:t>
      </w:r>
      <w:r w:rsidR="042FA802" w:rsidRPr="00D19432">
        <w:rPr>
          <w:rFonts w:ascii="Calibri" w:eastAsia="Calibri" w:hAnsi="Calibri" w:cs="Calibri"/>
        </w:rPr>
        <w:t xml:space="preserve"> least </w:t>
      </w:r>
      <w:r w:rsidR="5F5CC092" w:rsidRPr="00D19432">
        <w:rPr>
          <w:rFonts w:ascii="Calibri" w:eastAsia="Calibri" w:hAnsi="Calibri" w:cs="Calibri"/>
        </w:rPr>
        <w:t xml:space="preserve">10 weeks </w:t>
      </w:r>
      <w:r w:rsidR="042FA802" w:rsidRPr="00D19432">
        <w:rPr>
          <w:rFonts w:ascii="Calibri" w:eastAsia="Calibri" w:hAnsi="Calibri" w:cs="Calibri"/>
        </w:rPr>
        <w:t>after a primary vaccination series</w:t>
      </w:r>
      <w:r w:rsidR="41AB4A8F" w:rsidRPr="00D19432">
        <w:rPr>
          <w:rFonts w:ascii="Calibri" w:eastAsia="Calibri" w:hAnsi="Calibri" w:cs="Calibri"/>
        </w:rPr>
        <w:t>.</w:t>
      </w:r>
      <w:r w:rsidR="042FA802" w:rsidRPr="00D19432">
        <w:rPr>
          <w:rFonts w:ascii="Calibri" w:eastAsia="Calibri" w:hAnsi="Calibri" w:cs="Calibri"/>
        </w:rPr>
        <w:t xml:space="preserve"> </w:t>
      </w:r>
      <w:bookmarkStart w:id="22" w:name="_Hlk102313876"/>
      <w:r w:rsidR="042FA802" w:rsidRPr="00D19432">
        <w:rPr>
          <w:rFonts w:ascii="Calibri" w:eastAsia="Calibri" w:hAnsi="Calibri" w:cs="Calibri"/>
        </w:rPr>
        <w:t>Within the group assigned to receive</w:t>
      </w:r>
      <w:r w:rsidR="0DEED426" w:rsidRPr="00D19432">
        <w:rPr>
          <w:rFonts w:ascii="Calibri" w:eastAsia="Calibri" w:hAnsi="Calibri" w:cs="Calibri"/>
        </w:rPr>
        <w:t xml:space="preserve"> a full dose of</w:t>
      </w:r>
      <w:r w:rsidR="042FA802" w:rsidRPr="00D19432">
        <w:rPr>
          <w:rFonts w:ascii="Calibri" w:eastAsia="Calibri" w:hAnsi="Calibri" w:cs="Calibri"/>
        </w:rPr>
        <w:t xml:space="preserve"> NUVAXOVID </w:t>
      </w:r>
      <w:r w:rsidR="0DEED426" w:rsidRPr="00D19432">
        <w:rPr>
          <w:rFonts w:ascii="Calibri" w:eastAsia="Calibri" w:hAnsi="Calibri" w:cs="Calibri"/>
        </w:rPr>
        <w:t>(</w:t>
      </w:r>
      <w:r w:rsidR="042FA802" w:rsidRPr="00D19432">
        <w:rPr>
          <w:rFonts w:ascii="Calibri" w:eastAsia="Calibri" w:hAnsi="Calibri" w:cs="Calibri"/>
        </w:rPr>
        <w:t>0.5 mL</w:t>
      </w:r>
      <w:r w:rsidR="0DEED426" w:rsidRPr="00D19432">
        <w:rPr>
          <w:rFonts w:ascii="Calibri" w:eastAsia="Calibri" w:hAnsi="Calibri" w:cs="Calibri"/>
        </w:rPr>
        <w:t>)</w:t>
      </w:r>
      <w:r w:rsidR="042FA802" w:rsidRPr="00D19432">
        <w:rPr>
          <w:rFonts w:ascii="Calibri" w:eastAsia="Calibri" w:hAnsi="Calibri" w:cs="Calibri"/>
        </w:rPr>
        <w:t xml:space="preserve"> were </w:t>
      </w:r>
      <w:r w:rsidR="12B51AC3" w:rsidRPr="00D19432">
        <w:rPr>
          <w:rFonts w:ascii="Calibri" w:eastAsia="Calibri" w:hAnsi="Calibri" w:cs="Calibri"/>
        </w:rPr>
        <w:t>115</w:t>
      </w:r>
      <w:r w:rsidR="042FA802" w:rsidRPr="00D19432">
        <w:rPr>
          <w:rFonts w:ascii="Calibri" w:eastAsia="Calibri" w:hAnsi="Calibri" w:cs="Calibri"/>
        </w:rPr>
        <w:t xml:space="preserve"> </w:t>
      </w:r>
      <w:r w:rsidR="462D824F" w:rsidRPr="00D19432">
        <w:rPr>
          <w:rFonts w:ascii="Calibri" w:eastAsia="Calibri" w:hAnsi="Calibri" w:cs="Calibri"/>
        </w:rPr>
        <w:t>participants</w:t>
      </w:r>
      <w:r w:rsidR="042FA802" w:rsidRPr="00D19432">
        <w:rPr>
          <w:rFonts w:ascii="Calibri" w:eastAsia="Calibri" w:hAnsi="Calibri" w:cs="Calibri"/>
        </w:rPr>
        <w:t xml:space="preserve"> who previously received </w:t>
      </w:r>
      <w:r w:rsidR="7849BFC2" w:rsidRPr="00D19432">
        <w:rPr>
          <w:rFonts w:ascii="Calibri" w:eastAsia="Calibri" w:hAnsi="Calibri" w:cs="Calibri"/>
        </w:rPr>
        <w:t>2</w:t>
      </w:r>
      <w:r w:rsidR="049CE7C2" w:rsidRPr="00D19432">
        <w:rPr>
          <w:rFonts w:ascii="Calibri" w:eastAsia="Calibri" w:hAnsi="Calibri" w:cs="Calibri"/>
        </w:rPr>
        <w:t xml:space="preserve"> doses of</w:t>
      </w:r>
      <w:r w:rsidR="41AB4A8F" w:rsidRPr="00D19432">
        <w:rPr>
          <w:rFonts w:ascii="Calibri" w:eastAsia="Calibri" w:hAnsi="Calibri" w:cs="Calibri"/>
        </w:rPr>
        <w:t xml:space="preserve"> </w:t>
      </w:r>
      <w:r w:rsidR="042FA802" w:rsidRPr="00D19432">
        <w:rPr>
          <w:rFonts w:ascii="Calibri" w:eastAsia="Calibri" w:hAnsi="Calibri" w:cs="Calibri"/>
        </w:rPr>
        <w:t>VAXZEVRIA</w:t>
      </w:r>
      <w:r w:rsidR="049CE7C2" w:rsidRPr="00D19432">
        <w:rPr>
          <w:rFonts w:ascii="Calibri" w:eastAsia="Calibri" w:hAnsi="Calibri" w:cs="Calibri"/>
        </w:rPr>
        <w:t xml:space="preserve"> (median age 65 years) </w:t>
      </w:r>
      <w:r w:rsidR="042FA802" w:rsidRPr="00D19432">
        <w:rPr>
          <w:rFonts w:ascii="Calibri" w:eastAsia="Calibri" w:hAnsi="Calibri" w:cs="Calibri"/>
        </w:rPr>
        <w:t>and 1</w:t>
      </w:r>
      <w:r w:rsidR="12B51AC3" w:rsidRPr="00D19432">
        <w:rPr>
          <w:rFonts w:ascii="Calibri" w:eastAsia="Calibri" w:hAnsi="Calibri" w:cs="Calibri"/>
        </w:rPr>
        <w:t>14</w:t>
      </w:r>
      <w:r w:rsidR="042FA802" w:rsidRPr="00D19432">
        <w:rPr>
          <w:rFonts w:ascii="Calibri" w:eastAsia="Calibri" w:hAnsi="Calibri" w:cs="Calibri"/>
        </w:rPr>
        <w:t xml:space="preserve"> </w:t>
      </w:r>
      <w:r w:rsidR="5F5CC092" w:rsidRPr="00D19432">
        <w:rPr>
          <w:rFonts w:ascii="Calibri" w:eastAsia="Calibri" w:hAnsi="Calibri" w:cs="Calibri"/>
        </w:rPr>
        <w:t xml:space="preserve">who had received </w:t>
      </w:r>
      <w:r w:rsidR="7849BFC2" w:rsidRPr="00D19432">
        <w:rPr>
          <w:rFonts w:ascii="Calibri" w:eastAsia="Calibri" w:hAnsi="Calibri" w:cs="Calibri"/>
        </w:rPr>
        <w:t>2</w:t>
      </w:r>
      <w:r w:rsidR="049CE7C2" w:rsidRPr="00D19432">
        <w:rPr>
          <w:rFonts w:ascii="Calibri" w:eastAsia="Calibri" w:hAnsi="Calibri" w:cs="Calibri"/>
        </w:rPr>
        <w:t xml:space="preserve"> doses of</w:t>
      </w:r>
      <w:r w:rsidR="41AB4A8F" w:rsidRPr="00D19432">
        <w:rPr>
          <w:rFonts w:ascii="Calibri" w:eastAsia="Calibri" w:hAnsi="Calibri" w:cs="Calibri"/>
        </w:rPr>
        <w:t xml:space="preserve"> </w:t>
      </w:r>
      <w:r w:rsidR="042FA802" w:rsidRPr="00D19432">
        <w:rPr>
          <w:rFonts w:ascii="Calibri" w:eastAsia="Calibri" w:hAnsi="Calibri" w:cs="Calibri"/>
        </w:rPr>
        <w:t>COMIRNATY</w:t>
      </w:r>
      <w:r w:rsidR="049CE7C2" w:rsidRPr="00D19432">
        <w:rPr>
          <w:rFonts w:ascii="Calibri" w:eastAsia="Calibri" w:hAnsi="Calibri" w:cs="Calibri"/>
        </w:rPr>
        <w:t xml:space="preserve"> (mean age 63 years)</w:t>
      </w:r>
      <w:r w:rsidR="042FA802" w:rsidRPr="00D19432">
        <w:rPr>
          <w:rFonts w:ascii="Calibri" w:eastAsia="Calibri" w:hAnsi="Calibri" w:cs="Calibri"/>
        </w:rPr>
        <w:t>.</w:t>
      </w:r>
      <w:r w:rsidR="049CE7C2" w:rsidRPr="00D19432">
        <w:rPr>
          <w:rFonts w:ascii="Calibri" w:eastAsia="Calibri" w:hAnsi="Calibri" w:cs="Calibri"/>
        </w:rPr>
        <w:t xml:space="preserve"> The booster dose of NUVAXOVID was given a median of 76 days after the VAXZEVRIA primary series and 105 days after the COMNIRNATY primary series</w:t>
      </w:r>
      <w:r w:rsidR="1CCDB0B6" w:rsidRPr="00D19432">
        <w:rPr>
          <w:rFonts w:ascii="Calibri" w:eastAsia="Calibri" w:hAnsi="Calibri" w:cs="Calibri"/>
        </w:rPr>
        <w:t>.</w:t>
      </w:r>
      <w:r w:rsidR="042FA802" w:rsidRPr="00D19432">
        <w:rPr>
          <w:rFonts w:ascii="Calibri" w:eastAsia="Calibri" w:hAnsi="Calibri" w:cs="Calibri"/>
        </w:rPr>
        <w:t xml:space="preserve"> </w:t>
      </w:r>
      <w:r w:rsidR="2D7FC09D" w:rsidRPr="00D19432">
        <w:rPr>
          <w:rFonts w:ascii="Calibri" w:eastAsia="Calibri" w:hAnsi="Calibri" w:cs="Calibri"/>
        </w:rPr>
        <w:t>Additionally, anot</w:t>
      </w:r>
      <w:r w:rsidR="5D82E203" w:rsidRPr="00D19432">
        <w:rPr>
          <w:rFonts w:ascii="Calibri" w:eastAsia="Calibri" w:hAnsi="Calibri" w:cs="Calibri"/>
        </w:rPr>
        <w:t xml:space="preserve">her </w:t>
      </w:r>
      <w:r w:rsidR="7849BFC2" w:rsidRPr="00D19432">
        <w:rPr>
          <w:rFonts w:ascii="Calibri" w:eastAsia="Calibri" w:hAnsi="Calibri" w:cs="Calibri"/>
        </w:rPr>
        <w:t>220</w:t>
      </w:r>
      <w:r w:rsidR="2D7FC09D" w:rsidRPr="00D19432">
        <w:rPr>
          <w:rFonts w:ascii="Calibri" w:eastAsia="Calibri" w:hAnsi="Calibri" w:cs="Calibri"/>
        </w:rPr>
        <w:t xml:space="preserve"> participants received</w:t>
      </w:r>
      <w:r w:rsidR="049CE7C2" w:rsidRPr="00D19432">
        <w:rPr>
          <w:rFonts w:ascii="Calibri" w:eastAsia="Calibri" w:hAnsi="Calibri" w:cs="Calibri"/>
        </w:rPr>
        <w:t xml:space="preserve"> a half dose</w:t>
      </w:r>
      <w:r w:rsidR="2D7FC09D" w:rsidRPr="00D19432">
        <w:rPr>
          <w:rFonts w:ascii="Calibri" w:eastAsia="Calibri" w:hAnsi="Calibri" w:cs="Calibri"/>
        </w:rPr>
        <w:t xml:space="preserve"> </w:t>
      </w:r>
      <w:r w:rsidR="049CE7C2" w:rsidRPr="00D19432">
        <w:rPr>
          <w:rFonts w:ascii="Calibri" w:eastAsia="Calibri" w:hAnsi="Calibri" w:cs="Calibri"/>
        </w:rPr>
        <w:t>of NUVAXOVID</w:t>
      </w:r>
      <w:r w:rsidR="2D7FC09D" w:rsidRPr="00D19432">
        <w:rPr>
          <w:rFonts w:ascii="Calibri" w:eastAsia="Calibri" w:hAnsi="Calibri" w:cs="Calibri"/>
        </w:rPr>
        <w:t xml:space="preserve"> </w:t>
      </w:r>
      <w:r w:rsidR="049CE7C2" w:rsidRPr="00D19432">
        <w:rPr>
          <w:rFonts w:ascii="Calibri" w:eastAsia="Calibri" w:hAnsi="Calibri" w:cs="Calibri"/>
        </w:rPr>
        <w:t>(</w:t>
      </w:r>
      <w:r w:rsidR="2D7FC09D" w:rsidRPr="00D19432">
        <w:rPr>
          <w:rFonts w:ascii="Calibri" w:eastAsia="Calibri" w:hAnsi="Calibri" w:cs="Calibri"/>
        </w:rPr>
        <w:t>0.25 mL</w:t>
      </w:r>
      <w:r w:rsidR="049CE7C2" w:rsidRPr="00D19432">
        <w:rPr>
          <w:rFonts w:ascii="Calibri" w:eastAsia="Calibri" w:hAnsi="Calibri" w:cs="Calibri"/>
        </w:rPr>
        <w:t>)</w:t>
      </w:r>
      <w:r w:rsidR="2D7FC09D" w:rsidRPr="00D19432">
        <w:rPr>
          <w:rFonts w:ascii="Calibri" w:eastAsia="Calibri" w:hAnsi="Calibri" w:cs="Calibri"/>
        </w:rPr>
        <w:t>.</w:t>
      </w:r>
      <w:r w:rsidR="2D7FC09D" w:rsidRPr="00D19432">
        <w:rPr>
          <w:rStyle w:val="cf01"/>
        </w:rPr>
        <w:t xml:space="preserve"> </w:t>
      </w:r>
      <w:r w:rsidR="042FA802" w:rsidRPr="00D19432">
        <w:rPr>
          <w:rFonts w:ascii="Calibri" w:eastAsia="Calibri" w:hAnsi="Calibri" w:cs="Calibri"/>
        </w:rPr>
        <w:t>Review of the adverse reactions</w:t>
      </w:r>
      <w:r w:rsidR="049CE7C2" w:rsidRPr="00D19432">
        <w:rPr>
          <w:rFonts w:ascii="Calibri" w:eastAsia="Calibri" w:hAnsi="Calibri" w:cs="Calibri"/>
        </w:rPr>
        <w:t xml:space="preserve"> over the 28 days</w:t>
      </w:r>
      <w:r w:rsidR="042FA802" w:rsidRPr="00D19432">
        <w:rPr>
          <w:rFonts w:ascii="Calibri" w:eastAsia="Calibri" w:hAnsi="Calibri" w:cs="Calibri"/>
        </w:rPr>
        <w:t xml:space="preserve"> following </w:t>
      </w:r>
      <w:r w:rsidR="005D0540">
        <w:rPr>
          <w:rFonts w:ascii="Calibri" w:eastAsia="Calibri" w:hAnsi="Calibri" w:cs="Calibri"/>
        </w:rPr>
        <w:t>receipt of the</w:t>
      </w:r>
      <w:r w:rsidR="00DE0696">
        <w:rPr>
          <w:rFonts w:ascii="Calibri" w:eastAsia="Calibri" w:hAnsi="Calibri" w:cs="Calibri"/>
        </w:rPr>
        <w:t xml:space="preserve"> </w:t>
      </w:r>
      <w:r w:rsidR="042FA802" w:rsidRPr="00D19432">
        <w:rPr>
          <w:rFonts w:ascii="Calibri" w:eastAsia="Calibri" w:hAnsi="Calibri" w:cs="Calibri"/>
        </w:rPr>
        <w:t xml:space="preserve">NUVAXOVID </w:t>
      </w:r>
      <w:r w:rsidR="049CE7C2" w:rsidRPr="00D19432">
        <w:rPr>
          <w:rFonts w:ascii="Calibri" w:eastAsia="Calibri" w:hAnsi="Calibri" w:cs="Calibri"/>
        </w:rPr>
        <w:t>booster did</w:t>
      </w:r>
      <w:r w:rsidR="042FA802" w:rsidRPr="00D19432">
        <w:rPr>
          <w:rFonts w:ascii="Calibri" w:eastAsia="Calibri" w:hAnsi="Calibri" w:cs="Calibri"/>
        </w:rPr>
        <w:t xml:space="preserve"> not identify any new safety concerns, as compared with adverse reactions reported following </w:t>
      </w:r>
      <w:r w:rsidR="7849BFC2" w:rsidRPr="00D19432">
        <w:rPr>
          <w:rFonts w:ascii="Calibri" w:eastAsia="Calibri" w:hAnsi="Calibri" w:cs="Calibri"/>
        </w:rPr>
        <w:t>2</w:t>
      </w:r>
      <w:r w:rsidR="049CE7C2" w:rsidRPr="00D19432">
        <w:rPr>
          <w:rFonts w:ascii="Calibri" w:eastAsia="Calibri" w:hAnsi="Calibri" w:cs="Calibri"/>
        </w:rPr>
        <w:t xml:space="preserve"> doses of </w:t>
      </w:r>
      <w:r w:rsidR="042FA802" w:rsidRPr="00D19432">
        <w:rPr>
          <w:rFonts w:ascii="Calibri" w:eastAsia="Calibri" w:hAnsi="Calibri" w:cs="Calibri"/>
        </w:rPr>
        <w:t xml:space="preserve">NUVAXOVID </w:t>
      </w:r>
      <w:r w:rsidR="049CE7C2" w:rsidRPr="00D19432">
        <w:rPr>
          <w:rFonts w:ascii="Calibri" w:eastAsia="Calibri" w:hAnsi="Calibri" w:cs="Calibri"/>
        </w:rPr>
        <w:t xml:space="preserve">given as a </w:t>
      </w:r>
      <w:r w:rsidR="042FA802" w:rsidRPr="00D19432">
        <w:rPr>
          <w:rFonts w:ascii="Calibri" w:eastAsia="Calibri" w:hAnsi="Calibri" w:cs="Calibri"/>
        </w:rPr>
        <w:t>primary series</w:t>
      </w:r>
      <w:r w:rsidR="462D824F" w:rsidRPr="00D19432">
        <w:rPr>
          <w:rFonts w:ascii="Calibri" w:eastAsia="Calibri" w:hAnsi="Calibri" w:cs="Calibri"/>
        </w:rPr>
        <w:t>.</w:t>
      </w:r>
      <w:r w:rsidR="0EFC406A" w:rsidRPr="00D19432">
        <w:rPr>
          <w:rFonts w:ascii="Calibri" w:eastAsia="Calibri" w:hAnsi="Calibri" w:cs="Calibri"/>
        </w:rPr>
        <w:t xml:space="preserve"> The safety data </w:t>
      </w:r>
      <w:r w:rsidR="1CCDB0B6" w:rsidRPr="00D19432">
        <w:rPr>
          <w:rFonts w:ascii="Calibri" w:eastAsia="Calibri" w:hAnsi="Calibri" w:cs="Calibri"/>
        </w:rPr>
        <w:t>are</w:t>
      </w:r>
      <w:r w:rsidR="0EFC406A" w:rsidRPr="00D19432">
        <w:rPr>
          <w:rFonts w:ascii="Calibri" w:eastAsia="Calibri" w:hAnsi="Calibri" w:cs="Calibri"/>
        </w:rPr>
        <w:t xml:space="preserve"> limited by the small sample size of the study.</w:t>
      </w:r>
      <w:bookmarkEnd w:id="22"/>
    </w:p>
    <w:p w14:paraId="7F7F72B6" w14:textId="1D8FA522" w:rsidR="00F75F60" w:rsidRDefault="00F75F60" w:rsidP="00F75F60">
      <w:pPr>
        <w:pStyle w:val="Heading3"/>
      </w:pPr>
      <w:r>
        <w:t>Description of selected adverse reactions</w:t>
      </w:r>
    </w:p>
    <w:p w14:paraId="5760BD22" w14:textId="7DB227AD" w:rsidR="00F75F60" w:rsidRDefault="00F75F60" w:rsidP="00F75F60">
      <w:r>
        <w:t>Throughout the clinical trials, an increased incidence of hypertension following vaccination with NUVAXOVID (n=46, 1.0%) as compared with placebo (n=22, 0.6%) was observed in older adults during the 3 days following vaccination.</w:t>
      </w:r>
    </w:p>
    <w:p w14:paraId="43D5772B" w14:textId="2F7E16AE" w:rsidR="00446B91" w:rsidRPr="002B424E" w:rsidRDefault="00446B91" w:rsidP="00446B91">
      <w:pPr>
        <w:pStyle w:val="Heading3"/>
      </w:pPr>
      <w:r>
        <w:t>Reporting suspected adverse effects</w:t>
      </w:r>
    </w:p>
    <w:p w14:paraId="567AE5F9" w14:textId="1EF59381" w:rsidR="00446B91" w:rsidRDefault="00446B91" w:rsidP="00446B91">
      <w:pPr>
        <w:autoSpaceDE w:val="0"/>
        <w:autoSpaceDN w:val="0"/>
        <w:adjustRightInd w:val="0"/>
        <w:spacing w:after="0" w:line="240" w:lineRule="auto"/>
        <w:jc w:val="both"/>
        <w:rPr>
          <w:rStyle w:val="Hyperlink"/>
          <w:rFonts w:cstheme="minorHAnsi"/>
          <w:lang w:val="en"/>
        </w:rPr>
      </w:pPr>
      <w:r w:rsidRPr="004C2A15">
        <w:rPr>
          <w:rFonts w:cstheme="minorHAnsi"/>
          <w:lang w:val="en"/>
        </w:rPr>
        <w:t xml:space="preserve">Reporting suspected adverse reactions after registration of the medicinal product is important. It allows continued monitoring of the benefit-risk balance of the medicinal product. Healthcare </w:t>
      </w:r>
      <w:r w:rsidRPr="004C2A15">
        <w:rPr>
          <w:rFonts w:cstheme="minorHAnsi"/>
          <w:lang w:val="en"/>
        </w:rPr>
        <w:lastRenderedPageBreak/>
        <w:t xml:space="preserve">professionals are asked to report any suspected adverse reactions at </w:t>
      </w:r>
      <w:hyperlink r:id="rId12" w:history="1">
        <w:r w:rsidRPr="004C2A15">
          <w:rPr>
            <w:rStyle w:val="Hyperlink"/>
            <w:rFonts w:cstheme="minorHAnsi"/>
            <w:lang w:val="en"/>
          </w:rPr>
          <w:t>www.tga.gov.au/reporting-problems</w:t>
        </w:r>
      </w:hyperlink>
      <w:r>
        <w:rPr>
          <w:rStyle w:val="Hyperlink"/>
          <w:rFonts w:cstheme="minorHAnsi"/>
          <w:lang w:val="en"/>
        </w:rPr>
        <w:t>.</w:t>
      </w:r>
    </w:p>
    <w:p w14:paraId="7333EF96" w14:textId="77777777" w:rsidR="00446B91" w:rsidRPr="00973550" w:rsidRDefault="00446B91" w:rsidP="00446B91">
      <w:pPr>
        <w:autoSpaceDE w:val="0"/>
        <w:autoSpaceDN w:val="0"/>
        <w:adjustRightInd w:val="0"/>
        <w:spacing w:after="0" w:line="240" w:lineRule="auto"/>
        <w:jc w:val="both"/>
        <w:rPr>
          <w:noProof/>
          <w:color w:val="A6A6A6" w:themeColor="background1" w:themeShade="A6"/>
        </w:rPr>
      </w:pPr>
    </w:p>
    <w:p w14:paraId="64775A46" w14:textId="77777777" w:rsidR="001A3992" w:rsidRDefault="001A3992" w:rsidP="001A3992">
      <w:pPr>
        <w:pStyle w:val="Heading2"/>
        <w:keepNext/>
        <w:keepLines/>
        <w:spacing w:before="0" w:after="120"/>
      </w:pPr>
      <w:r>
        <w:t>Overdose</w:t>
      </w:r>
    </w:p>
    <w:p w14:paraId="5022DFFB" w14:textId="5C495D6D" w:rsidR="004C2A15" w:rsidRDefault="004C2A15" w:rsidP="004C2A15">
      <w:pPr>
        <w:autoSpaceDE w:val="0"/>
        <w:autoSpaceDN w:val="0"/>
        <w:adjustRightInd w:val="0"/>
      </w:pPr>
      <w:r>
        <w:t xml:space="preserve">No case of overdose has been reported. In the event of an overdose, the individual should be monitored and provided with symptomatic treatment as appropriate. </w:t>
      </w:r>
    </w:p>
    <w:p w14:paraId="4B597958" w14:textId="77777777" w:rsidR="00B76021" w:rsidRPr="000F34C9" w:rsidRDefault="00B76021" w:rsidP="00B76021">
      <w:pPr>
        <w:autoSpaceDE w:val="0"/>
        <w:autoSpaceDN w:val="0"/>
        <w:adjustRightInd w:val="0"/>
      </w:pPr>
      <w:r w:rsidRPr="000F34C9">
        <w:t>For information on the management of overdose, contact the Poisons Information Centre on 13 11 26 (Australia).</w:t>
      </w:r>
    </w:p>
    <w:p w14:paraId="14324DBA" w14:textId="492DF1DB" w:rsidR="001A3992" w:rsidRDefault="001A3992" w:rsidP="001A3992">
      <w:pPr>
        <w:pStyle w:val="Heading1"/>
        <w:spacing w:before="0" w:after="120"/>
        <w:rPr>
          <w:lang w:val="en-US"/>
        </w:rPr>
      </w:pPr>
      <w:r w:rsidRPr="00035C95">
        <w:rPr>
          <w:lang w:val="en-US"/>
        </w:rPr>
        <w:t>Pharmacolog</w:t>
      </w:r>
      <w:r>
        <w:rPr>
          <w:lang w:val="en-US"/>
        </w:rPr>
        <w:t>ical properties</w:t>
      </w:r>
    </w:p>
    <w:p w14:paraId="68DC84ED" w14:textId="4AE9A3EF" w:rsidR="001A3992" w:rsidRDefault="001A3992" w:rsidP="001A3992">
      <w:pPr>
        <w:pStyle w:val="Heading2"/>
        <w:spacing w:before="0" w:after="120"/>
        <w:rPr>
          <w:lang w:val="en-US"/>
        </w:rPr>
      </w:pPr>
      <w:r w:rsidRPr="00EC3C40">
        <w:rPr>
          <w:lang w:val="en-US"/>
        </w:rPr>
        <w:t xml:space="preserve">Pharmacodynamic properties </w:t>
      </w:r>
    </w:p>
    <w:p w14:paraId="7894710B" w14:textId="77777777" w:rsidR="004C2A15" w:rsidRPr="00067B16" w:rsidRDefault="004C2A15" w:rsidP="00C07D37">
      <w:pPr>
        <w:rPr>
          <w:noProof/>
        </w:rPr>
      </w:pPr>
      <w:r w:rsidRPr="006B4557">
        <w:t xml:space="preserve">Pharmacotherapeutic group: </w:t>
      </w:r>
      <w:r>
        <w:t xml:space="preserve">Other viral </w:t>
      </w:r>
      <w:r>
        <w:rPr>
          <w:bCs/>
          <w:noProof/>
        </w:rPr>
        <w:t>vaccines</w:t>
      </w:r>
      <w:r w:rsidRPr="007B42D3">
        <w:rPr>
          <w:noProof/>
        </w:rPr>
        <w:t xml:space="preserve">, ATC code: </w:t>
      </w:r>
      <w:r w:rsidRPr="00D07A4D">
        <w:rPr>
          <w:noProof/>
        </w:rPr>
        <w:t>J07BX03</w:t>
      </w:r>
    </w:p>
    <w:p w14:paraId="6EE46651" w14:textId="23D4A608" w:rsidR="001A3992" w:rsidRDefault="001A3992" w:rsidP="001A3992">
      <w:pPr>
        <w:pStyle w:val="Heading3"/>
        <w:spacing w:before="0" w:after="120"/>
      </w:pPr>
      <w:r w:rsidRPr="00B878CC">
        <w:t>Mechanism of action</w:t>
      </w:r>
    </w:p>
    <w:p w14:paraId="4CAE9085" w14:textId="07621230" w:rsidR="004C2A15" w:rsidRPr="00417AFA" w:rsidRDefault="005E7528" w:rsidP="00F97B7C">
      <w:pPr>
        <w:autoSpaceDE w:val="0"/>
        <w:autoSpaceDN w:val="0"/>
        <w:adjustRightInd w:val="0"/>
        <w:spacing w:after="0" w:line="240" w:lineRule="auto"/>
        <w:rPr>
          <w:noProof/>
        </w:rPr>
      </w:pPr>
      <w:bookmarkStart w:id="23" w:name="_Hlk78801787"/>
      <w:r w:rsidRPr="5D3A42D4">
        <w:rPr>
          <w:noProof/>
        </w:rPr>
        <w:t>N</w:t>
      </w:r>
      <w:r>
        <w:rPr>
          <w:noProof/>
        </w:rPr>
        <w:t>UVAXOVID</w:t>
      </w:r>
      <w:r w:rsidRPr="1C2644CC">
        <w:rPr>
          <w:noProof/>
        </w:rPr>
        <w:t xml:space="preserve"> </w:t>
      </w:r>
      <w:r w:rsidR="004C2A15">
        <w:t xml:space="preserve">is composed </w:t>
      </w:r>
      <w:r w:rsidR="004C2A15" w:rsidRPr="009E3C66">
        <w:t xml:space="preserve">of </w:t>
      </w:r>
      <w:r w:rsidR="008E2ABA" w:rsidRPr="009E3C66">
        <w:t xml:space="preserve">purified </w:t>
      </w:r>
      <w:r w:rsidR="004C2A15" w:rsidRPr="009E3C66">
        <w:t>full</w:t>
      </w:r>
      <w:r w:rsidR="004C2A15">
        <w:t xml:space="preserve">-length SARS-CoV-2 recombinant spike (S) protein that is stabilised in its prefusion conformation. The addition of the saponin-based Matrix-M adjuvant facilitates activation of the cells of the innate immune system, which enhances the magnitude of the S protein-specific immune response. The </w:t>
      </w:r>
      <w:r w:rsidR="00093797">
        <w:t>2</w:t>
      </w:r>
      <w:r w:rsidR="004C2A15">
        <w:t xml:space="preserve"> vaccine </w:t>
      </w:r>
      <w:r w:rsidR="004C2A15" w:rsidRPr="2AF18351">
        <w:rPr>
          <w:shd w:val="clear" w:color="auto" w:fill="FFFFFF"/>
        </w:rPr>
        <w:t xml:space="preserve">components elicit B- and T-cell immune responses to the S protein, including </w:t>
      </w:r>
      <w:r w:rsidR="00067FEF">
        <w:t xml:space="preserve">neutralising </w:t>
      </w:r>
      <w:r w:rsidR="004C2A15" w:rsidRPr="2AF18351">
        <w:rPr>
          <w:shd w:val="clear" w:color="auto" w:fill="FFFFFF"/>
        </w:rPr>
        <w:t>antibodies, which protect against COVID-19.</w:t>
      </w:r>
      <w:r w:rsidR="004C2A15" w:rsidRPr="2AF18351">
        <w:rPr>
          <w:noProof/>
          <w:color w:val="D9D9D9" w:themeColor="background1" w:themeShade="D9"/>
        </w:rPr>
        <w:t xml:space="preserve"> </w:t>
      </w:r>
    </w:p>
    <w:bookmarkEnd w:id="23"/>
    <w:p w14:paraId="4B3612AF" w14:textId="7C31D83D" w:rsidR="001A3992" w:rsidRPr="00417AFA" w:rsidRDefault="001A3992" w:rsidP="00417AFA">
      <w:pPr>
        <w:pStyle w:val="Heading3"/>
      </w:pPr>
      <w:r w:rsidRPr="008629DA">
        <w:t>Clinical</w:t>
      </w:r>
      <w:r w:rsidRPr="00417AFA">
        <w:t xml:space="preserve"> trials</w:t>
      </w:r>
    </w:p>
    <w:p w14:paraId="34015ED3" w14:textId="414BD8C1" w:rsidR="00093797" w:rsidRPr="008629DA" w:rsidRDefault="007B78E8" w:rsidP="00F97B7C">
      <w:pPr>
        <w:autoSpaceDE w:val="0"/>
        <w:autoSpaceDN w:val="0"/>
        <w:adjustRightInd w:val="0"/>
        <w:spacing w:line="240" w:lineRule="auto"/>
      </w:pPr>
      <w:r w:rsidRPr="008629DA">
        <w:t xml:space="preserve">Two early phase clinical trials were conducted as </w:t>
      </w:r>
      <w:r>
        <w:t>c</w:t>
      </w:r>
      <w:r w:rsidR="00093797" w:rsidRPr="008629DA">
        <w:t>linical Study 2019nCoV-101</w:t>
      </w:r>
      <w:r w:rsidR="006D546A" w:rsidRPr="008629DA">
        <w:t>;</w:t>
      </w:r>
      <w:r w:rsidR="00093797" w:rsidRPr="008629DA">
        <w:t xml:space="preserve"> a Phase 1 (first-in-human)/Phase 2, randomized, observer-blinded, placebo-controlled trial evaluating the safety and immunogenicity of 5-μg and 25-μg doses of SARS-CoV-2 </w:t>
      </w:r>
      <w:proofErr w:type="spellStart"/>
      <w:r w:rsidR="00093797" w:rsidRPr="008629DA">
        <w:t>rS</w:t>
      </w:r>
      <w:proofErr w:type="spellEnd"/>
      <w:r w:rsidR="00093797" w:rsidRPr="008629DA">
        <w:t xml:space="preserve"> with or without 50 </w:t>
      </w:r>
      <w:proofErr w:type="spellStart"/>
      <w:r w:rsidR="00093797" w:rsidRPr="008629DA">
        <w:t>μg</w:t>
      </w:r>
      <w:proofErr w:type="spellEnd"/>
      <w:r w:rsidR="00093797" w:rsidRPr="008629DA">
        <w:t xml:space="preserve"> Matrix-M adjuvant. The Phase 1 study in 131 healthy adult participants aged 18- 59 was conducted in Australia (Part 1), and the Phase 2 study in 1,283 healthy adult participants aged 18- 84 was conducted in both Australia and the US (Part 2). </w:t>
      </w:r>
    </w:p>
    <w:p w14:paraId="0DBB3782" w14:textId="7AD0327D" w:rsidR="00093797" w:rsidRPr="008629DA" w:rsidRDefault="00093797" w:rsidP="00F97B7C">
      <w:pPr>
        <w:autoSpaceDE w:val="0"/>
        <w:autoSpaceDN w:val="0"/>
        <w:adjustRightInd w:val="0"/>
        <w:spacing w:line="240" w:lineRule="auto"/>
      </w:pPr>
      <w:r w:rsidRPr="008629DA">
        <w:t xml:space="preserve">Part 1: Two-dose regimens of 5 </w:t>
      </w:r>
      <w:proofErr w:type="spellStart"/>
      <w:r w:rsidRPr="008629DA">
        <w:t>μg</w:t>
      </w:r>
      <w:proofErr w:type="spellEnd"/>
      <w:r w:rsidRPr="008629DA">
        <w:t xml:space="preserve"> or 25 </w:t>
      </w:r>
      <w:proofErr w:type="spellStart"/>
      <w:r w:rsidRPr="008629DA">
        <w:t>μg</w:t>
      </w:r>
      <w:proofErr w:type="spellEnd"/>
      <w:r w:rsidRPr="008629DA">
        <w:t xml:space="preserve"> SARS-CoV-2 </w:t>
      </w:r>
      <w:proofErr w:type="spellStart"/>
      <w:r w:rsidRPr="008629DA">
        <w:t>rS</w:t>
      </w:r>
      <w:proofErr w:type="spellEnd"/>
      <w:r w:rsidRPr="008629DA">
        <w:t xml:space="preserve"> with 50 </w:t>
      </w:r>
      <w:proofErr w:type="spellStart"/>
      <w:r w:rsidRPr="008629DA">
        <w:t>μg</w:t>
      </w:r>
      <w:proofErr w:type="spellEnd"/>
      <w:r w:rsidRPr="008629DA">
        <w:t xml:space="preserve"> Matrix-M adjuvant, administered 21 </w:t>
      </w:r>
      <w:r w:rsidR="007B78E8" w:rsidRPr="008629DA">
        <w:t xml:space="preserve">to 28 </w:t>
      </w:r>
      <w:r w:rsidRPr="008629DA">
        <w:t xml:space="preserve">days apart as a bedside mixture, induced robust immune responses (anti-S protein IgG, wild-type neutralizing, and hACE2 receptor binding inhibition), peaking 2 weeks after second vaccination (Day 35). Matrix-M adjuvant was antigen sparing, induced high levels of functional antibodies, and showed a Th1-biased immune response. No dose response was seen between the 5-μg and 25-μg doses. </w:t>
      </w:r>
    </w:p>
    <w:p w14:paraId="40901A62" w14:textId="1A5BBA8B" w:rsidR="006D546A" w:rsidRPr="008629DA" w:rsidRDefault="00093797" w:rsidP="00F97B7C">
      <w:pPr>
        <w:autoSpaceDE w:val="0"/>
        <w:autoSpaceDN w:val="0"/>
        <w:adjustRightInd w:val="0"/>
        <w:spacing w:line="240" w:lineRule="auto"/>
      </w:pPr>
      <w:r w:rsidRPr="008629DA">
        <w:t xml:space="preserve">Part 2: Two-dose regimens of 5 </w:t>
      </w:r>
      <w:proofErr w:type="spellStart"/>
      <w:r w:rsidRPr="008629DA">
        <w:t>μg</w:t>
      </w:r>
      <w:proofErr w:type="spellEnd"/>
      <w:r w:rsidRPr="008629DA">
        <w:t xml:space="preserve"> or 25 </w:t>
      </w:r>
      <w:proofErr w:type="spellStart"/>
      <w:r w:rsidRPr="008629DA">
        <w:t>μg</w:t>
      </w:r>
      <w:proofErr w:type="spellEnd"/>
      <w:r w:rsidRPr="008629DA">
        <w:t xml:space="preserve"> SARS-CoV-2 </w:t>
      </w:r>
      <w:proofErr w:type="spellStart"/>
      <w:r w:rsidRPr="008629DA">
        <w:t>rS</w:t>
      </w:r>
      <w:proofErr w:type="spellEnd"/>
      <w:r w:rsidRPr="008629DA">
        <w:t xml:space="preserve"> with 50 </w:t>
      </w:r>
      <w:proofErr w:type="spellStart"/>
      <w:r w:rsidRPr="008629DA">
        <w:t>μg</w:t>
      </w:r>
      <w:proofErr w:type="spellEnd"/>
      <w:r w:rsidRPr="008629DA">
        <w:t xml:space="preserve"> Matrix-M adjuvant, administered 21 days apart as co-formulated drug product (NUVAXOVID), showed similar results (to Part 1), at Day 35. </w:t>
      </w:r>
    </w:p>
    <w:p w14:paraId="3419AD26" w14:textId="4E2E8A7E" w:rsidR="004C2A15" w:rsidRDefault="006E6428" w:rsidP="00F97B7C">
      <w:pPr>
        <w:autoSpaceDE w:val="0"/>
        <w:autoSpaceDN w:val="0"/>
        <w:adjustRightInd w:val="0"/>
        <w:spacing w:line="240" w:lineRule="auto"/>
      </w:pPr>
      <w:r w:rsidRPr="008629DA">
        <w:t xml:space="preserve">Both dose levels were well tolerated and induced robust immune responses after the second vaccination (Day 35). </w:t>
      </w:r>
      <w:r w:rsidR="00093797" w:rsidRPr="008629DA">
        <w:t xml:space="preserve">Collectively, the data from Part 1 and Part 2 of Clinical Study 2019nCoV-101 supported selection and further development of the </w:t>
      </w:r>
      <w:r w:rsidR="00B76021" w:rsidRPr="008629DA">
        <w:t>2</w:t>
      </w:r>
      <w:r w:rsidR="00093797" w:rsidRPr="008629DA">
        <w:t xml:space="preserve">-dose 5 </w:t>
      </w:r>
      <w:proofErr w:type="spellStart"/>
      <w:r w:rsidR="00093797" w:rsidRPr="008629DA">
        <w:t>μg</w:t>
      </w:r>
      <w:proofErr w:type="spellEnd"/>
      <w:r w:rsidR="00093797" w:rsidRPr="008629DA">
        <w:t xml:space="preserve"> adjuvanted vaccine</w:t>
      </w:r>
      <w:r w:rsidR="00093797" w:rsidRPr="00417AFA">
        <w:t>.</w:t>
      </w:r>
      <w:r w:rsidR="00B76021" w:rsidRPr="00417AFA">
        <w:t xml:space="preserve"> </w:t>
      </w:r>
      <w:r w:rsidR="004C2A15">
        <w:t xml:space="preserve">The clinical efficacy, safety, and immunogenicity of </w:t>
      </w:r>
      <w:r w:rsidR="005F3D84">
        <w:t xml:space="preserve">NUVAXOVID </w:t>
      </w:r>
      <w:r w:rsidR="004C2A15">
        <w:t xml:space="preserve">is being evaluated in </w:t>
      </w:r>
      <w:r w:rsidR="00D90918">
        <w:t>2</w:t>
      </w:r>
      <w:r w:rsidR="004C2A15">
        <w:t xml:space="preserve"> pivotal, placebo-controlled, Phase 3 studies: Study 1 (2019nCoV-301) conducted in North America and Study 2 (2019nCoV-302) conducted in the United Kingdom</w:t>
      </w:r>
      <w:r w:rsidR="003A129E">
        <w:t>, and a Phase 2a/b study, Study 3, conducted in South Africa</w:t>
      </w:r>
      <w:r w:rsidR="004C2A15">
        <w:t>.</w:t>
      </w:r>
    </w:p>
    <w:p w14:paraId="1EBF7E23" w14:textId="0C6CCBBB" w:rsidR="004C2A15" w:rsidRPr="00862660" w:rsidRDefault="004C2A15" w:rsidP="005F3D84">
      <w:pPr>
        <w:pStyle w:val="Heading3"/>
      </w:pPr>
      <w:r w:rsidRPr="00862660">
        <w:lastRenderedPageBreak/>
        <w:t>Study</w:t>
      </w:r>
      <w:r>
        <w:t> </w:t>
      </w:r>
      <w:r w:rsidRPr="00862660">
        <w:t>1 (2019nCoV-301)</w:t>
      </w:r>
      <w:r w:rsidR="00E7289D">
        <w:t xml:space="preserve"> </w:t>
      </w:r>
      <w:bookmarkStart w:id="24" w:name="_Hlk101961182"/>
      <w:r w:rsidR="00BA1D52">
        <w:t>- 2</w:t>
      </w:r>
      <w:r w:rsidR="00E7289D">
        <w:t>-dose Primary Series</w:t>
      </w:r>
      <w:bookmarkEnd w:id="24"/>
    </w:p>
    <w:p w14:paraId="3356C53B" w14:textId="29091369" w:rsidR="004C2A15" w:rsidRPr="007805C4" w:rsidRDefault="004C2A15" w:rsidP="00F97B7C">
      <w:pPr>
        <w:autoSpaceDE w:val="0"/>
        <w:autoSpaceDN w:val="0"/>
        <w:adjustRightInd w:val="0"/>
        <w:spacing w:line="240" w:lineRule="auto"/>
        <w:rPr>
          <w:i/>
          <w:iCs/>
          <w:color w:val="BFBFBF" w:themeColor="background1" w:themeShade="BF"/>
        </w:rPr>
      </w:pPr>
      <w:r>
        <w:t xml:space="preserve">Study 1 is an ongoing Phase 3, multicentre, randomised, observer-blinded, placebo-controlled study in participants 18 years of age and older in United States and Mexico. Upon enrolment, participants were stratified by age (18 to 64 years and ≥ 65 years) and assigned in a 2:1 ratio to receive </w:t>
      </w:r>
      <w:r w:rsidR="005F3D84">
        <w:t xml:space="preserve">NUVAXOVID </w:t>
      </w:r>
      <w:r>
        <w:t>or placebo. The study excluded participants who</w:t>
      </w:r>
      <w:r w:rsidR="000F34C9">
        <w:t xml:space="preserve"> were </w:t>
      </w:r>
      <w:r>
        <w:t>significant</w:t>
      </w:r>
      <w:r w:rsidR="000F34C9">
        <w:t>ly</w:t>
      </w:r>
      <w:r>
        <w:t xml:space="preserve"> immunocompromise</w:t>
      </w:r>
      <w:r w:rsidR="000F34C9">
        <w:t>d</w:t>
      </w:r>
      <w:r>
        <w:t xml:space="preserve"> due to immunodeficiency disease; active cancer on chemotherapy; received chronic immunosuppressive </w:t>
      </w:r>
      <w:r w:rsidRPr="00093797">
        <w:t>therapy</w:t>
      </w:r>
      <w:r w:rsidR="008E2ABA" w:rsidRPr="00093797">
        <w:t xml:space="preserve"> or received immunoglobulin or blood</w:t>
      </w:r>
      <w:r w:rsidR="00990B43">
        <w:t>-</w:t>
      </w:r>
      <w:r w:rsidR="008E2ABA" w:rsidRPr="00093797">
        <w:t>derived products within 90 days</w:t>
      </w:r>
      <w:r w:rsidRPr="00093797">
        <w:t>; were pregnant</w:t>
      </w:r>
      <w:r w:rsidR="003A129E">
        <w:t xml:space="preserve"> or breastfeeding</w:t>
      </w:r>
      <w:r w:rsidRPr="00093797">
        <w:t>; or had a history of laboratory-confirmed diagnosed COVID-19. Participants with</w:t>
      </w:r>
      <w:r>
        <w:t xml:space="preserve"> clinically stable underlying comorbidity were included as were participants with well-controlled </w:t>
      </w:r>
      <w:r w:rsidR="008E2ABA">
        <w:t>human immunodeficiency virus (</w:t>
      </w:r>
      <w:r>
        <w:t>HIV</w:t>
      </w:r>
      <w:r w:rsidR="008E2ABA">
        <w:t>)</w:t>
      </w:r>
      <w:r>
        <w:t xml:space="preserve"> infection. </w:t>
      </w:r>
    </w:p>
    <w:p w14:paraId="00525153" w14:textId="38F33EAE" w:rsidR="004C2A15" w:rsidRPr="0089764A" w:rsidRDefault="004C2A15" w:rsidP="00F97B7C">
      <w:pPr>
        <w:autoSpaceDE w:val="0"/>
        <w:autoSpaceDN w:val="0"/>
        <w:adjustRightInd w:val="0"/>
        <w:spacing w:line="240" w:lineRule="auto"/>
      </w:pPr>
      <w:r>
        <w:t xml:space="preserve">Enrolment of adults </w:t>
      </w:r>
      <w:r w:rsidR="00663880">
        <w:t xml:space="preserve">was </w:t>
      </w:r>
      <w:r>
        <w:t>completed in February 2021. Participants will be followed for up to 24 months after the first dose for assessments of safety, and efficacy against COVID-19.</w:t>
      </w:r>
      <w:r w:rsidR="00372537">
        <w:t xml:space="preserve"> Following collection of sufficient safety data to support an application for emergency use authorisation, initial recipients of placebo were invited to receive 2 injections of NUVAXOVID 21 days apart and initial recipients of NUVAXOVID to receive 2 injections of placebo 21 days apart (‘blinded crossover’).  All participants were offered the opportunity to continue to be followed in the study.</w:t>
      </w:r>
    </w:p>
    <w:p w14:paraId="262EC7E9" w14:textId="0A893218" w:rsidR="004C2A15" w:rsidRDefault="004C2A15" w:rsidP="00F97B7C">
      <w:pPr>
        <w:autoSpaceDE w:val="0"/>
        <w:autoSpaceDN w:val="0"/>
        <w:adjustRightInd w:val="0"/>
        <w:spacing w:line="240" w:lineRule="auto"/>
      </w:pPr>
      <w:r>
        <w:t>The primary efficacy analysis population (referred to as the Per-Protocol Efficacy [PP-EFF] analysis set) included 25,452</w:t>
      </w:r>
      <w:r w:rsidRPr="6416E0F6">
        <w:rPr>
          <w:b/>
          <w:bCs/>
          <w:sz w:val="20"/>
        </w:rPr>
        <w:t xml:space="preserve"> </w:t>
      </w:r>
      <w:r>
        <w:t xml:space="preserve">participants who received either </w:t>
      </w:r>
      <w:r w:rsidR="005F3D84">
        <w:t xml:space="preserve">NUVAXOVID </w:t>
      </w:r>
      <w:r>
        <w:t xml:space="preserve">(n=17,312) or placebo (n=8,140), received </w:t>
      </w:r>
      <w:r w:rsidR="00093797">
        <w:t>2</w:t>
      </w:r>
      <w:r>
        <w:t xml:space="preserve"> doses (Dose 1 on </w:t>
      </w:r>
      <w:r w:rsidR="00AB36A5">
        <w:t>D</w:t>
      </w:r>
      <w:r>
        <w:t xml:space="preserve">ay 0; Dose 2 </w:t>
      </w:r>
      <w:r w:rsidR="00BA16AE">
        <w:t>at Day 21, median 21 days [IQR 21-23], range 14-60</w:t>
      </w:r>
      <w:r>
        <w:t xml:space="preserve">), did not experience an exclusionary protocol deviation, and did not have evidence of SARS-CoV-2 infection through 7 days after the second dose. </w:t>
      </w:r>
    </w:p>
    <w:p w14:paraId="0CAD36F3" w14:textId="6FE38960" w:rsidR="004C2A15" w:rsidRPr="00417AFA" w:rsidRDefault="004C2A15" w:rsidP="00F97B7C">
      <w:pPr>
        <w:autoSpaceDE w:val="0"/>
        <w:autoSpaceDN w:val="0"/>
        <w:adjustRightInd w:val="0"/>
        <w:spacing w:line="240" w:lineRule="auto"/>
        <w:ind w:right="102"/>
        <w:rPr>
          <w:noProof/>
        </w:rPr>
      </w:pPr>
      <w:r>
        <w:t xml:space="preserve">Demographic and baseline characteristics were balanced amongst participants who received </w:t>
      </w:r>
      <w:r w:rsidR="005F3D84">
        <w:t xml:space="preserve">NUVAXOVID </w:t>
      </w:r>
      <w:r>
        <w:t xml:space="preserve">and those who received placebo. In the PP-EFF analysis set for participants who received </w:t>
      </w:r>
      <w:r w:rsidR="005F3D84">
        <w:t>NUVAXOVID</w:t>
      </w:r>
      <w:r>
        <w:t>, the median age range was 47 years (range: 18 to 95 years); 88% (n=15,264) were 18 to 64 years old and 1</w:t>
      </w:r>
      <w:r w:rsidR="00741846">
        <w:t>2</w:t>
      </w:r>
      <w:r>
        <w:t>% (n=2,048) were aged 65 and older; 4</w:t>
      </w:r>
      <w:r w:rsidR="00741846">
        <w:t>8</w:t>
      </w:r>
      <w:r>
        <w:t xml:space="preserve">% were female; 94% were from the United States and </w:t>
      </w:r>
      <w:r w:rsidR="00741846">
        <w:t>6</w:t>
      </w:r>
      <w:r>
        <w:t>% were from Mexico; 7</w:t>
      </w:r>
      <w:r w:rsidR="00741846">
        <w:t>6</w:t>
      </w:r>
      <w:r>
        <w:t>% were White, 1</w:t>
      </w:r>
      <w:r w:rsidR="00741846">
        <w:t>1</w:t>
      </w:r>
      <w:r>
        <w:t>% were Black or African American, 6% were American Indian (including Native Americans) or Alaskan Native, and 4% were Asian; 2</w:t>
      </w:r>
      <w:r w:rsidR="00741846">
        <w:t>2</w:t>
      </w:r>
      <w:r>
        <w:t xml:space="preserve">% were Hispanic or Latino. At least </w:t>
      </w:r>
      <w:r w:rsidR="00741846">
        <w:t>1</w:t>
      </w:r>
      <w:r>
        <w:t xml:space="preserve"> pre-existing comorbidity or lifestyle characteristic associated with an increased risk of severe COVID-19</w:t>
      </w:r>
      <w:r w:rsidR="00741846">
        <w:t xml:space="preserve"> was present in 16,493 (95%) participants</w:t>
      </w:r>
      <w:r>
        <w:t xml:space="preserve">. Comorbidities included: obesity </w:t>
      </w:r>
      <w:r w:rsidR="00741846">
        <w:t>(</w:t>
      </w:r>
      <w:r>
        <w:t>body mass index (BMI) ≥ 30 kg/m</w:t>
      </w:r>
      <w:r w:rsidRPr="7B03E542">
        <w:rPr>
          <w:vertAlign w:val="superscript"/>
        </w:rPr>
        <w:t>2</w:t>
      </w:r>
      <w:r w:rsidR="00741846">
        <w:t>);</w:t>
      </w:r>
      <w:r>
        <w:t xml:space="preserve"> chronic lung disease</w:t>
      </w:r>
      <w:r w:rsidR="00741846">
        <w:t>;</w:t>
      </w:r>
      <w:r>
        <w:t xml:space="preserve"> diabetes mellitus type 2</w:t>
      </w:r>
      <w:r w:rsidR="00741846">
        <w:t>;</w:t>
      </w:r>
      <w:r>
        <w:t xml:space="preserve"> cardiovascular disease</w:t>
      </w:r>
      <w:r w:rsidR="00741846">
        <w:t>;</w:t>
      </w:r>
      <w:r>
        <w:t xml:space="preserve"> chronic kidney disease</w:t>
      </w:r>
      <w:r w:rsidR="00741846">
        <w:t>;</w:t>
      </w:r>
      <w:r>
        <w:t xml:space="preserve"> or HIV. Other high-risk characteristics included age ≥ 65 years </w:t>
      </w:r>
      <w:r w:rsidR="00741846">
        <w:t>(</w:t>
      </w:r>
      <w:r>
        <w:t>with or without comorbidities</w:t>
      </w:r>
      <w:r w:rsidR="00741846">
        <w:t>)</w:t>
      </w:r>
      <w:r>
        <w:t xml:space="preserve"> or age &lt; 65 years with comorbidities and/or living or working conditions involving known frequent exposure to SARS-CoV-2 or to densely populated circumstances.</w:t>
      </w:r>
      <w:r w:rsidRPr="7B03E542">
        <w:rPr>
          <w:i/>
          <w:iCs/>
          <w:color w:val="D9D9D9" w:themeColor="background1" w:themeShade="D9"/>
          <w:sz w:val="24"/>
          <w:szCs w:val="24"/>
        </w:rPr>
        <w:t xml:space="preserve"> </w:t>
      </w:r>
    </w:p>
    <w:p w14:paraId="3E6CA9D0" w14:textId="7C56A3FB" w:rsidR="00C03CB9" w:rsidRDefault="004C2A15" w:rsidP="00F97B7C">
      <w:pPr>
        <w:autoSpaceDE w:val="0"/>
        <w:autoSpaceDN w:val="0"/>
        <w:adjustRightInd w:val="0"/>
        <w:spacing w:line="240" w:lineRule="auto"/>
      </w:pPr>
      <w:r>
        <w:t>COVID-19 cases were confirmed by polymerase chain reaction (PCR)</w:t>
      </w:r>
      <w:r w:rsidR="005E7528">
        <w:t xml:space="preserve"> testing</w:t>
      </w:r>
      <w:r>
        <w:t xml:space="preserve"> through a central laboratory. Vaccine efficacy </w:t>
      </w:r>
      <w:r w:rsidR="00741846">
        <w:t xml:space="preserve">is </w:t>
      </w:r>
      <w:r>
        <w:t>presented in Table 2.</w:t>
      </w:r>
    </w:p>
    <w:p w14:paraId="5A2809B0" w14:textId="1F49BC63" w:rsidR="004C2A15" w:rsidRPr="00D41C46" w:rsidRDefault="004C2A15" w:rsidP="00E61D02">
      <w:pPr>
        <w:keepNext/>
        <w:keepLines/>
        <w:autoSpaceDE w:val="0"/>
        <w:autoSpaceDN w:val="0"/>
        <w:adjustRightInd w:val="0"/>
        <w:spacing w:line="240" w:lineRule="auto"/>
        <w:rPr>
          <w:b/>
          <w:bCs/>
        </w:rPr>
      </w:pPr>
      <w:bookmarkStart w:id="25" w:name="_Hlk80290824"/>
      <w:r w:rsidRPr="38495E97">
        <w:rPr>
          <w:b/>
          <w:bCs/>
        </w:rPr>
        <w:lastRenderedPageBreak/>
        <w:t>Table 2: Vaccine efficacy analyses of PCR-confirmed</w:t>
      </w:r>
      <w:r>
        <w:rPr>
          <w:b/>
          <w:bCs/>
        </w:rPr>
        <w:t xml:space="preserve"> </w:t>
      </w:r>
      <w:r w:rsidRPr="38495E97">
        <w:rPr>
          <w:b/>
          <w:bCs/>
        </w:rPr>
        <w:t>COVID-19 with onset from 7 days after second vaccination</w:t>
      </w:r>
      <w:r w:rsidRPr="003C4DB0">
        <w:rPr>
          <w:b/>
          <w:bCs/>
          <w:vertAlign w:val="superscript"/>
        </w:rPr>
        <w:t>1</w:t>
      </w:r>
      <w:r w:rsidRPr="38495E97">
        <w:rPr>
          <w:b/>
          <w:bCs/>
        </w:rPr>
        <w:t xml:space="preserve"> - PP-EFF analysis set; Study 1 (2019nCoV-301)</w:t>
      </w:r>
    </w:p>
    <w:tbl>
      <w:tblPr>
        <w:tblStyle w:val="TableGrid"/>
        <w:tblW w:w="9351" w:type="dxa"/>
        <w:tblLayout w:type="fixed"/>
        <w:tblLook w:val="04A0" w:firstRow="1" w:lastRow="0" w:firstColumn="1" w:lastColumn="0" w:noHBand="0" w:noVBand="1"/>
      </w:tblPr>
      <w:tblGrid>
        <w:gridCol w:w="1345"/>
        <w:gridCol w:w="1005"/>
        <w:gridCol w:w="975"/>
        <w:gridCol w:w="1185"/>
        <w:gridCol w:w="1035"/>
        <w:gridCol w:w="1005"/>
        <w:gridCol w:w="1242"/>
        <w:gridCol w:w="1559"/>
      </w:tblGrid>
      <w:tr w:rsidR="004C2A15" w14:paraId="5A908C77" w14:textId="77777777" w:rsidTr="003E15ED">
        <w:tc>
          <w:tcPr>
            <w:tcW w:w="1345" w:type="dxa"/>
            <w:vMerge w:val="restart"/>
          </w:tcPr>
          <w:p w14:paraId="4D087C3A" w14:textId="77777777" w:rsidR="004C2A15" w:rsidRDefault="004C2A15" w:rsidP="00E61D02">
            <w:pPr>
              <w:keepNext/>
              <w:keepLines/>
              <w:autoSpaceDE w:val="0"/>
              <w:autoSpaceDN w:val="0"/>
              <w:adjustRightInd w:val="0"/>
              <w:rPr>
                <w:b/>
                <w:bCs/>
                <w:sz w:val="20"/>
              </w:rPr>
            </w:pPr>
          </w:p>
          <w:p w14:paraId="5992AE5C" w14:textId="77777777" w:rsidR="004C2A15" w:rsidRDefault="004C2A15" w:rsidP="00E61D02">
            <w:pPr>
              <w:keepNext/>
              <w:keepLines/>
              <w:autoSpaceDE w:val="0"/>
              <w:autoSpaceDN w:val="0"/>
              <w:adjustRightInd w:val="0"/>
              <w:rPr>
                <w:b/>
                <w:bCs/>
                <w:sz w:val="20"/>
              </w:rPr>
            </w:pPr>
          </w:p>
          <w:p w14:paraId="6B37F1D6" w14:textId="77777777" w:rsidR="004C2A15" w:rsidRDefault="004C2A15" w:rsidP="00E61D02">
            <w:pPr>
              <w:keepNext/>
              <w:keepLines/>
              <w:autoSpaceDE w:val="0"/>
              <w:autoSpaceDN w:val="0"/>
              <w:adjustRightInd w:val="0"/>
              <w:rPr>
                <w:b/>
                <w:bCs/>
                <w:sz w:val="20"/>
              </w:rPr>
            </w:pPr>
          </w:p>
          <w:p w14:paraId="5C458697" w14:textId="77777777" w:rsidR="004C2A15" w:rsidRDefault="004C2A15" w:rsidP="00E61D02">
            <w:pPr>
              <w:keepNext/>
              <w:keepLines/>
              <w:autoSpaceDE w:val="0"/>
              <w:autoSpaceDN w:val="0"/>
              <w:adjustRightInd w:val="0"/>
              <w:rPr>
                <w:b/>
                <w:bCs/>
                <w:sz w:val="20"/>
              </w:rPr>
            </w:pPr>
          </w:p>
          <w:p w14:paraId="724945C4" w14:textId="77777777" w:rsidR="004C2A15" w:rsidRPr="00565E49" w:rsidRDefault="004C2A15" w:rsidP="00E61D02">
            <w:pPr>
              <w:keepNext/>
              <w:keepLines/>
              <w:autoSpaceDE w:val="0"/>
              <w:autoSpaceDN w:val="0"/>
              <w:adjustRightInd w:val="0"/>
              <w:rPr>
                <w:b/>
                <w:bCs/>
                <w:sz w:val="20"/>
              </w:rPr>
            </w:pPr>
            <w:r w:rsidRPr="0A2502AD">
              <w:rPr>
                <w:b/>
                <w:bCs/>
                <w:sz w:val="20"/>
              </w:rPr>
              <w:t xml:space="preserve">Subgroup </w:t>
            </w:r>
          </w:p>
        </w:tc>
        <w:tc>
          <w:tcPr>
            <w:tcW w:w="3165" w:type="dxa"/>
            <w:gridSpan w:val="3"/>
          </w:tcPr>
          <w:p w14:paraId="00065429" w14:textId="23F888D2" w:rsidR="004C2A15" w:rsidRPr="00565E49" w:rsidRDefault="004C2A15" w:rsidP="00E61D02">
            <w:pPr>
              <w:keepNext/>
              <w:keepLines/>
              <w:autoSpaceDE w:val="0"/>
              <w:autoSpaceDN w:val="0"/>
              <w:adjustRightInd w:val="0"/>
              <w:jc w:val="center"/>
              <w:rPr>
                <w:b/>
                <w:bCs/>
                <w:sz w:val="20"/>
              </w:rPr>
            </w:pPr>
            <w:r w:rsidRPr="0A2502AD">
              <w:rPr>
                <w:b/>
                <w:bCs/>
                <w:sz w:val="20"/>
              </w:rPr>
              <w:t>N</w:t>
            </w:r>
            <w:r w:rsidR="00AC4F18">
              <w:rPr>
                <w:b/>
                <w:bCs/>
                <w:sz w:val="20"/>
              </w:rPr>
              <w:t>UVAXOVID</w:t>
            </w:r>
          </w:p>
        </w:tc>
        <w:tc>
          <w:tcPr>
            <w:tcW w:w="3282" w:type="dxa"/>
            <w:gridSpan w:val="3"/>
          </w:tcPr>
          <w:p w14:paraId="0DD7685D" w14:textId="77777777" w:rsidR="004C2A15" w:rsidRPr="00565E49" w:rsidRDefault="004C2A15" w:rsidP="00E61D02">
            <w:pPr>
              <w:keepNext/>
              <w:keepLines/>
              <w:autoSpaceDE w:val="0"/>
              <w:autoSpaceDN w:val="0"/>
              <w:adjustRightInd w:val="0"/>
              <w:jc w:val="center"/>
              <w:rPr>
                <w:b/>
                <w:bCs/>
                <w:sz w:val="20"/>
              </w:rPr>
            </w:pPr>
            <w:r w:rsidRPr="0A2502AD">
              <w:rPr>
                <w:b/>
                <w:bCs/>
                <w:sz w:val="20"/>
              </w:rPr>
              <w:t>Placebo</w:t>
            </w:r>
          </w:p>
        </w:tc>
        <w:tc>
          <w:tcPr>
            <w:tcW w:w="1559" w:type="dxa"/>
            <w:vMerge w:val="restart"/>
          </w:tcPr>
          <w:p w14:paraId="1BCB657F" w14:textId="77777777" w:rsidR="004C2A15" w:rsidRDefault="004C2A15" w:rsidP="00E61D02">
            <w:pPr>
              <w:keepNext/>
              <w:keepLines/>
              <w:autoSpaceDE w:val="0"/>
              <w:autoSpaceDN w:val="0"/>
              <w:adjustRightInd w:val="0"/>
              <w:jc w:val="center"/>
              <w:rPr>
                <w:b/>
                <w:bCs/>
                <w:sz w:val="20"/>
              </w:rPr>
            </w:pPr>
          </w:p>
          <w:p w14:paraId="650172A0" w14:textId="77777777" w:rsidR="004C2A15" w:rsidRDefault="004C2A15" w:rsidP="00E61D02">
            <w:pPr>
              <w:keepNext/>
              <w:keepLines/>
              <w:autoSpaceDE w:val="0"/>
              <w:autoSpaceDN w:val="0"/>
              <w:adjustRightInd w:val="0"/>
              <w:rPr>
                <w:b/>
                <w:bCs/>
                <w:sz w:val="20"/>
              </w:rPr>
            </w:pPr>
          </w:p>
          <w:p w14:paraId="03974250" w14:textId="77777777" w:rsidR="004C2A15" w:rsidRPr="00565E49" w:rsidRDefault="004C2A15" w:rsidP="00E61D02">
            <w:pPr>
              <w:keepNext/>
              <w:keepLines/>
              <w:autoSpaceDE w:val="0"/>
              <w:autoSpaceDN w:val="0"/>
              <w:adjustRightInd w:val="0"/>
              <w:jc w:val="center"/>
              <w:rPr>
                <w:b/>
                <w:bCs/>
                <w:sz w:val="20"/>
              </w:rPr>
            </w:pPr>
            <w:r w:rsidRPr="0A2502AD">
              <w:rPr>
                <w:b/>
                <w:bCs/>
                <w:sz w:val="20"/>
              </w:rPr>
              <w:t>% Vaccine Efficacy</w:t>
            </w:r>
          </w:p>
          <w:p w14:paraId="5CD7B6E6" w14:textId="77777777" w:rsidR="004C2A15" w:rsidRPr="00565E49" w:rsidRDefault="004C2A15" w:rsidP="00E61D02">
            <w:pPr>
              <w:keepNext/>
              <w:keepLines/>
              <w:autoSpaceDE w:val="0"/>
              <w:autoSpaceDN w:val="0"/>
              <w:adjustRightInd w:val="0"/>
              <w:jc w:val="center"/>
              <w:rPr>
                <w:b/>
                <w:bCs/>
                <w:sz w:val="20"/>
              </w:rPr>
            </w:pPr>
            <w:r w:rsidRPr="0A2502AD">
              <w:rPr>
                <w:b/>
                <w:bCs/>
                <w:sz w:val="20"/>
              </w:rPr>
              <w:t>(95% CI)</w:t>
            </w:r>
          </w:p>
        </w:tc>
      </w:tr>
      <w:tr w:rsidR="004C2A15" w14:paraId="1D9F363A" w14:textId="77777777" w:rsidTr="003E15ED">
        <w:tc>
          <w:tcPr>
            <w:tcW w:w="1345" w:type="dxa"/>
            <w:vMerge/>
          </w:tcPr>
          <w:p w14:paraId="7669952F" w14:textId="77777777" w:rsidR="004C2A15" w:rsidRPr="00565E49" w:rsidRDefault="004C2A15" w:rsidP="00E61D02">
            <w:pPr>
              <w:keepNext/>
              <w:keepLines/>
              <w:autoSpaceDE w:val="0"/>
              <w:autoSpaceDN w:val="0"/>
              <w:adjustRightInd w:val="0"/>
              <w:jc w:val="center"/>
              <w:rPr>
                <w:b/>
                <w:bCs/>
              </w:rPr>
            </w:pPr>
          </w:p>
        </w:tc>
        <w:tc>
          <w:tcPr>
            <w:tcW w:w="1005" w:type="dxa"/>
          </w:tcPr>
          <w:p w14:paraId="4B8D11C0" w14:textId="77777777" w:rsidR="004C2A15" w:rsidRDefault="004C2A15" w:rsidP="00E61D02">
            <w:pPr>
              <w:keepNext/>
              <w:keepLines/>
              <w:autoSpaceDE w:val="0"/>
              <w:autoSpaceDN w:val="0"/>
              <w:adjustRightInd w:val="0"/>
              <w:jc w:val="center"/>
              <w:rPr>
                <w:b/>
                <w:bCs/>
                <w:sz w:val="20"/>
              </w:rPr>
            </w:pPr>
          </w:p>
          <w:p w14:paraId="7DEEDF51" w14:textId="77777777" w:rsidR="004C2A15" w:rsidRDefault="004C2A15" w:rsidP="00E61D02">
            <w:pPr>
              <w:keepNext/>
              <w:keepLines/>
              <w:autoSpaceDE w:val="0"/>
              <w:autoSpaceDN w:val="0"/>
              <w:adjustRightInd w:val="0"/>
              <w:jc w:val="center"/>
              <w:rPr>
                <w:b/>
                <w:bCs/>
                <w:sz w:val="20"/>
              </w:rPr>
            </w:pPr>
          </w:p>
          <w:p w14:paraId="4FFA2E32" w14:textId="255A8131" w:rsidR="004C2A15" w:rsidRDefault="004C2A15" w:rsidP="00E61D02">
            <w:pPr>
              <w:keepNext/>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975" w:type="dxa"/>
          </w:tcPr>
          <w:p w14:paraId="4BCB1319" w14:textId="77777777" w:rsidR="004C2A15" w:rsidRDefault="004C2A15" w:rsidP="00E61D02">
            <w:pPr>
              <w:keepNext/>
              <w:keepLines/>
              <w:autoSpaceDE w:val="0"/>
              <w:autoSpaceDN w:val="0"/>
              <w:adjustRightInd w:val="0"/>
              <w:jc w:val="center"/>
              <w:rPr>
                <w:b/>
                <w:bCs/>
                <w:sz w:val="20"/>
              </w:rPr>
            </w:pPr>
          </w:p>
          <w:p w14:paraId="48A8853E" w14:textId="77777777" w:rsidR="004C2A15" w:rsidRPr="00565E49" w:rsidRDefault="004C2A15" w:rsidP="00E61D02">
            <w:pPr>
              <w:keepNext/>
              <w:keepLines/>
              <w:autoSpaceDE w:val="0"/>
              <w:autoSpaceDN w:val="0"/>
              <w:adjustRightInd w:val="0"/>
              <w:jc w:val="center"/>
              <w:rPr>
                <w:b/>
                <w:bCs/>
              </w:rPr>
            </w:pPr>
            <w:r w:rsidRPr="38495E97">
              <w:rPr>
                <w:b/>
                <w:bCs/>
                <w:sz w:val="20"/>
              </w:rPr>
              <w:t>COVID-19 cases</w:t>
            </w:r>
            <w:r>
              <w:br/>
            </w:r>
            <w:r w:rsidRPr="38495E97">
              <w:rPr>
                <w:b/>
                <w:bCs/>
                <w:sz w:val="20"/>
              </w:rPr>
              <w:t>n (%)</w:t>
            </w:r>
          </w:p>
        </w:tc>
        <w:tc>
          <w:tcPr>
            <w:tcW w:w="1185" w:type="dxa"/>
          </w:tcPr>
          <w:p w14:paraId="040C693A" w14:textId="77777777" w:rsidR="004C2A15" w:rsidRPr="00CF0E17" w:rsidRDefault="004C2A15" w:rsidP="00E61D02">
            <w:pPr>
              <w:keepNext/>
              <w:keepLines/>
              <w:jc w:val="center"/>
              <w:rPr>
                <w:b/>
                <w:vertAlign w:val="superscript"/>
              </w:rPr>
            </w:pPr>
            <w:r w:rsidRPr="38495E97">
              <w:rPr>
                <w:b/>
                <w:bCs/>
                <w:sz w:val="20"/>
              </w:rPr>
              <w:t xml:space="preserve"> Incidence Rate</w:t>
            </w:r>
            <w:r>
              <w:rPr>
                <w:b/>
                <w:bCs/>
                <w:sz w:val="20"/>
              </w:rPr>
              <w:t xml:space="preserve"> </w:t>
            </w:r>
            <w:r w:rsidRPr="38495E97">
              <w:rPr>
                <w:b/>
                <w:bCs/>
                <w:sz w:val="20"/>
              </w:rPr>
              <w:t>Per Year Per 1,000 People</w:t>
            </w:r>
            <w:r>
              <w:rPr>
                <w:b/>
                <w:bCs/>
                <w:sz w:val="20"/>
                <w:vertAlign w:val="superscript"/>
              </w:rPr>
              <w:t>2</w:t>
            </w:r>
          </w:p>
        </w:tc>
        <w:tc>
          <w:tcPr>
            <w:tcW w:w="1035" w:type="dxa"/>
          </w:tcPr>
          <w:p w14:paraId="6B2D9768" w14:textId="77777777" w:rsidR="004C2A15" w:rsidRDefault="004C2A15" w:rsidP="00E61D02">
            <w:pPr>
              <w:keepNext/>
              <w:keepLines/>
              <w:autoSpaceDE w:val="0"/>
              <w:autoSpaceDN w:val="0"/>
              <w:adjustRightInd w:val="0"/>
              <w:jc w:val="center"/>
              <w:rPr>
                <w:b/>
                <w:bCs/>
                <w:sz w:val="20"/>
              </w:rPr>
            </w:pPr>
          </w:p>
          <w:p w14:paraId="4F16599B" w14:textId="77777777" w:rsidR="004C2A15" w:rsidRDefault="004C2A15" w:rsidP="00E61D02">
            <w:pPr>
              <w:keepNext/>
              <w:keepLines/>
              <w:autoSpaceDE w:val="0"/>
              <w:autoSpaceDN w:val="0"/>
              <w:adjustRightInd w:val="0"/>
              <w:jc w:val="center"/>
              <w:rPr>
                <w:b/>
                <w:bCs/>
                <w:sz w:val="20"/>
              </w:rPr>
            </w:pPr>
          </w:p>
          <w:p w14:paraId="27786DA5" w14:textId="77777777" w:rsidR="004C2A15" w:rsidRPr="00565E49" w:rsidRDefault="004C2A15" w:rsidP="00E61D02">
            <w:pPr>
              <w:keepNext/>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 xml:space="preserve">-pants </w:t>
            </w:r>
          </w:p>
          <w:p w14:paraId="521320B7" w14:textId="77777777" w:rsidR="004C2A15" w:rsidRPr="00565E49" w:rsidRDefault="004C2A15" w:rsidP="00E61D02">
            <w:pPr>
              <w:keepNext/>
              <w:keepLines/>
              <w:autoSpaceDE w:val="0"/>
              <w:autoSpaceDN w:val="0"/>
              <w:adjustRightInd w:val="0"/>
              <w:jc w:val="center"/>
              <w:rPr>
                <w:b/>
                <w:bCs/>
                <w:sz w:val="20"/>
              </w:rPr>
            </w:pPr>
            <w:r w:rsidRPr="38495E97">
              <w:rPr>
                <w:b/>
                <w:bCs/>
                <w:sz w:val="20"/>
              </w:rPr>
              <w:t>N</w:t>
            </w:r>
          </w:p>
        </w:tc>
        <w:tc>
          <w:tcPr>
            <w:tcW w:w="1005" w:type="dxa"/>
          </w:tcPr>
          <w:p w14:paraId="42DAFB26" w14:textId="77777777" w:rsidR="004C2A15" w:rsidRDefault="004C2A15" w:rsidP="00E61D02">
            <w:pPr>
              <w:keepNext/>
              <w:keepLines/>
              <w:autoSpaceDE w:val="0"/>
              <w:autoSpaceDN w:val="0"/>
              <w:adjustRightInd w:val="0"/>
              <w:jc w:val="center"/>
              <w:rPr>
                <w:b/>
                <w:bCs/>
                <w:sz w:val="20"/>
              </w:rPr>
            </w:pPr>
          </w:p>
          <w:p w14:paraId="65E1C582" w14:textId="77777777" w:rsidR="004C2A15" w:rsidRPr="00565E49" w:rsidRDefault="004C2A15" w:rsidP="00E61D02">
            <w:pPr>
              <w:keepNext/>
              <w:keepLines/>
              <w:autoSpaceDE w:val="0"/>
              <w:autoSpaceDN w:val="0"/>
              <w:adjustRightInd w:val="0"/>
              <w:jc w:val="center"/>
              <w:rPr>
                <w:b/>
                <w:bCs/>
              </w:rPr>
            </w:pPr>
            <w:r w:rsidRPr="38495E97">
              <w:rPr>
                <w:b/>
                <w:bCs/>
                <w:sz w:val="20"/>
              </w:rPr>
              <w:t>COVID-19 cases n (%)</w:t>
            </w:r>
          </w:p>
        </w:tc>
        <w:tc>
          <w:tcPr>
            <w:tcW w:w="1242" w:type="dxa"/>
          </w:tcPr>
          <w:p w14:paraId="2162EADD" w14:textId="77777777" w:rsidR="004C2A15" w:rsidRPr="00CF0E17" w:rsidRDefault="004C2A15" w:rsidP="00E61D02">
            <w:pPr>
              <w:keepNext/>
              <w:keepLines/>
              <w:jc w:val="center"/>
              <w:rPr>
                <w:b/>
                <w:bCs/>
                <w:sz w:val="20"/>
                <w:vertAlign w:val="superscript"/>
              </w:rPr>
            </w:pPr>
            <w:r w:rsidRPr="38495E97">
              <w:rPr>
                <w:b/>
                <w:bCs/>
                <w:sz w:val="20"/>
              </w:rPr>
              <w:t xml:space="preserve"> Incidence Rate</w:t>
            </w:r>
            <w:r>
              <w:rPr>
                <w:b/>
                <w:bCs/>
                <w:sz w:val="20"/>
              </w:rPr>
              <w:t xml:space="preserve"> </w:t>
            </w:r>
            <w:r w:rsidRPr="38495E97">
              <w:rPr>
                <w:b/>
                <w:bCs/>
                <w:sz w:val="20"/>
              </w:rPr>
              <w:t>Per Year Per 1,000 People</w:t>
            </w:r>
            <w:r>
              <w:rPr>
                <w:b/>
                <w:bCs/>
                <w:sz w:val="20"/>
                <w:vertAlign w:val="superscript"/>
              </w:rPr>
              <w:t>2</w:t>
            </w:r>
          </w:p>
        </w:tc>
        <w:tc>
          <w:tcPr>
            <w:tcW w:w="1559" w:type="dxa"/>
            <w:vMerge/>
          </w:tcPr>
          <w:p w14:paraId="6AD8E392" w14:textId="77777777" w:rsidR="004C2A15" w:rsidRPr="00565E49" w:rsidRDefault="004C2A15" w:rsidP="00E61D02">
            <w:pPr>
              <w:keepNext/>
              <w:keepLines/>
              <w:autoSpaceDE w:val="0"/>
              <w:autoSpaceDN w:val="0"/>
              <w:adjustRightInd w:val="0"/>
              <w:jc w:val="center"/>
              <w:rPr>
                <w:b/>
                <w:bCs/>
              </w:rPr>
            </w:pPr>
          </w:p>
        </w:tc>
      </w:tr>
      <w:tr w:rsidR="004C2A15" w14:paraId="377BB110" w14:textId="77777777" w:rsidTr="003E15ED">
        <w:tc>
          <w:tcPr>
            <w:tcW w:w="9351" w:type="dxa"/>
            <w:gridSpan w:val="8"/>
          </w:tcPr>
          <w:p w14:paraId="7FF00EFB" w14:textId="77777777" w:rsidR="004C2A15" w:rsidRPr="0013131F" w:rsidRDefault="004C2A15" w:rsidP="003E15ED">
            <w:pPr>
              <w:keepLines/>
              <w:autoSpaceDE w:val="0"/>
              <w:autoSpaceDN w:val="0"/>
              <w:adjustRightInd w:val="0"/>
              <w:spacing w:before="60" w:after="60"/>
              <w:rPr>
                <w:b/>
                <w:bCs/>
              </w:rPr>
            </w:pPr>
            <w:r w:rsidRPr="0013131F">
              <w:rPr>
                <w:b/>
                <w:bCs/>
              </w:rPr>
              <w:t>Primary efficacy endpoint</w:t>
            </w:r>
          </w:p>
        </w:tc>
      </w:tr>
      <w:tr w:rsidR="004C2A15" w14:paraId="2AEAF148" w14:textId="77777777" w:rsidTr="003E15ED">
        <w:tc>
          <w:tcPr>
            <w:tcW w:w="1345" w:type="dxa"/>
          </w:tcPr>
          <w:p w14:paraId="1F4492A6" w14:textId="77777777" w:rsidR="004C2A15" w:rsidRPr="00682C1A" w:rsidRDefault="004C2A15" w:rsidP="003E15ED">
            <w:pPr>
              <w:keepLines/>
              <w:autoSpaceDE w:val="0"/>
              <w:autoSpaceDN w:val="0"/>
              <w:adjustRightInd w:val="0"/>
              <w:spacing w:before="60" w:after="60"/>
              <w:ind w:right="-90"/>
              <w:rPr>
                <w:sz w:val="20"/>
              </w:rPr>
            </w:pPr>
            <w:r w:rsidRPr="38495E97">
              <w:rPr>
                <w:sz w:val="20"/>
              </w:rPr>
              <w:t xml:space="preserve"> All participants</w:t>
            </w:r>
          </w:p>
        </w:tc>
        <w:tc>
          <w:tcPr>
            <w:tcW w:w="1005" w:type="dxa"/>
          </w:tcPr>
          <w:p w14:paraId="24BAA9FF" w14:textId="77777777" w:rsidR="004C2A15" w:rsidRPr="00682C1A" w:rsidRDefault="004C2A15" w:rsidP="003E15ED">
            <w:pPr>
              <w:keepLines/>
              <w:autoSpaceDE w:val="0"/>
              <w:autoSpaceDN w:val="0"/>
              <w:adjustRightInd w:val="0"/>
              <w:spacing w:before="60" w:after="60"/>
              <w:jc w:val="center"/>
              <w:rPr>
                <w:sz w:val="20"/>
              </w:rPr>
            </w:pPr>
            <w:r w:rsidRPr="6416E0F6">
              <w:rPr>
                <w:sz w:val="20"/>
              </w:rPr>
              <w:t>17,312</w:t>
            </w:r>
          </w:p>
        </w:tc>
        <w:tc>
          <w:tcPr>
            <w:tcW w:w="975" w:type="dxa"/>
          </w:tcPr>
          <w:p w14:paraId="28185E40" w14:textId="77777777" w:rsidR="004C2A15" w:rsidRPr="00682C1A" w:rsidRDefault="004C2A15" w:rsidP="003E15ED">
            <w:pPr>
              <w:keepLines/>
              <w:autoSpaceDE w:val="0"/>
              <w:autoSpaceDN w:val="0"/>
              <w:adjustRightInd w:val="0"/>
              <w:spacing w:before="60" w:after="60"/>
              <w:jc w:val="center"/>
              <w:rPr>
                <w:sz w:val="20"/>
              </w:rPr>
            </w:pPr>
            <w:r w:rsidRPr="00682C1A">
              <w:rPr>
                <w:sz w:val="20"/>
              </w:rPr>
              <w:t>14</w:t>
            </w:r>
            <w:r>
              <w:rPr>
                <w:sz w:val="20"/>
              </w:rPr>
              <w:t xml:space="preserve"> (0.1)</w:t>
            </w:r>
          </w:p>
        </w:tc>
        <w:tc>
          <w:tcPr>
            <w:tcW w:w="1185" w:type="dxa"/>
          </w:tcPr>
          <w:p w14:paraId="49E48315" w14:textId="77777777" w:rsidR="004C2A15" w:rsidRPr="0013131F" w:rsidRDefault="004C2A15" w:rsidP="003E15ED">
            <w:pPr>
              <w:keepNext/>
              <w:keepLines/>
              <w:spacing w:before="60" w:after="60"/>
              <w:jc w:val="center"/>
              <w:rPr>
                <w:color w:val="000000"/>
                <w:sz w:val="20"/>
              </w:rPr>
            </w:pPr>
            <w:r w:rsidRPr="38495E97">
              <w:rPr>
                <w:color w:val="000000" w:themeColor="text1"/>
                <w:sz w:val="20"/>
              </w:rPr>
              <w:t xml:space="preserve">3.26 </w:t>
            </w:r>
          </w:p>
        </w:tc>
        <w:tc>
          <w:tcPr>
            <w:tcW w:w="1035" w:type="dxa"/>
          </w:tcPr>
          <w:p w14:paraId="5E85A18E" w14:textId="77777777" w:rsidR="004C2A15" w:rsidRPr="00682C1A" w:rsidRDefault="004C2A15" w:rsidP="003E15ED">
            <w:pPr>
              <w:keepLines/>
              <w:autoSpaceDE w:val="0"/>
              <w:autoSpaceDN w:val="0"/>
              <w:adjustRightInd w:val="0"/>
              <w:spacing w:before="60" w:after="60"/>
              <w:jc w:val="center"/>
              <w:rPr>
                <w:sz w:val="20"/>
              </w:rPr>
            </w:pPr>
            <w:r w:rsidRPr="6416E0F6">
              <w:rPr>
                <w:sz w:val="20"/>
              </w:rPr>
              <w:t>8,140</w:t>
            </w:r>
          </w:p>
        </w:tc>
        <w:tc>
          <w:tcPr>
            <w:tcW w:w="1005" w:type="dxa"/>
          </w:tcPr>
          <w:p w14:paraId="4793B820" w14:textId="77777777" w:rsidR="004C2A15" w:rsidRPr="00682C1A" w:rsidRDefault="004C2A15" w:rsidP="003E15ED">
            <w:pPr>
              <w:keepLines/>
              <w:autoSpaceDE w:val="0"/>
              <w:autoSpaceDN w:val="0"/>
              <w:adjustRightInd w:val="0"/>
              <w:spacing w:before="60" w:after="60"/>
              <w:jc w:val="center"/>
              <w:rPr>
                <w:sz w:val="20"/>
              </w:rPr>
            </w:pPr>
            <w:r w:rsidRPr="00682C1A">
              <w:rPr>
                <w:sz w:val="20"/>
              </w:rPr>
              <w:t>63</w:t>
            </w:r>
            <w:r>
              <w:rPr>
                <w:sz w:val="20"/>
              </w:rPr>
              <w:t xml:space="preserve"> (0.8)</w:t>
            </w:r>
          </w:p>
        </w:tc>
        <w:tc>
          <w:tcPr>
            <w:tcW w:w="1242" w:type="dxa"/>
          </w:tcPr>
          <w:p w14:paraId="090B80EA" w14:textId="77777777" w:rsidR="004C2A15" w:rsidRPr="00682C1A" w:rsidRDefault="004C2A15" w:rsidP="003E15ED">
            <w:pPr>
              <w:keepLines/>
              <w:autoSpaceDE w:val="0"/>
              <w:autoSpaceDN w:val="0"/>
              <w:adjustRightInd w:val="0"/>
              <w:spacing w:before="60" w:after="60"/>
              <w:jc w:val="center"/>
              <w:rPr>
                <w:sz w:val="20"/>
              </w:rPr>
            </w:pPr>
            <w:r w:rsidRPr="38495E97">
              <w:rPr>
                <w:color w:val="000000" w:themeColor="text1"/>
                <w:sz w:val="20"/>
              </w:rPr>
              <w:t xml:space="preserve">34.01 </w:t>
            </w:r>
          </w:p>
        </w:tc>
        <w:tc>
          <w:tcPr>
            <w:tcW w:w="1559" w:type="dxa"/>
          </w:tcPr>
          <w:p w14:paraId="195D49F5" w14:textId="77777777" w:rsidR="004C2A15" w:rsidRPr="00682C1A" w:rsidRDefault="004C2A15" w:rsidP="003E15ED">
            <w:pPr>
              <w:keepLines/>
              <w:autoSpaceDE w:val="0"/>
              <w:autoSpaceDN w:val="0"/>
              <w:adjustRightInd w:val="0"/>
              <w:spacing w:before="60" w:after="60"/>
              <w:jc w:val="center"/>
            </w:pPr>
            <w:r w:rsidRPr="5F67E330">
              <w:rPr>
                <w:sz w:val="20"/>
              </w:rPr>
              <w:t>90.40%</w:t>
            </w:r>
            <w:r>
              <w:br/>
            </w:r>
            <w:r w:rsidRPr="5F67E330">
              <w:rPr>
                <w:sz w:val="20"/>
              </w:rPr>
              <w:t>(82.88, 94.62)</w:t>
            </w:r>
            <w:r w:rsidRPr="5F67E330">
              <w:rPr>
                <w:sz w:val="20"/>
                <w:vertAlign w:val="superscript"/>
              </w:rPr>
              <w:t xml:space="preserve"> 3,4</w:t>
            </w:r>
          </w:p>
        </w:tc>
      </w:tr>
    </w:tbl>
    <w:bookmarkEnd w:id="25"/>
    <w:p w14:paraId="2F052A5D" w14:textId="06BCA833" w:rsidR="004C2A15" w:rsidRDefault="004C2A15" w:rsidP="003E15ED">
      <w:pPr>
        <w:keepLines/>
        <w:autoSpaceDE w:val="0"/>
        <w:autoSpaceDN w:val="0"/>
        <w:adjustRightInd w:val="0"/>
        <w:spacing w:after="0" w:line="240" w:lineRule="auto"/>
        <w:ind w:left="180" w:right="102" w:hanging="180"/>
        <w:rPr>
          <w:sz w:val="18"/>
          <w:szCs w:val="18"/>
        </w:rPr>
      </w:pPr>
      <w:proofErr w:type="gramStart"/>
      <w:r w:rsidRPr="38495E97">
        <w:rPr>
          <w:sz w:val="18"/>
          <w:szCs w:val="18"/>
        </w:rPr>
        <w:t>1  VE</w:t>
      </w:r>
      <w:proofErr w:type="gramEnd"/>
      <w:r w:rsidRPr="38495E97">
        <w:rPr>
          <w:sz w:val="18"/>
          <w:szCs w:val="18"/>
        </w:rPr>
        <w:t xml:space="preserve"> evaluated in participants </w:t>
      </w:r>
      <w:r w:rsidR="0001192E">
        <w:rPr>
          <w:sz w:val="18"/>
          <w:szCs w:val="18"/>
        </w:rPr>
        <w:t xml:space="preserve">without major protocol deviations, </w:t>
      </w:r>
      <w:r w:rsidRPr="38495E97">
        <w:rPr>
          <w:sz w:val="18"/>
          <w:szCs w:val="18"/>
        </w:rPr>
        <w:t xml:space="preserve">who were seronegative </w:t>
      </w:r>
      <w:r w:rsidR="0001192E">
        <w:rPr>
          <w:sz w:val="18"/>
          <w:szCs w:val="18"/>
        </w:rPr>
        <w:t xml:space="preserve">(for </w:t>
      </w:r>
      <w:r w:rsidRPr="38495E97">
        <w:rPr>
          <w:sz w:val="18"/>
          <w:szCs w:val="18"/>
        </w:rPr>
        <w:t>SARS-CoV-2</w:t>
      </w:r>
      <w:r w:rsidR="0001192E">
        <w:rPr>
          <w:sz w:val="18"/>
          <w:szCs w:val="18"/>
        </w:rPr>
        <w:t>)</w:t>
      </w:r>
      <w:r w:rsidRPr="38495E97">
        <w:rPr>
          <w:sz w:val="18"/>
          <w:szCs w:val="18"/>
        </w:rPr>
        <w:t xml:space="preserve"> at baseline</w:t>
      </w:r>
      <w:r w:rsidR="0001192E">
        <w:rPr>
          <w:sz w:val="18"/>
          <w:szCs w:val="18"/>
        </w:rPr>
        <w:t xml:space="preserve"> and did not have a laboratory</w:t>
      </w:r>
      <w:r w:rsidR="007A788D">
        <w:rPr>
          <w:sz w:val="18"/>
          <w:szCs w:val="18"/>
        </w:rPr>
        <w:t>-</w:t>
      </w:r>
      <w:r w:rsidR="0001192E">
        <w:rPr>
          <w:sz w:val="18"/>
          <w:szCs w:val="18"/>
        </w:rPr>
        <w:t>confirmed current SARS-CoV-2 infection with symptom onset up to 6 days after the second dose, and who had received the full prescribed regimen of trial vaccine.</w:t>
      </w:r>
    </w:p>
    <w:p w14:paraId="74370FF8" w14:textId="5C37EC11" w:rsidR="004C2A15" w:rsidRDefault="004C2A15" w:rsidP="003E15ED">
      <w:pPr>
        <w:keepLines/>
        <w:autoSpaceDE w:val="0"/>
        <w:autoSpaceDN w:val="0"/>
        <w:adjustRightInd w:val="0"/>
        <w:spacing w:after="0" w:line="240" w:lineRule="auto"/>
        <w:ind w:left="180" w:right="102" w:hanging="180"/>
        <w:rPr>
          <w:sz w:val="18"/>
          <w:szCs w:val="18"/>
        </w:rPr>
      </w:pPr>
      <w:proofErr w:type="gramStart"/>
      <w:r w:rsidRPr="38495E97">
        <w:rPr>
          <w:sz w:val="18"/>
          <w:szCs w:val="18"/>
        </w:rPr>
        <w:t>2  Mean</w:t>
      </w:r>
      <w:proofErr w:type="gramEnd"/>
      <w:r w:rsidRPr="38495E97">
        <w:rPr>
          <w:sz w:val="18"/>
          <w:szCs w:val="18"/>
        </w:rPr>
        <w:t xml:space="preserve"> disease incidence rate per year in 1</w:t>
      </w:r>
      <w:r>
        <w:rPr>
          <w:sz w:val="18"/>
          <w:szCs w:val="18"/>
        </w:rPr>
        <w:t>,</w:t>
      </w:r>
      <w:r w:rsidRPr="38495E97">
        <w:rPr>
          <w:sz w:val="18"/>
          <w:szCs w:val="18"/>
        </w:rPr>
        <w:t xml:space="preserve">000 people. </w:t>
      </w:r>
    </w:p>
    <w:p w14:paraId="7F6C834B" w14:textId="23235E15" w:rsidR="004C2A15" w:rsidRPr="004C2A15" w:rsidRDefault="004C2A15" w:rsidP="003E15ED">
      <w:pPr>
        <w:keepLines/>
        <w:autoSpaceDE w:val="0"/>
        <w:autoSpaceDN w:val="0"/>
        <w:adjustRightInd w:val="0"/>
        <w:spacing w:after="0" w:line="240" w:lineRule="auto"/>
        <w:ind w:left="180" w:right="102" w:hanging="180"/>
        <w:rPr>
          <w:sz w:val="18"/>
          <w:szCs w:val="18"/>
        </w:rPr>
      </w:pPr>
      <w:r>
        <w:rPr>
          <w:sz w:val="18"/>
          <w:szCs w:val="18"/>
        </w:rPr>
        <w:t>3</w:t>
      </w:r>
      <w:r>
        <w:rPr>
          <w:sz w:val="18"/>
          <w:szCs w:val="18"/>
        </w:rPr>
        <w:tab/>
      </w:r>
      <w:r w:rsidRPr="38495E97">
        <w:rPr>
          <w:sz w:val="18"/>
          <w:szCs w:val="18"/>
        </w:rPr>
        <w:t>Based on log-linear model of PCR-confirmed COVID-19 infection incidence rate using Poisson regression with treatment group as fixed effects and robust error variance, where VE = 100 × (1 – relative risk).</w:t>
      </w:r>
    </w:p>
    <w:p w14:paraId="00F5CB29" w14:textId="7FB110D1" w:rsidR="004C2A15" w:rsidRPr="00772B3A" w:rsidRDefault="004C2A15" w:rsidP="003E15ED">
      <w:pPr>
        <w:keepLines/>
        <w:autoSpaceDE w:val="0"/>
        <w:autoSpaceDN w:val="0"/>
        <w:adjustRightInd w:val="0"/>
        <w:spacing w:after="0" w:line="240" w:lineRule="auto"/>
        <w:ind w:left="180" w:right="102" w:hanging="180"/>
        <w:rPr>
          <w:sz w:val="18"/>
          <w:szCs w:val="18"/>
        </w:rPr>
      </w:pPr>
      <w:proofErr w:type="gramStart"/>
      <w:r>
        <w:rPr>
          <w:sz w:val="18"/>
          <w:szCs w:val="18"/>
        </w:rPr>
        <w:t>4</w:t>
      </w:r>
      <w:r w:rsidRPr="38495E97">
        <w:rPr>
          <w:sz w:val="18"/>
          <w:szCs w:val="18"/>
        </w:rPr>
        <w:t xml:space="preserve">  Met</w:t>
      </w:r>
      <w:proofErr w:type="gramEnd"/>
      <w:r w:rsidRPr="38495E97">
        <w:rPr>
          <w:sz w:val="18"/>
          <w:szCs w:val="18"/>
        </w:rPr>
        <w:t xml:space="preserve"> primary efficacy endpoint criterion for success with a lower bound confidence interval (LBCI) &gt; 30%.</w:t>
      </w:r>
    </w:p>
    <w:p w14:paraId="29BF0125" w14:textId="77777777" w:rsidR="000755AE" w:rsidRDefault="000755AE" w:rsidP="003E3651">
      <w:pPr>
        <w:autoSpaceDE w:val="0"/>
        <w:autoSpaceDN w:val="0"/>
        <w:adjustRightInd w:val="0"/>
        <w:spacing w:line="240" w:lineRule="auto"/>
        <w:jc w:val="both"/>
      </w:pPr>
    </w:p>
    <w:p w14:paraId="2D971979" w14:textId="629503CF" w:rsidR="004C2A15" w:rsidRDefault="004C2A15" w:rsidP="00F97B7C">
      <w:pPr>
        <w:autoSpaceDE w:val="0"/>
        <w:autoSpaceDN w:val="0"/>
        <w:adjustRightInd w:val="0"/>
        <w:spacing w:line="240" w:lineRule="auto"/>
      </w:pPr>
      <w:r>
        <w:t xml:space="preserve">Vaccine efficacy of </w:t>
      </w:r>
      <w:r w:rsidR="005F3D84">
        <w:t xml:space="preserve">NUVAXOVID </w:t>
      </w:r>
      <w:r>
        <w:t xml:space="preserve">to prevent the onset of COVID-19 from </w:t>
      </w:r>
      <w:r w:rsidR="00093797">
        <w:t>7</w:t>
      </w:r>
      <w:r>
        <w:t xml:space="preserve"> days after Dose 2 was 90.4%</w:t>
      </w:r>
      <w:r w:rsidR="003E0745">
        <w:t xml:space="preserve"> (95% CI 82.9 – 94.6)</w:t>
      </w:r>
      <w:r>
        <w:t xml:space="preserve">. No cases of moderate or severe COVID-19 were reported in the 17,312 </w:t>
      </w:r>
      <w:r w:rsidR="005F3D84">
        <w:t>NUVAXOVID</w:t>
      </w:r>
      <w:r>
        <w:t xml:space="preserve"> participants compared with 4 of severe COVID-19 reported in the 8,140 placebo recipients in the PP-EFF analysis set. </w:t>
      </w:r>
    </w:p>
    <w:p w14:paraId="0EB4F48F" w14:textId="09C005C7" w:rsidR="004C2A15" w:rsidRDefault="004C2A15" w:rsidP="00F97B7C">
      <w:pPr>
        <w:autoSpaceDE w:val="0"/>
        <w:autoSpaceDN w:val="0"/>
        <w:adjustRightInd w:val="0"/>
        <w:spacing w:line="240" w:lineRule="auto"/>
      </w:pPr>
      <w:r>
        <w:t xml:space="preserve">Subgroup analyses of the primary efficacy endpoint showed similar efficacy point estimates </w:t>
      </w:r>
      <w:r w:rsidR="003E0745">
        <w:t>for male and female participants</w:t>
      </w:r>
      <w:r>
        <w:t xml:space="preserve"> and racial groups, and across participants with medical comorbidities associated with high risk of severe COVID-19. </w:t>
      </w:r>
      <w:r w:rsidRPr="5F67E330">
        <w:rPr>
          <w:color w:val="000000" w:themeColor="text1"/>
        </w:rPr>
        <w:t xml:space="preserve">There were no meaningful clinical differences in overall vaccine efficacy in participants who were at </w:t>
      </w:r>
      <w:r>
        <w:t>increased risk of severe COVID-19 including those with 1 or more comorbidities that increase the risk of severe COVID-19 (</w:t>
      </w:r>
      <w:proofErr w:type="spellStart"/>
      <w:r>
        <w:t>eg</w:t>
      </w:r>
      <w:proofErr w:type="spellEnd"/>
      <w:r>
        <w:t>, BMI ≥ 30 kg/m</w:t>
      </w:r>
      <w:r w:rsidRPr="5F67E330">
        <w:rPr>
          <w:vertAlign w:val="superscript"/>
        </w:rPr>
        <w:t>2</w:t>
      </w:r>
      <w:r>
        <w:t>, chronic lung disease, diabetes mellitus type 2, cardiovascular disease, and chronic kidney disease).</w:t>
      </w:r>
    </w:p>
    <w:p w14:paraId="315C295F" w14:textId="5E286047" w:rsidR="003E0745" w:rsidRDefault="00553256" w:rsidP="00F97B7C">
      <w:pPr>
        <w:autoSpaceDE w:val="0"/>
        <w:autoSpaceDN w:val="0"/>
        <w:adjustRightInd w:val="0"/>
        <w:spacing w:line="240" w:lineRule="auto"/>
      </w:pPr>
      <w:r>
        <w:t>E</w:t>
      </w:r>
      <w:r w:rsidR="003E0745">
        <w:t xml:space="preserve">fficacy results reflect enrolment that occurred during the </w:t>
      </w:r>
      <w:proofErr w:type="gramStart"/>
      <w:r w:rsidR="003E0745">
        <w:t>time period</w:t>
      </w:r>
      <w:proofErr w:type="gramEnd"/>
      <w:r w:rsidR="003E0745">
        <w:t xml:space="preserve"> when strains classified as Variants of Concern or Variants of Interest were predominantly circulating in the 2 countries (US and Mexico) where the study was conducted. Sequencing data were available for 61 of the 77 endpoint cases (79%). Of these, 48 out of 61 (79%) were identified as Variants of Concern or Variants of Interest</w:t>
      </w:r>
      <w:r>
        <w:t>.  The most common Variants of Concern were Alpha with 31/61 cases (51%), Beta (2/61, 4%) and Gamma (2/61, 4%), while the most common Variants of Interest were Iota with 8/61 cases (13%) and Epsilon 3/61 (5%).</w:t>
      </w:r>
    </w:p>
    <w:p w14:paraId="2956606C" w14:textId="405FB773" w:rsidR="004C2A15" w:rsidRPr="00862660" w:rsidRDefault="004C2A15" w:rsidP="00F97B7C">
      <w:pPr>
        <w:pStyle w:val="Heading3"/>
      </w:pPr>
      <w:r w:rsidRPr="00862660">
        <w:t>Study 2 (2019nCoV-302)</w:t>
      </w:r>
      <w:r w:rsidR="00BA1D52">
        <w:t xml:space="preserve"> -</w:t>
      </w:r>
      <w:r w:rsidR="00E7289D">
        <w:t xml:space="preserve"> </w:t>
      </w:r>
      <w:r w:rsidR="00BA1D52">
        <w:t>2</w:t>
      </w:r>
      <w:r w:rsidR="00E7289D">
        <w:t>-dose Primary Series</w:t>
      </w:r>
    </w:p>
    <w:p w14:paraId="71BDD956" w14:textId="5C3A75B7" w:rsidR="004C2A15" w:rsidRDefault="004C2A15" w:rsidP="00F97B7C">
      <w:pPr>
        <w:spacing w:line="240" w:lineRule="auto"/>
      </w:pPr>
      <w:r>
        <w:t xml:space="preserve">Study 2 is an ongoing Phase 3, </w:t>
      </w:r>
      <w:proofErr w:type="spellStart"/>
      <w:r>
        <w:t>multicenter</w:t>
      </w:r>
      <w:proofErr w:type="spellEnd"/>
      <w:r>
        <w:t xml:space="preserve">, randomised, observer-blinded, placebo-controlled study in participants 18 to 84 years of age in the United Kingdom. Upon enrolment, participants were stratified by age (18 to 64 years; 65 to 84 years) to receive </w:t>
      </w:r>
      <w:r w:rsidR="005F3D84">
        <w:t xml:space="preserve">NUVAXOVID </w:t>
      </w:r>
      <w:r>
        <w:t xml:space="preserve">or placebo. The study excluded participants who </w:t>
      </w:r>
      <w:r w:rsidR="003E3651">
        <w:t xml:space="preserve">were </w:t>
      </w:r>
      <w:r>
        <w:t>significant</w:t>
      </w:r>
      <w:r w:rsidR="003E3651">
        <w:t>ly</w:t>
      </w:r>
      <w:r>
        <w:t xml:space="preserve"> immunocompromise</w:t>
      </w:r>
      <w:r w:rsidR="003E3651">
        <w:t>d</w:t>
      </w:r>
      <w:r>
        <w:t xml:space="preserve"> due to immunodeficiency disease; current diagnosis or treatment for cancer; autoimmune disease/condition; received chronic immunosuppressive </w:t>
      </w:r>
      <w:r w:rsidRPr="00093797">
        <w:t>therapy</w:t>
      </w:r>
      <w:r w:rsidR="000755AE" w:rsidRPr="00093797">
        <w:t xml:space="preserve"> or received immunoglobulin or blood</w:t>
      </w:r>
      <w:r w:rsidR="00990B43">
        <w:t>-</w:t>
      </w:r>
      <w:r w:rsidR="000755AE" w:rsidRPr="00093797">
        <w:t>derived products within 90 days</w:t>
      </w:r>
      <w:r w:rsidRPr="00093797">
        <w:t>;</w:t>
      </w:r>
      <w:r>
        <w:t xml:space="preserve"> bleeding disorder or continuous use of anticoagulants; history of allergic reactions and/or anaphylaxis; were pregnant; or had a history of laboratory-confirmed diagnosed COVID-19. Participants with clinically stable disease, defined as disease not requiring significant change in </w:t>
      </w:r>
      <w:r>
        <w:lastRenderedPageBreak/>
        <w:t>therapy or hospitalization for worsening disease during the 4 weeks before enrolment were included</w:t>
      </w:r>
      <w:r w:rsidR="00553256">
        <w:t>.</w:t>
      </w:r>
      <w:r>
        <w:t xml:space="preserve"> </w:t>
      </w:r>
      <w:r w:rsidR="00553256">
        <w:t>P</w:t>
      </w:r>
      <w:r>
        <w:t>articipants with known stable infection with HIV, hepatitis C virus (HCV), or hepatitis</w:t>
      </w:r>
      <w:r w:rsidR="003E3651">
        <w:t xml:space="preserve"> </w:t>
      </w:r>
      <w:r>
        <w:t>B virus (HBV)</w:t>
      </w:r>
      <w:r w:rsidR="00553256">
        <w:t xml:space="preserve"> were not excluded from enrolment</w:t>
      </w:r>
      <w:r>
        <w:t>.</w:t>
      </w:r>
      <w:r w:rsidR="00993F53">
        <w:t xml:space="preserve"> </w:t>
      </w:r>
    </w:p>
    <w:p w14:paraId="276DB6C1" w14:textId="13CC7857" w:rsidR="004C2A15" w:rsidRPr="00417AFA" w:rsidRDefault="004C2A15" w:rsidP="00F97B7C">
      <w:pPr>
        <w:autoSpaceDE w:val="0"/>
        <w:autoSpaceDN w:val="0"/>
        <w:adjustRightInd w:val="0"/>
        <w:spacing w:line="240" w:lineRule="auto"/>
        <w:rPr>
          <w:noProof/>
        </w:rPr>
      </w:pPr>
      <w:r>
        <w:t xml:space="preserve">Enrolment was completed in November 2020. Participants are being followed for up to 12 months after the </w:t>
      </w:r>
      <w:r w:rsidR="00553256">
        <w:t>primary</w:t>
      </w:r>
      <w:r>
        <w:t xml:space="preserve"> vaccination </w:t>
      </w:r>
      <w:r w:rsidR="00553256">
        <w:t xml:space="preserve">series </w:t>
      </w:r>
      <w:r>
        <w:t>for assessments of safety, and efficacy against COVID-19</w:t>
      </w:r>
      <w:r w:rsidRPr="004C2A15">
        <w:rPr>
          <w:i/>
          <w:iCs/>
          <w:noProof/>
          <w:color w:val="A6A6A6" w:themeColor="background1" w:themeShade="A6"/>
        </w:rPr>
        <w:t xml:space="preserve">. </w:t>
      </w:r>
    </w:p>
    <w:p w14:paraId="691590B8" w14:textId="26315A41" w:rsidR="004C2A15" w:rsidRPr="004C2A15" w:rsidRDefault="004C2A15" w:rsidP="00F97B7C">
      <w:pPr>
        <w:spacing w:line="240" w:lineRule="auto"/>
        <w:rPr>
          <w:i/>
          <w:iCs/>
          <w:noProof/>
          <w:color w:val="A6A6A6" w:themeColor="background1" w:themeShade="A6"/>
        </w:rPr>
      </w:pPr>
      <w:r>
        <w:t xml:space="preserve">The primary efficacy PP-EFF analysis set included 14,039 participants who received either </w:t>
      </w:r>
      <w:r w:rsidR="005F3D84">
        <w:t xml:space="preserve">NUVAXOVID </w:t>
      </w:r>
      <w:r>
        <w:t xml:space="preserve">(n= 7,020) or placebo (n= 7,019), received </w:t>
      </w:r>
      <w:r w:rsidR="00093797">
        <w:t>2</w:t>
      </w:r>
      <w:r>
        <w:t xml:space="preserve"> doses (Dose 1 on day 0; Dose 2 </w:t>
      </w:r>
      <w:r w:rsidR="00553256">
        <w:t>at median 21 days (IQR 21-23), range 16-45</w:t>
      </w:r>
      <w:r>
        <w:t xml:space="preserve">, did not experience an exclusionary protocol deviation, and did not have evidence of SARS-CoV-2 infection through 7 days after the second dose. </w:t>
      </w:r>
    </w:p>
    <w:p w14:paraId="138C1180" w14:textId="26ED896E" w:rsidR="002F489D" w:rsidRDefault="004C2A15" w:rsidP="00F97B7C">
      <w:pPr>
        <w:autoSpaceDE w:val="0"/>
        <w:autoSpaceDN w:val="0"/>
        <w:adjustRightInd w:val="0"/>
        <w:spacing w:line="240" w:lineRule="auto"/>
        <w:ind w:right="102"/>
      </w:pPr>
      <w:r>
        <w:t xml:space="preserve">Demographic and baseline characteristics were balanced amongst participants who received </w:t>
      </w:r>
      <w:r w:rsidR="005F3D84">
        <w:t>NUVAXOVID</w:t>
      </w:r>
      <w:r>
        <w:t xml:space="preserve"> and participants who received placebo. In the PP-EFF analysis set for participants who received </w:t>
      </w:r>
      <w:r w:rsidR="005F3D84">
        <w:t>NUVAXOVID</w:t>
      </w:r>
      <w:r>
        <w:t>, the median age was 56.0 years (range: 18 to 84 years); 72% (n=5,067) were 18 to 64 years old and 28% (n=1,953) were aged 65 to 84; 4</w:t>
      </w:r>
      <w:r w:rsidR="002730F6">
        <w:t>9</w:t>
      </w:r>
      <w:r>
        <w:t xml:space="preserve">% were female; 94% were White; </w:t>
      </w:r>
      <w:r w:rsidR="002730F6">
        <w:t>3</w:t>
      </w:r>
      <w:r>
        <w:t xml:space="preserve">% were Asian; 1% were multiple races, </w:t>
      </w:r>
      <w:r w:rsidR="002730F6">
        <w:t>&lt;1</w:t>
      </w:r>
      <w:r>
        <w:t xml:space="preserve">% were Black or African American; and </w:t>
      </w:r>
      <w:r w:rsidR="002730F6">
        <w:t>&lt;1</w:t>
      </w:r>
      <w:r>
        <w:t>% were Hispanic or Latino; and 4</w:t>
      </w:r>
      <w:r w:rsidR="002730F6">
        <w:t>5</w:t>
      </w:r>
      <w:r>
        <w:t xml:space="preserve">% had at least </w:t>
      </w:r>
      <w:r w:rsidR="00093797">
        <w:t>1</w:t>
      </w:r>
      <w:r>
        <w:t xml:space="preserve"> comorbid condition.</w:t>
      </w:r>
    </w:p>
    <w:p w14:paraId="0B8BBFB4" w14:textId="22DDD2E4" w:rsidR="004C2A15" w:rsidRDefault="004C2A15" w:rsidP="00F1077F">
      <w:pPr>
        <w:keepNext/>
        <w:keepLines/>
        <w:ind w:right="102"/>
        <w:jc w:val="both"/>
        <w:rPr>
          <w:b/>
          <w:bCs/>
        </w:rPr>
      </w:pPr>
      <w:bookmarkStart w:id="26" w:name="_Hlk80294607"/>
      <w:r w:rsidRPr="38495E97">
        <w:rPr>
          <w:b/>
          <w:bCs/>
        </w:rPr>
        <w:t xml:space="preserve">Table </w:t>
      </w:r>
      <w:r w:rsidR="001E60A8">
        <w:rPr>
          <w:b/>
          <w:bCs/>
        </w:rPr>
        <w:t>3</w:t>
      </w:r>
      <w:r w:rsidRPr="38495E97">
        <w:rPr>
          <w:b/>
          <w:bCs/>
        </w:rPr>
        <w:t>: Vaccine efficacy analysis</w:t>
      </w:r>
      <w:r>
        <w:rPr>
          <w:b/>
          <w:bCs/>
        </w:rPr>
        <w:t xml:space="preserve"> of </w:t>
      </w:r>
      <w:r w:rsidRPr="38495E97">
        <w:rPr>
          <w:b/>
          <w:bCs/>
        </w:rPr>
        <w:t>PCR-confirmed COVID-19 with onset at least 7 days after the second vaccination - (PP-EFF population): Study 2 (2019nCoV-302)</w:t>
      </w:r>
    </w:p>
    <w:tbl>
      <w:tblPr>
        <w:tblStyle w:val="TableGrid"/>
        <w:tblW w:w="9204" w:type="dxa"/>
        <w:tblLayout w:type="fixed"/>
        <w:tblLook w:val="04A0" w:firstRow="1" w:lastRow="0" w:firstColumn="1" w:lastColumn="0" w:noHBand="0" w:noVBand="1"/>
      </w:tblPr>
      <w:tblGrid>
        <w:gridCol w:w="1146"/>
        <w:gridCol w:w="1011"/>
        <w:gridCol w:w="1023"/>
        <w:gridCol w:w="1252"/>
        <w:gridCol w:w="1011"/>
        <w:gridCol w:w="1023"/>
        <w:gridCol w:w="1359"/>
        <w:gridCol w:w="1379"/>
      </w:tblGrid>
      <w:tr w:rsidR="004C2A15" w14:paraId="4FF67766" w14:textId="77777777" w:rsidTr="00EB13EA">
        <w:tc>
          <w:tcPr>
            <w:tcW w:w="1146" w:type="dxa"/>
            <w:vMerge w:val="restart"/>
          </w:tcPr>
          <w:p w14:paraId="0B461903" w14:textId="77777777" w:rsidR="004C2A15" w:rsidRDefault="004C2A15" w:rsidP="00417AFA">
            <w:pPr>
              <w:keepLines/>
              <w:autoSpaceDE w:val="0"/>
              <w:autoSpaceDN w:val="0"/>
              <w:adjustRightInd w:val="0"/>
              <w:rPr>
                <w:b/>
                <w:bCs/>
                <w:sz w:val="20"/>
              </w:rPr>
            </w:pPr>
          </w:p>
          <w:p w14:paraId="1B3A398C" w14:textId="77777777" w:rsidR="004C2A15" w:rsidRDefault="004C2A15" w:rsidP="00417AFA">
            <w:pPr>
              <w:keepLines/>
              <w:autoSpaceDE w:val="0"/>
              <w:autoSpaceDN w:val="0"/>
              <w:adjustRightInd w:val="0"/>
              <w:rPr>
                <w:b/>
                <w:bCs/>
                <w:sz w:val="20"/>
              </w:rPr>
            </w:pPr>
          </w:p>
          <w:p w14:paraId="23BE5ED7" w14:textId="77777777" w:rsidR="004C2A15" w:rsidRDefault="004C2A15" w:rsidP="00417AFA">
            <w:pPr>
              <w:keepLines/>
              <w:autoSpaceDE w:val="0"/>
              <w:autoSpaceDN w:val="0"/>
              <w:adjustRightInd w:val="0"/>
              <w:rPr>
                <w:b/>
                <w:bCs/>
                <w:sz w:val="20"/>
              </w:rPr>
            </w:pPr>
          </w:p>
          <w:p w14:paraId="594933AC" w14:textId="77777777" w:rsidR="004C2A15" w:rsidRDefault="004C2A15" w:rsidP="00417AFA">
            <w:pPr>
              <w:keepLines/>
              <w:autoSpaceDE w:val="0"/>
              <w:autoSpaceDN w:val="0"/>
              <w:adjustRightInd w:val="0"/>
              <w:rPr>
                <w:b/>
                <w:bCs/>
                <w:sz w:val="20"/>
              </w:rPr>
            </w:pPr>
          </w:p>
          <w:p w14:paraId="685037F5" w14:textId="77777777" w:rsidR="004C2A15" w:rsidRPr="00565E49" w:rsidRDefault="004C2A15" w:rsidP="00417AFA">
            <w:pPr>
              <w:keepLines/>
              <w:autoSpaceDE w:val="0"/>
              <w:autoSpaceDN w:val="0"/>
              <w:adjustRightInd w:val="0"/>
              <w:rPr>
                <w:b/>
                <w:bCs/>
                <w:sz w:val="20"/>
              </w:rPr>
            </w:pPr>
            <w:r w:rsidRPr="0A2502AD">
              <w:rPr>
                <w:b/>
                <w:bCs/>
                <w:sz w:val="20"/>
              </w:rPr>
              <w:t xml:space="preserve">Subgroup </w:t>
            </w:r>
          </w:p>
        </w:tc>
        <w:tc>
          <w:tcPr>
            <w:tcW w:w="3286" w:type="dxa"/>
            <w:gridSpan w:val="3"/>
          </w:tcPr>
          <w:p w14:paraId="687F901D" w14:textId="37B9616D" w:rsidR="004C2A15" w:rsidRPr="00565E49" w:rsidRDefault="004C2A15" w:rsidP="00417AFA">
            <w:pPr>
              <w:keepLines/>
              <w:autoSpaceDE w:val="0"/>
              <w:autoSpaceDN w:val="0"/>
              <w:adjustRightInd w:val="0"/>
              <w:jc w:val="center"/>
              <w:rPr>
                <w:b/>
                <w:bCs/>
                <w:sz w:val="20"/>
              </w:rPr>
            </w:pPr>
            <w:r w:rsidRPr="0A2502AD">
              <w:rPr>
                <w:b/>
                <w:bCs/>
                <w:sz w:val="20"/>
              </w:rPr>
              <w:t>N</w:t>
            </w:r>
            <w:r w:rsidR="00AC4F18">
              <w:rPr>
                <w:b/>
                <w:bCs/>
                <w:sz w:val="20"/>
              </w:rPr>
              <w:t>UVAXOVID</w:t>
            </w:r>
          </w:p>
        </w:tc>
        <w:tc>
          <w:tcPr>
            <w:tcW w:w="3393" w:type="dxa"/>
            <w:gridSpan w:val="3"/>
          </w:tcPr>
          <w:p w14:paraId="00C887C6" w14:textId="77777777" w:rsidR="004C2A15" w:rsidRPr="00565E49" w:rsidRDefault="004C2A15" w:rsidP="00417AFA">
            <w:pPr>
              <w:keepLines/>
              <w:autoSpaceDE w:val="0"/>
              <w:autoSpaceDN w:val="0"/>
              <w:adjustRightInd w:val="0"/>
              <w:jc w:val="center"/>
              <w:rPr>
                <w:b/>
                <w:bCs/>
                <w:sz w:val="20"/>
              </w:rPr>
            </w:pPr>
            <w:r w:rsidRPr="0A2502AD">
              <w:rPr>
                <w:b/>
                <w:bCs/>
                <w:sz w:val="20"/>
              </w:rPr>
              <w:t>Placebo</w:t>
            </w:r>
          </w:p>
        </w:tc>
        <w:tc>
          <w:tcPr>
            <w:tcW w:w="1379" w:type="dxa"/>
            <w:vMerge w:val="restart"/>
          </w:tcPr>
          <w:p w14:paraId="280D653D" w14:textId="77777777" w:rsidR="004C2A15" w:rsidRDefault="004C2A15" w:rsidP="00417AFA">
            <w:pPr>
              <w:keepLines/>
              <w:autoSpaceDE w:val="0"/>
              <w:autoSpaceDN w:val="0"/>
              <w:adjustRightInd w:val="0"/>
              <w:jc w:val="center"/>
              <w:rPr>
                <w:b/>
                <w:bCs/>
                <w:sz w:val="20"/>
              </w:rPr>
            </w:pPr>
          </w:p>
          <w:p w14:paraId="24F19261" w14:textId="77777777" w:rsidR="004C2A15" w:rsidRDefault="004C2A15" w:rsidP="00417AFA">
            <w:pPr>
              <w:keepLines/>
              <w:autoSpaceDE w:val="0"/>
              <w:autoSpaceDN w:val="0"/>
              <w:adjustRightInd w:val="0"/>
              <w:rPr>
                <w:b/>
                <w:bCs/>
                <w:sz w:val="20"/>
              </w:rPr>
            </w:pPr>
          </w:p>
          <w:p w14:paraId="62896193" w14:textId="77777777" w:rsidR="004C2A15" w:rsidRPr="00565E49" w:rsidRDefault="004C2A15" w:rsidP="00417AFA">
            <w:pPr>
              <w:keepLines/>
              <w:autoSpaceDE w:val="0"/>
              <w:autoSpaceDN w:val="0"/>
              <w:adjustRightInd w:val="0"/>
              <w:jc w:val="center"/>
              <w:rPr>
                <w:b/>
                <w:bCs/>
                <w:sz w:val="20"/>
              </w:rPr>
            </w:pPr>
            <w:r w:rsidRPr="0A2502AD">
              <w:rPr>
                <w:b/>
                <w:bCs/>
                <w:sz w:val="20"/>
              </w:rPr>
              <w:t>% Vaccine Efficacy</w:t>
            </w:r>
          </w:p>
          <w:p w14:paraId="4B712DCA" w14:textId="77777777" w:rsidR="004C2A15" w:rsidRPr="00565E49" w:rsidRDefault="004C2A15" w:rsidP="00417AFA">
            <w:pPr>
              <w:keepLines/>
              <w:autoSpaceDE w:val="0"/>
              <w:autoSpaceDN w:val="0"/>
              <w:adjustRightInd w:val="0"/>
              <w:jc w:val="center"/>
              <w:rPr>
                <w:b/>
                <w:bCs/>
                <w:sz w:val="20"/>
              </w:rPr>
            </w:pPr>
            <w:r w:rsidRPr="0A2502AD">
              <w:rPr>
                <w:b/>
                <w:bCs/>
                <w:sz w:val="20"/>
              </w:rPr>
              <w:t>(95% CI)</w:t>
            </w:r>
          </w:p>
        </w:tc>
      </w:tr>
      <w:tr w:rsidR="004C2A15" w14:paraId="2AD4F801" w14:textId="77777777" w:rsidTr="00EB13EA">
        <w:trPr>
          <w:trHeight w:val="1198"/>
        </w:trPr>
        <w:tc>
          <w:tcPr>
            <w:tcW w:w="1146" w:type="dxa"/>
            <w:vMerge/>
          </w:tcPr>
          <w:p w14:paraId="3D4F55CD" w14:textId="77777777" w:rsidR="004C2A15" w:rsidRPr="00565E49" w:rsidRDefault="004C2A15" w:rsidP="00417AFA">
            <w:pPr>
              <w:keepLines/>
              <w:autoSpaceDE w:val="0"/>
              <w:autoSpaceDN w:val="0"/>
              <w:adjustRightInd w:val="0"/>
              <w:jc w:val="center"/>
              <w:rPr>
                <w:b/>
                <w:bCs/>
              </w:rPr>
            </w:pPr>
          </w:p>
        </w:tc>
        <w:tc>
          <w:tcPr>
            <w:tcW w:w="1011" w:type="dxa"/>
          </w:tcPr>
          <w:p w14:paraId="279B79D5" w14:textId="77777777" w:rsidR="004C2A15" w:rsidRDefault="004C2A15" w:rsidP="00417AFA">
            <w:pPr>
              <w:keepLines/>
              <w:autoSpaceDE w:val="0"/>
              <w:autoSpaceDN w:val="0"/>
              <w:adjustRightInd w:val="0"/>
              <w:jc w:val="center"/>
              <w:rPr>
                <w:b/>
                <w:bCs/>
                <w:sz w:val="20"/>
              </w:rPr>
            </w:pPr>
          </w:p>
          <w:p w14:paraId="129DAA7C" w14:textId="77777777" w:rsidR="004C2A15" w:rsidRDefault="004C2A15" w:rsidP="00417AFA">
            <w:pPr>
              <w:keepLines/>
              <w:autoSpaceDE w:val="0"/>
              <w:autoSpaceDN w:val="0"/>
              <w:adjustRightInd w:val="0"/>
              <w:jc w:val="center"/>
              <w:rPr>
                <w:b/>
                <w:bCs/>
                <w:sz w:val="20"/>
              </w:rPr>
            </w:pPr>
          </w:p>
          <w:p w14:paraId="45A2232D" w14:textId="7304CDAA" w:rsidR="004C2A15" w:rsidRDefault="004C2A15" w:rsidP="00417AFA">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1023" w:type="dxa"/>
          </w:tcPr>
          <w:p w14:paraId="782C3DCD" w14:textId="77777777" w:rsidR="004C2A15" w:rsidRDefault="004C2A15" w:rsidP="00417AFA">
            <w:pPr>
              <w:keepLines/>
              <w:autoSpaceDE w:val="0"/>
              <w:autoSpaceDN w:val="0"/>
              <w:adjustRightInd w:val="0"/>
              <w:jc w:val="center"/>
              <w:rPr>
                <w:b/>
                <w:bCs/>
                <w:sz w:val="20"/>
              </w:rPr>
            </w:pPr>
          </w:p>
          <w:p w14:paraId="544BD41D" w14:textId="77777777" w:rsidR="004C2A15" w:rsidRPr="00565E49" w:rsidRDefault="004C2A15" w:rsidP="00417AFA">
            <w:pPr>
              <w:keepLines/>
              <w:autoSpaceDE w:val="0"/>
              <w:autoSpaceDN w:val="0"/>
              <w:adjustRightInd w:val="0"/>
              <w:jc w:val="center"/>
              <w:rPr>
                <w:b/>
                <w:bCs/>
                <w:sz w:val="20"/>
              </w:rPr>
            </w:pPr>
            <w:r w:rsidRPr="38495E97">
              <w:rPr>
                <w:b/>
                <w:bCs/>
                <w:sz w:val="20"/>
              </w:rPr>
              <w:t xml:space="preserve">COVID-19 cases </w:t>
            </w:r>
            <w:r>
              <w:br/>
            </w:r>
            <w:r w:rsidRPr="38495E97">
              <w:rPr>
                <w:b/>
                <w:bCs/>
                <w:sz w:val="20"/>
              </w:rPr>
              <w:t>n (%)</w:t>
            </w:r>
          </w:p>
        </w:tc>
        <w:tc>
          <w:tcPr>
            <w:tcW w:w="1252" w:type="dxa"/>
          </w:tcPr>
          <w:p w14:paraId="7C153313" w14:textId="77777777" w:rsidR="004C2A15" w:rsidRPr="00BA5E07" w:rsidRDefault="004C2A15" w:rsidP="00417AFA">
            <w:pPr>
              <w:keepLines/>
              <w:autoSpaceDE w:val="0"/>
              <w:autoSpaceDN w:val="0"/>
              <w:adjustRightInd w:val="0"/>
              <w:jc w:val="center"/>
              <w:rPr>
                <w:b/>
                <w:sz w:val="20"/>
                <w:vertAlign w:val="superscript"/>
              </w:rPr>
            </w:pPr>
            <w:r w:rsidRPr="38495E97">
              <w:rPr>
                <w:b/>
                <w:bCs/>
                <w:sz w:val="20"/>
              </w:rPr>
              <w:t xml:space="preserve"> Incidence Rate Per Year Per 1,000 People</w:t>
            </w:r>
            <w:r>
              <w:rPr>
                <w:b/>
                <w:bCs/>
                <w:sz w:val="20"/>
                <w:vertAlign w:val="superscript"/>
              </w:rPr>
              <w:t>1</w:t>
            </w:r>
          </w:p>
        </w:tc>
        <w:tc>
          <w:tcPr>
            <w:tcW w:w="1011" w:type="dxa"/>
          </w:tcPr>
          <w:p w14:paraId="5455583C" w14:textId="77777777" w:rsidR="004C2A15" w:rsidRDefault="004C2A15" w:rsidP="00417AFA">
            <w:pPr>
              <w:keepLines/>
              <w:autoSpaceDE w:val="0"/>
              <w:autoSpaceDN w:val="0"/>
              <w:adjustRightInd w:val="0"/>
              <w:jc w:val="center"/>
              <w:rPr>
                <w:b/>
                <w:bCs/>
                <w:sz w:val="20"/>
              </w:rPr>
            </w:pPr>
          </w:p>
          <w:p w14:paraId="6926EB35" w14:textId="77777777" w:rsidR="004C2A15" w:rsidRDefault="004C2A15" w:rsidP="00417AFA">
            <w:pPr>
              <w:keepLines/>
              <w:autoSpaceDE w:val="0"/>
              <w:autoSpaceDN w:val="0"/>
              <w:adjustRightInd w:val="0"/>
              <w:jc w:val="center"/>
              <w:rPr>
                <w:b/>
                <w:bCs/>
                <w:sz w:val="20"/>
              </w:rPr>
            </w:pPr>
          </w:p>
          <w:p w14:paraId="151A424C" w14:textId="1A52F06A" w:rsidR="004C2A15" w:rsidRPr="00565E49" w:rsidRDefault="004C2A15" w:rsidP="00417AFA">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1023" w:type="dxa"/>
          </w:tcPr>
          <w:p w14:paraId="2B6E229F" w14:textId="77777777" w:rsidR="004C2A15" w:rsidRDefault="004C2A15" w:rsidP="00417AFA">
            <w:pPr>
              <w:keepLines/>
              <w:autoSpaceDE w:val="0"/>
              <w:autoSpaceDN w:val="0"/>
              <w:adjustRightInd w:val="0"/>
              <w:jc w:val="center"/>
              <w:rPr>
                <w:b/>
                <w:bCs/>
                <w:sz w:val="20"/>
              </w:rPr>
            </w:pPr>
          </w:p>
          <w:p w14:paraId="3B32EC67" w14:textId="77777777" w:rsidR="004C2A15" w:rsidRPr="00565E49" w:rsidRDefault="004C2A15" w:rsidP="00417AFA">
            <w:pPr>
              <w:keepLines/>
              <w:autoSpaceDE w:val="0"/>
              <w:autoSpaceDN w:val="0"/>
              <w:adjustRightInd w:val="0"/>
              <w:jc w:val="center"/>
              <w:rPr>
                <w:b/>
                <w:bCs/>
                <w:sz w:val="20"/>
              </w:rPr>
            </w:pPr>
            <w:r w:rsidRPr="38495E97">
              <w:rPr>
                <w:b/>
                <w:bCs/>
                <w:sz w:val="20"/>
              </w:rPr>
              <w:t xml:space="preserve">COVID-19 cases </w:t>
            </w:r>
            <w:r>
              <w:br/>
            </w:r>
            <w:r w:rsidRPr="38495E97">
              <w:rPr>
                <w:b/>
                <w:bCs/>
                <w:sz w:val="20"/>
              </w:rPr>
              <w:t>n (%)</w:t>
            </w:r>
          </w:p>
        </w:tc>
        <w:tc>
          <w:tcPr>
            <w:tcW w:w="1359" w:type="dxa"/>
          </w:tcPr>
          <w:p w14:paraId="2BA3FF90" w14:textId="77777777" w:rsidR="004C2A15" w:rsidRPr="00BA5E07" w:rsidRDefault="004C2A15" w:rsidP="00417AFA">
            <w:pPr>
              <w:keepLines/>
              <w:autoSpaceDE w:val="0"/>
              <w:autoSpaceDN w:val="0"/>
              <w:adjustRightInd w:val="0"/>
              <w:jc w:val="center"/>
              <w:rPr>
                <w:b/>
                <w:sz w:val="20"/>
                <w:vertAlign w:val="superscript"/>
              </w:rPr>
            </w:pPr>
            <w:r w:rsidRPr="38495E97">
              <w:rPr>
                <w:b/>
                <w:bCs/>
                <w:sz w:val="20"/>
              </w:rPr>
              <w:t xml:space="preserve"> Incidence Rate Per Year Per 1,000 People</w:t>
            </w:r>
            <w:r>
              <w:rPr>
                <w:b/>
                <w:bCs/>
                <w:sz w:val="20"/>
                <w:vertAlign w:val="superscript"/>
              </w:rPr>
              <w:t>1</w:t>
            </w:r>
          </w:p>
        </w:tc>
        <w:tc>
          <w:tcPr>
            <w:tcW w:w="1379" w:type="dxa"/>
            <w:vMerge/>
          </w:tcPr>
          <w:p w14:paraId="4D90107A" w14:textId="77777777" w:rsidR="004C2A15" w:rsidRPr="00565E49" w:rsidRDefault="004C2A15" w:rsidP="00417AFA">
            <w:pPr>
              <w:keepLines/>
              <w:autoSpaceDE w:val="0"/>
              <w:autoSpaceDN w:val="0"/>
              <w:adjustRightInd w:val="0"/>
              <w:jc w:val="center"/>
              <w:rPr>
                <w:b/>
                <w:bCs/>
              </w:rPr>
            </w:pPr>
          </w:p>
        </w:tc>
      </w:tr>
      <w:tr w:rsidR="004C2A15" w14:paraId="40DA378A" w14:textId="77777777" w:rsidTr="00EB13EA">
        <w:tc>
          <w:tcPr>
            <w:tcW w:w="9204" w:type="dxa"/>
            <w:gridSpan w:val="8"/>
          </w:tcPr>
          <w:p w14:paraId="473B167B" w14:textId="77777777" w:rsidR="004C2A15" w:rsidRPr="0013131F" w:rsidRDefault="004C2A15" w:rsidP="00417AFA">
            <w:pPr>
              <w:keepLines/>
              <w:autoSpaceDE w:val="0"/>
              <w:autoSpaceDN w:val="0"/>
              <w:adjustRightInd w:val="0"/>
              <w:spacing w:before="60" w:after="60"/>
              <w:rPr>
                <w:b/>
                <w:bCs/>
              </w:rPr>
            </w:pPr>
            <w:r w:rsidRPr="0013131F">
              <w:rPr>
                <w:b/>
                <w:bCs/>
              </w:rPr>
              <w:t>Primary efficacy endpoint</w:t>
            </w:r>
          </w:p>
        </w:tc>
      </w:tr>
      <w:tr w:rsidR="004C2A15" w14:paraId="37BD6C65" w14:textId="77777777" w:rsidTr="00EB13EA">
        <w:tc>
          <w:tcPr>
            <w:tcW w:w="1146" w:type="dxa"/>
          </w:tcPr>
          <w:p w14:paraId="0E916E38" w14:textId="77777777" w:rsidR="004C2A15" w:rsidRPr="00682C1A" w:rsidRDefault="004C2A15" w:rsidP="00417AFA">
            <w:pPr>
              <w:keepLines/>
              <w:autoSpaceDE w:val="0"/>
              <w:autoSpaceDN w:val="0"/>
              <w:adjustRightInd w:val="0"/>
              <w:spacing w:before="60" w:after="60"/>
              <w:ind w:right="-90"/>
              <w:rPr>
                <w:sz w:val="20"/>
              </w:rPr>
            </w:pPr>
            <w:r w:rsidRPr="38495E97">
              <w:rPr>
                <w:sz w:val="20"/>
              </w:rPr>
              <w:t xml:space="preserve"> All participants</w:t>
            </w:r>
          </w:p>
        </w:tc>
        <w:tc>
          <w:tcPr>
            <w:tcW w:w="1011" w:type="dxa"/>
            <w:vAlign w:val="center"/>
          </w:tcPr>
          <w:p w14:paraId="7C3E1FF3" w14:textId="77777777" w:rsidR="004C2A15" w:rsidRPr="00704FDA" w:rsidRDefault="004C2A15" w:rsidP="00417AFA">
            <w:pPr>
              <w:keepLines/>
              <w:autoSpaceDE w:val="0"/>
              <w:autoSpaceDN w:val="0"/>
              <w:adjustRightInd w:val="0"/>
              <w:spacing w:before="60" w:after="60"/>
              <w:jc w:val="center"/>
              <w:rPr>
                <w:rFonts w:eastAsia="MS Mincho"/>
                <w:color w:val="000000" w:themeColor="text1"/>
              </w:rPr>
            </w:pPr>
            <w:r w:rsidRPr="6416E0F6">
              <w:rPr>
                <w:rFonts w:eastAsia="MS Mincho"/>
                <w:color w:val="000000"/>
                <w:spacing w:val="-8"/>
              </w:rPr>
              <w:t>7,020</w:t>
            </w:r>
          </w:p>
        </w:tc>
        <w:tc>
          <w:tcPr>
            <w:tcW w:w="1023" w:type="dxa"/>
            <w:vAlign w:val="center"/>
          </w:tcPr>
          <w:p w14:paraId="765CA3A9" w14:textId="77777777" w:rsidR="004C2A15" w:rsidRPr="00704FDA" w:rsidRDefault="004C2A15" w:rsidP="00417AFA">
            <w:pPr>
              <w:keepLines/>
              <w:autoSpaceDE w:val="0"/>
              <w:autoSpaceDN w:val="0"/>
              <w:adjustRightInd w:val="0"/>
              <w:spacing w:before="60" w:after="60"/>
              <w:jc w:val="center"/>
            </w:pPr>
            <w:r w:rsidRPr="38495E97">
              <w:rPr>
                <w:rFonts w:eastAsia="MS Mincho"/>
                <w:color w:val="000000"/>
                <w:spacing w:val="-8"/>
              </w:rPr>
              <w:t>10 (0.1)</w:t>
            </w:r>
          </w:p>
        </w:tc>
        <w:tc>
          <w:tcPr>
            <w:tcW w:w="1252" w:type="dxa"/>
            <w:vAlign w:val="center"/>
          </w:tcPr>
          <w:p w14:paraId="5AFF8A4C" w14:textId="77777777" w:rsidR="004C2A15" w:rsidRPr="00704FDA" w:rsidRDefault="004C2A15" w:rsidP="00417AFA">
            <w:pPr>
              <w:keepNext/>
              <w:keepLines/>
              <w:spacing w:before="60" w:after="60"/>
              <w:jc w:val="center"/>
              <w:rPr>
                <w:rFonts w:eastAsia="MS Mincho"/>
                <w:color w:val="000000"/>
              </w:rPr>
            </w:pPr>
            <w:r w:rsidRPr="38495E97">
              <w:rPr>
                <w:rFonts w:eastAsia="MS Mincho"/>
                <w:color w:val="000000"/>
                <w:spacing w:val="-8"/>
              </w:rPr>
              <w:t>6.5</w:t>
            </w:r>
            <w:r>
              <w:rPr>
                <w:rFonts w:eastAsia="MS Mincho"/>
                <w:color w:val="000000"/>
                <w:spacing w:val="-8"/>
              </w:rPr>
              <w:t>3</w:t>
            </w:r>
          </w:p>
        </w:tc>
        <w:tc>
          <w:tcPr>
            <w:tcW w:w="1011" w:type="dxa"/>
            <w:vAlign w:val="center"/>
          </w:tcPr>
          <w:p w14:paraId="186961D9"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7,019</w:t>
            </w:r>
          </w:p>
        </w:tc>
        <w:tc>
          <w:tcPr>
            <w:tcW w:w="1023" w:type="dxa"/>
            <w:vAlign w:val="center"/>
          </w:tcPr>
          <w:p w14:paraId="1DDB8C50" w14:textId="77777777" w:rsidR="004C2A15" w:rsidRPr="00704FDA" w:rsidRDefault="004C2A15" w:rsidP="00417AFA">
            <w:pPr>
              <w:keepLines/>
              <w:autoSpaceDE w:val="0"/>
              <w:autoSpaceDN w:val="0"/>
              <w:adjustRightInd w:val="0"/>
              <w:spacing w:before="60" w:after="60"/>
              <w:jc w:val="center"/>
            </w:pPr>
            <w:r w:rsidRPr="6EE6DBE9">
              <w:rPr>
                <w:rFonts w:eastAsia="MS Mincho"/>
                <w:color w:val="000000"/>
                <w:spacing w:val="-8"/>
              </w:rPr>
              <w:t>96 (1.4)</w:t>
            </w:r>
          </w:p>
        </w:tc>
        <w:tc>
          <w:tcPr>
            <w:tcW w:w="1359" w:type="dxa"/>
            <w:vAlign w:val="center"/>
          </w:tcPr>
          <w:p w14:paraId="0AA2A1AC" w14:textId="77777777" w:rsidR="004C2A15" w:rsidRPr="00704FDA" w:rsidRDefault="004C2A15" w:rsidP="00417AFA">
            <w:pPr>
              <w:keepLines/>
              <w:autoSpaceDE w:val="0"/>
              <w:autoSpaceDN w:val="0"/>
              <w:adjustRightInd w:val="0"/>
              <w:spacing w:before="60" w:after="60"/>
              <w:jc w:val="center"/>
              <w:rPr>
                <w:rFonts w:eastAsia="MS Mincho"/>
                <w:color w:val="000000" w:themeColor="text1"/>
              </w:rPr>
            </w:pPr>
            <w:r w:rsidRPr="38495E97">
              <w:rPr>
                <w:rFonts w:eastAsia="MS Mincho"/>
                <w:color w:val="000000"/>
                <w:spacing w:val="-8"/>
              </w:rPr>
              <w:t>63.4</w:t>
            </w:r>
            <w:r>
              <w:rPr>
                <w:rFonts w:eastAsia="MS Mincho"/>
                <w:color w:val="000000"/>
                <w:spacing w:val="-8"/>
              </w:rPr>
              <w:t>3</w:t>
            </w:r>
          </w:p>
        </w:tc>
        <w:tc>
          <w:tcPr>
            <w:tcW w:w="1379" w:type="dxa"/>
            <w:vAlign w:val="center"/>
          </w:tcPr>
          <w:p w14:paraId="1C20F756" w14:textId="0DEACB1E" w:rsidR="004C2A15" w:rsidRPr="00704FDA" w:rsidRDefault="004C2A15" w:rsidP="00417AFA">
            <w:pPr>
              <w:keepLines/>
              <w:autoSpaceDE w:val="0"/>
              <w:autoSpaceDN w:val="0"/>
              <w:adjustRightInd w:val="0"/>
              <w:spacing w:before="60" w:after="60"/>
              <w:jc w:val="center"/>
            </w:pPr>
            <w:r w:rsidRPr="38495E97">
              <w:rPr>
                <w:rFonts w:eastAsia="MS Mincho"/>
                <w:color w:val="000000"/>
                <w:spacing w:val="-8"/>
              </w:rPr>
              <w:t>89.7 (80.2, 94.6)</w:t>
            </w:r>
            <w:r w:rsidR="003E15ED">
              <w:rPr>
                <w:rFonts w:eastAsia="MS Mincho"/>
                <w:color w:val="000000"/>
                <w:spacing w:val="-8"/>
                <w:vertAlign w:val="superscript"/>
              </w:rPr>
              <w:t xml:space="preserve"> 2,3</w:t>
            </w:r>
          </w:p>
        </w:tc>
      </w:tr>
      <w:tr w:rsidR="004C2A15" w14:paraId="16560FA4" w14:textId="77777777" w:rsidTr="00EB13EA">
        <w:tc>
          <w:tcPr>
            <w:tcW w:w="9204" w:type="dxa"/>
            <w:gridSpan w:val="8"/>
          </w:tcPr>
          <w:p w14:paraId="20AFE0F6" w14:textId="77777777" w:rsidR="004C2A15" w:rsidRPr="0013131F" w:rsidRDefault="004C2A15" w:rsidP="00417AFA">
            <w:pPr>
              <w:keepLines/>
              <w:autoSpaceDE w:val="0"/>
              <w:autoSpaceDN w:val="0"/>
              <w:adjustRightInd w:val="0"/>
              <w:spacing w:before="60" w:after="60"/>
              <w:rPr>
                <w:b/>
              </w:rPr>
            </w:pPr>
            <w:r w:rsidRPr="0013131F">
              <w:rPr>
                <w:b/>
              </w:rPr>
              <w:t>Subgroup analyses of the primary efficacy endpoint</w:t>
            </w:r>
          </w:p>
        </w:tc>
      </w:tr>
      <w:tr w:rsidR="004C2A15" w14:paraId="423E758A" w14:textId="77777777" w:rsidTr="00EB13EA">
        <w:tc>
          <w:tcPr>
            <w:tcW w:w="1146" w:type="dxa"/>
          </w:tcPr>
          <w:p w14:paraId="7EA2CAFC" w14:textId="77777777" w:rsidR="004C2A15" w:rsidRPr="00704FDA" w:rsidRDefault="004C2A15" w:rsidP="00417AFA">
            <w:pPr>
              <w:keepLines/>
              <w:autoSpaceDE w:val="0"/>
              <w:autoSpaceDN w:val="0"/>
              <w:adjustRightInd w:val="0"/>
              <w:spacing w:before="60" w:after="60"/>
            </w:pPr>
            <w:r w:rsidRPr="00704FDA">
              <w:t>18 to 64 years of age</w:t>
            </w:r>
          </w:p>
        </w:tc>
        <w:tc>
          <w:tcPr>
            <w:tcW w:w="1011" w:type="dxa"/>
            <w:vAlign w:val="center"/>
          </w:tcPr>
          <w:p w14:paraId="46521F88"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5,067</w:t>
            </w:r>
          </w:p>
        </w:tc>
        <w:tc>
          <w:tcPr>
            <w:tcW w:w="1023" w:type="dxa"/>
            <w:vAlign w:val="center"/>
          </w:tcPr>
          <w:p w14:paraId="57907328" w14:textId="77777777" w:rsidR="004C2A15" w:rsidRPr="00704FDA" w:rsidRDefault="004C2A15" w:rsidP="00417AFA">
            <w:pPr>
              <w:keepLines/>
              <w:autoSpaceDE w:val="0"/>
              <w:autoSpaceDN w:val="0"/>
              <w:adjustRightInd w:val="0"/>
              <w:spacing w:before="60" w:after="60"/>
              <w:jc w:val="center"/>
            </w:pPr>
            <w:r w:rsidRPr="00704FDA">
              <w:rPr>
                <w:rFonts w:eastAsia="MS Mincho"/>
                <w:color w:val="000000"/>
                <w:spacing w:val="-8"/>
              </w:rPr>
              <w:t>9</w:t>
            </w:r>
            <w:r>
              <w:rPr>
                <w:rFonts w:eastAsia="MS Mincho"/>
                <w:color w:val="000000"/>
                <w:spacing w:val="-8"/>
              </w:rPr>
              <w:t xml:space="preserve"> (0.2)</w:t>
            </w:r>
          </w:p>
        </w:tc>
        <w:tc>
          <w:tcPr>
            <w:tcW w:w="1252" w:type="dxa"/>
            <w:vAlign w:val="center"/>
          </w:tcPr>
          <w:p w14:paraId="5B9E9BB3" w14:textId="77777777" w:rsidR="004C2A15" w:rsidRPr="00704FDA" w:rsidRDefault="004C2A15" w:rsidP="00417AFA">
            <w:pPr>
              <w:keepLines/>
              <w:autoSpaceDE w:val="0"/>
              <w:autoSpaceDN w:val="0"/>
              <w:adjustRightInd w:val="0"/>
              <w:spacing w:before="60" w:after="60"/>
              <w:ind w:left="-90" w:right="-90"/>
              <w:jc w:val="center"/>
              <w:rPr>
                <w:rFonts w:eastAsia="MS Mincho"/>
                <w:color w:val="000000"/>
                <w:spacing w:val="-8"/>
              </w:rPr>
            </w:pPr>
            <w:r w:rsidRPr="6416E0F6">
              <w:rPr>
                <w:rFonts w:eastAsia="MS Mincho"/>
                <w:color w:val="000000"/>
                <w:spacing w:val="-8"/>
              </w:rPr>
              <w:t>12.30</w:t>
            </w:r>
            <w:r>
              <w:rPr>
                <w:rFonts w:eastAsia="MS Mincho"/>
                <w:color w:val="000000"/>
                <w:spacing w:val="-8"/>
              </w:rPr>
              <w:br/>
            </w:r>
            <w:r w:rsidRPr="6416E0F6">
              <w:rPr>
                <w:rFonts w:eastAsia="MS Mincho"/>
                <w:color w:val="000000"/>
                <w:spacing w:val="-8"/>
              </w:rPr>
              <w:t xml:space="preserve"> </w:t>
            </w:r>
          </w:p>
        </w:tc>
        <w:tc>
          <w:tcPr>
            <w:tcW w:w="1011" w:type="dxa"/>
            <w:vAlign w:val="center"/>
          </w:tcPr>
          <w:p w14:paraId="6EC7F785"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5,062</w:t>
            </w:r>
          </w:p>
        </w:tc>
        <w:tc>
          <w:tcPr>
            <w:tcW w:w="1023" w:type="dxa"/>
            <w:vAlign w:val="center"/>
          </w:tcPr>
          <w:p w14:paraId="086F8CD3" w14:textId="77777777" w:rsidR="004C2A15" w:rsidRPr="00704FDA" w:rsidRDefault="004C2A15" w:rsidP="00417AFA">
            <w:pPr>
              <w:keepLines/>
              <w:autoSpaceDE w:val="0"/>
              <w:autoSpaceDN w:val="0"/>
              <w:adjustRightInd w:val="0"/>
              <w:spacing w:before="60" w:after="60"/>
              <w:jc w:val="center"/>
            </w:pPr>
            <w:r w:rsidRPr="00704FDA">
              <w:rPr>
                <w:rFonts w:eastAsia="MS Mincho"/>
                <w:color w:val="000000"/>
                <w:spacing w:val="-8"/>
              </w:rPr>
              <w:t>87</w:t>
            </w:r>
            <w:r>
              <w:rPr>
                <w:rFonts w:eastAsia="MS Mincho"/>
                <w:color w:val="000000"/>
                <w:spacing w:val="-8"/>
              </w:rPr>
              <w:t xml:space="preserve"> (1.7)</w:t>
            </w:r>
          </w:p>
        </w:tc>
        <w:tc>
          <w:tcPr>
            <w:tcW w:w="1359" w:type="dxa"/>
            <w:vAlign w:val="center"/>
          </w:tcPr>
          <w:p w14:paraId="3A7A3685" w14:textId="77777777" w:rsidR="004C2A15" w:rsidRPr="00704FDA" w:rsidRDefault="004C2A15" w:rsidP="00417AFA">
            <w:pPr>
              <w:keepLines/>
              <w:autoSpaceDE w:val="0"/>
              <w:autoSpaceDN w:val="0"/>
              <w:adjustRightInd w:val="0"/>
              <w:spacing w:before="60" w:after="60"/>
              <w:ind w:left="-104" w:right="-105"/>
              <w:jc w:val="center"/>
            </w:pPr>
            <w:r w:rsidRPr="6416E0F6">
              <w:rPr>
                <w:rFonts w:eastAsia="MS Mincho"/>
                <w:color w:val="000000"/>
                <w:spacing w:val="-8"/>
              </w:rPr>
              <w:t>120.22</w:t>
            </w:r>
            <w:r>
              <w:rPr>
                <w:rFonts w:eastAsia="MS Mincho"/>
                <w:color w:val="000000"/>
                <w:spacing w:val="-8"/>
              </w:rPr>
              <w:br/>
            </w:r>
          </w:p>
        </w:tc>
        <w:tc>
          <w:tcPr>
            <w:tcW w:w="1379" w:type="dxa"/>
            <w:vAlign w:val="center"/>
          </w:tcPr>
          <w:p w14:paraId="7D8A6B2C"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89.8</w:t>
            </w:r>
            <w:r w:rsidRPr="38495E97">
              <w:rPr>
                <w:rFonts w:eastAsia="MS Mincho"/>
                <w:color w:val="000000"/>
                <w:spacing w:val="-8"/>
                <w:vertAlign w:val="superscript"/>
              </w:rPr>
              <w:t>2</w:t>
            </w:r>
            <w:r w:rsidRPr="6416E0F6">
              <w:rPr>
                <w:rFonts w:eastAsia="MS Mincho"/>
                <w:color w:val="000000"/>
                <w:spacing w:val="-8"/>
              </w:rPr>
              <w:t xml:space="preserve"> (79.7, 94.9)</w:t>
            </w:r>
          </w:p>
        </w:tc>
      </w:tr>
      <w:tr w:rsidR="004C2A15" w14:paraId="2D56E3DE" w14:textId="77777777" w:rsidTr="00EB13EA">
        <w:tc>
          <w:tcPr>
            <w:tcW w:w="1146" w:type="dxa"/>
          </w:tcPr>
          <w:p w14:paraId="71300107" w14:textId="77777777" w:rsidR="004C2A15" w:rsidRPr="00704FDA" w:rsidRDefault="004C2A15" w:rsidP="00417AFA">
            <w:pPr>
              <w:keepLines/>
              <w:autoSpaceDE w:val="0"/>
              <w:autoSpaceDN w:val="0"/>
              <w:adjustRightInd w:val="0"/>
              <w:spacing w:before="60" w:after="60"/>
            </w:pPr>
            <w:r>
              <w:t>65 to 84 years of age</w:t>
            </w:r>
          </w:p>
        </w:tc>
        <w:tc>
          <w:tcPr>
            <w:tcW w:w="1011" w:type="dxa"/>
            <w:vAlign w:val="center"/>
          </w:tcPr>
          <w:p w14:paraId="59A457D6"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1,953</w:t>
            </w:r>
          </w:p>
        </w:tc>
        <w:tc>
          <w:tcPr>
            <w:tcW w:w="1023" w:type="dxa"/>
            <w:vAlign w:val="center"/>
          </w:tcPr>
          <w:p w14:paraId="10CA94F8" w14:textId="77777777" w:rsidR="004C2A15" w:rsidRPr="00414465" w:rsidRDefault="004C2A15" w:rsidP="00417AFA">
            <w:pPr>
              <w:keepLines/>
              <w:spacing w:before="60" w:after="60"/>
              <w:ind w:left="-180" w:right="-90"/>
              <w:jc w:val="center"/>
              <w:rPr>
                <w:rFonts w:eastAsia="MS Mincho"/>
                <w:color w:val="000000" w:themeColor="text1"/>
                <w:vertAlign w:val="superscript"/>
              </w:rPr>
            </w:pPr>
            <w:r>
              <w:rPr>
                <w:rFonts w:eastAsia="MS Mincho"/>
                <w:color w:val="000000" w:themeColor="text1"/>
              </w:rPr>
              <w:t>1 (0.10)</w:t>
            </w:r>
            <w:r>
              <w:rPr>
                <w:rFonts w:eastAsia="MS Mincho"/>
                <w:color w:val="000000" w:themeColor="text1"/>
                <w:vertAlign w:val="superscript"/>
              </w:rPr>
              <w:t>3</w:t>
            </w:r>
          </w:p>
        </w:tc>
        <w:tc>
          <w:tcPr>
            <w:tcW w:w="1252" w:type="dxa"/>
            <w:vAlign w:val="center"/>
          </w:tcPr>
          <w:p w14:paraId="46C1BAF8" w14:textId="77777777" w:rsidR="004C2A15" w:rsidRPr="00704FDA" w:rsidRDefault="004C2A15" w:rsidP="00417AFA">
            <w:pPr>
              <w:keepLines/>
              <w:autoSpaceDE w:val="0"/>
              <w:autoSpaceDN w:val="0"/>
              <w:adjustRightInd w:val="0"/>
              <w:spacing w:before="60" w:after="60"/>
              <w:jc w:val="center"/>
            </w:pPr>
            <w:r w:rsidRPr="00F90876">
              <w:rPr>
                <w:color w:val="000000"/>
                <w:sz w:val="20"/>
              </w:rPr>
              <w:t>---</w:t>
            </w:r>
          </w:p>
        </w:tc>
        <w:tc>
          <w:tcPr>
            <w:tcW w:w="1011" w:type="dxa"/>
            <w:vAlign w:val="center"/>
          </w:tcPr>
          <w:p w14:paraId="112EA3DF"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1,957</w:t>
            </w:r>
          </w:p>
        </w:tc>
        <w:tc>
          <w:tcPr>
            <w:tcW w:w="1023" w:type="dxa"/>
            <w:vAlign w:val="center"/>
          </w:tcPr>
          <w:p w14:paraId="45516B71" w14:textId="381000C6" w:rsidR="004C2A15" w:rsidRPr="00414465" w:rsidRDefault="004C2A15" w:rsidP="00417AFA">
            <w:pPr>
              <w:keepLines/>
              <w:autoSpaceDE w:val="0"/>
              <w:autoSpaceDN w:val="0"/>
              <w:adjustRightInd w:val="0"/>
              <w:spacing w:before="60" w:after="60"/>
              <w:jc w:val="center"/>
              <w:rPr>
                <w:vertAlign w:val="superscript"/>
              </w:rPr>
            </w:pPr>
            <w:r w:rsidRPr="2BBD485E">
              <w:rPr>
                <w:rFonts w:eastAsia="MS Mincho"/>
                <w:color w:val="000000"/>
                <w:spacing w:val="-8"/>
              </w:rPr>
              <w:t>9 (0.9)</w:t>
            </w:r>
            <w:r w:rsidR="003E15ED">
              <w:rPr>
                <w:rFonts w:eastAsia="MS Mincho"/>
                <w:color w:val="000000"/>
                <w:spacing w:val="-8"/>
                <w:vertAlign w:val="superscript"/>
              </w:rPr>
              <w:t>2</w:t>
            </w:r>
          </w:p>
        </w:tc>
        <w:tc>
          <w:tcPr>
            <w:tcW w:w="1359" w:type="dxa"/>
            <w:vAlign w:val="center"/>
          </w:tcPr>
          <w:p w14:paraId="5F93A830" w14:textId="77777777" w:rsidR="004C2A15" w:rsidRPr="00704FDA" w:rsidRDefault="004C2A15" w:rsidP="00417AFA">
            <w:pPr>
              <w:keepLines/>
              <w:autoSpaceDE w:val="0"/>
              <w:autoSpaceDN w:val="0"/>
              <w:adjustRightInd w:val="0"/>
              <w:spacing w:before="60" w:after="60"/>
              <w:jc w:val="center"/>
            </w:pPr>
            <w:r w:rsidRPr="00F90876">
              <w:rPr>
                <w:color w:val="000000"/>
                <w:sz w:val="20"/>
              </w:rPr>
              <w:t>---</w:t>
            </w:r>
          </w:p>
        </w:tc>
        <w:tc>
          <w:tcPr>
            <w:tcW w:w="1379" w:type="dxa"/>
            <w:vAlign w:val="center"/>
          </w:tcPr>
          <w:p w14:paraId="3EA826FC" w14:textId="77777777" w:rsidR="004C2A15" w:rsidRPr="00704FDA" w:rsidRDefault="004C2A15" w:rsidP="00417AFA">
            <w:pPr>
              <w:keepLines/>
              <w:autoSpaceDE w:val="0"/>
              <w:autoSpaceDN w:val="0"/>
              <w:adjustRightInd w:val="0"/>
              <w:spacing w:before="60" w:after="60"/>
              <w:jc w:val="center"/>
              <w:rPr>
                <w:rFonts w:eastAsia="MS Mincho"/>
                <w:color w:val="000000" w:themeColor="text1"/>
                <w:highlight w:val="yellow"/>
                <w:vertAlign w:val="superscript"/>
              </w:rPr>
            </w:pPr>
            <w:r w:rsidRPr="6EE6DBE9">
              <w:rPr>
                <w:rFonts w:eastAsia="MS Mincho"/>
                <w:color w:val="000000"/>
                <w:spacing w:val="-8"/>
              </w:rPr>
              <w:t>88.9%</w:t>
            </w:r>
            <w:r>
              <w:rPr>
                <w:rFonts w:eastAsia="MS Mincho"/>
                <w:color w:val="000000"/>
                <w:spacing w:val="-8"/>
                <w:vertAlign w:val="superscript"/>
              </w:rPr>
              <w:t>4</w:t>
            </w:r>
          </w:p>
          <w:p w14:paraId="53EC5A74" w14:textId="77777777" w:rsidR="004C2A15" w:rsidRPr="00704FDA" w:rsidRDefault="004C2A15" w:rsidP="00417AFA">
            <w:pPr>
              <w:keepLines/>
              <w:autoSpaceDE w:val="0"/>
              <w:autoSpaceDN w:val="0"/>
              <w:adjustRightInd w:val="0"/>
              <w:spacing w:before="60" w:after="60"/>
              <w:jc w:val="center"/>
              <w:rPr>
                <w:vertAlign w:val="superscript"/>
              </w:rPr>
            </w:pPr>
            <w:r w:rsidRPr="6EE6DBE9">
              <w:rPr>
                <w:rFonts w:eastAsia="MS Mincho"/>
                <w:color w:val="000000"/>
                <w:spacing w:val="-8"/>
              </w:rPr>
              <w:t>(20.2, 99.7)</w:t>
            </w:r>
          </w:p>
        </w:tc>
      </w:tr>
    </w:tbl>
    <w:bookmarkEnd w:id="26"/>
    <w:p w14:paraId="79707950" w14:textId="77777777" w:rsidR="004C2A15" w:rsidRDefault="004C2A15" w:rsidP="004C2A15">
      <w:pPr>
        <w:spacing w:after="0"/>
        <w:ind w:left="181" w:right="102" w:hanging="181"/>
        <w:jc w:val="both"/>
        <w:rPr>
          <w:sz w:val="18"/>
          <w:szCs w:val="18"/>
        </w:rPr>
      </w:pPr>
      <w:proofErr w:type="gramStart"/>
      <w:r w:rsidRPr="6EE6DBE9">
        <w:rPr>
          <w:sz w:val="18"/>
          <w:szCs w:val="18"/>
        </w:rPr>
        <w:t xml:space="preserve">1 </w:t>
      </w:r>
      <w:r>
        <w:rPr>
          <w:sz w:val="18"/>
          <w:szCs w:val="18"/>
        </w:rPr>
        <w:t xml:space="preserve"> </w:t>
      </w:r>
      <w:r w:rsidRPr="6EE6DBE9">
        <w:rPr>
          <w:sz w:val="18"/>
          <w:szCs w:val="18"/>
        </w:rPr>
        <w:t>Mean</w:t>
      </w:r>
      <w:proofErr w:type="gramEnd"/>
      <w:r w:rsidRPr="6EE6DBE9">
        <w:rPr>
          <w:sz w:val="18"/>
          <w:szCs w:val="18"/>
        </w:rPr>
        <w:t xml:space="preserve"> disease incidence rate per year in 1000 people.</w:t>
      </w:r>
    </w:p>
    <w:p w14:paraId="6AEADEB5" w14:textId="291DF68F" w:rsidR="004C2A15" w:rsidRDefault="004C2A15" w:rsidP="004C2A15">
      <w:pPr>
        <w:spacing w:after="0"/>
        <w:ind w:left="181" w:right="102" w:hanging="181"/>
        <w:jc w:val="both"/>
        <w:rPr>
          <w:sz w:val="18"/>
          <w:szCs w:val="18"/>
        </w:rPr>
      </w:pPr>
      <w:proofErr w:type="gramStart"/>
      <w:r w:rsidRPr="38495E97">
        <w:rPr>
          <w:sz w:val="18"/>
          <w:szCs w:val="18"/>
        </w:rPr>
        <w:t xml:space="preserve">2 </w:t>
      </w:r>
      <w:r>
        <w:rPr>
          <w:sz w:val="18"/>
          <w:szCs w:val="18"/>
        </w:rPr>
        <w:t xml:space="preserve"> </w:t>
      </w:r>
      <w:r w:rsidRPr="38495E97">
        <w:rPr>
          <w:sz w:val="18"/>
          <w:szCs w:val="18"/>
        </w:rPr>
        <w:t>Based</w:t>
      </w:r>
      <w:proofErr w:type="gramEnd"/>
      <w:r w:rsidRPr="38495E97">
        <w:rPr>
          <w:sz w:val="18"/>
          <w:szCs w:val="18"/>
        </w:rPr>
        <w:t xml:space="preserve"> on Log-linear model of occurrence using modified Poisson regression with logarithmic link function, treatment</w:t>
      </w:r>
      <w:r>
        <w:rPr>
          <w:sz w:val="18"/>
          <w:szCs w:val="18"/>
        </w:rPr>
        <w:t xml:space="preserve"> </w:t>
      </w:r>
      <w:r w:rsidRPr="38495E97">
        <w:rPr>
          <w:sz w:val="18"/>
          <w:szCs w:val="18"/>
        </w:rPr>
        <w:t>group and strata (age-group and pooled region) as fixed effects and robust error variance.</w:t>
      </w:r>
    </w:p>
    <w:p w14:paraId="74C97C51" w14:textId="5B48C781" w:rsidR="003E15ED" w:rsidRPr="003E15ED" w:rsidRDefault="004C2A15" w:rsidP="003E15ED">
      <w:pPr>
        <w:pStyle w:val="Default"/>
        <w:rPr>
          <w:rFonts w:ascii="Times New Roman" w:hAnsi="Times New Roman" w:cs="Times New Roman"/>
          <w:sz w:val="18"/>
          <w:szCs w:val="18"/>
        </w:rPr>
      </w:pPr>
      <w:proofErr w:type="gramStart"/>
      <w:r w:rsidRPr="38495E97">
        <w:rPr>
          <w:sz w:val="18"/>
          <w:szCs w:val="18"/>
        </w:rPr>
        <w:t>3</w:t>
      </w:r>
      <w:r w:rsidR="003E15ED">
        <w:rPr>
          <w:sz w:val="18"/>
          <w:szCs w:val="18"/>
        </w:rPr>
        <w:t xml:space="preserve">  </w:t>
      </w:r>
      <w:r w:rsidR="003E15ED" w:rsidRPr="003E15ED">
        <w:rPr>
          <w:rFonts w:ascii="Times New Roman" w:hAnsi="Times New Roman" w:cs="Times New Roman"/>
          <w:sz w:val="18"/>
          <w:szCs w:val="18"/>
        </w:rPr>
        <w:t>Met</w:t>
      </w:r>
      <w:proofErr w:type="gramEnd"/>
      <w:r w:rsidR="003E15ED" w:rsidRPr="003E15ED">
        <w:rPr>
          <w:rFonts w:ascii="Times New Roman" w:hAnsi="Times New Roman" w:cs="Times New Roman"/>
          <w:sz w:val="18"/>
          <w:szCs w:val="18"/>
        </w:rPr>
        <w:t xml:space="preserve"> primary efficacy endpoint criterion for success with a lower bound confidence interval (LBCI) &gt; 30%</w:t>
      </w:r>
      <w:r w:rsidR="002730F6">
        <w:rPr>
          <w:rFonts w:ascii="Times New Roman" w:hAnsi="Times New Roman" w:cs="Times New Roman"/>
          <w:sz w:val="18"/>
          <w:szCs w:val="18"/>
        </w:rPr>
        <w:t>, efficacy has been confirmed at the interim analysis</w:t>
      </w:r>
      <w:r w:rsidR="003E15ED" w:rsidRPr="003E15ED">
        <w:rPr>
          <w:rFonts w:ascii="Times New Roman" w:hAnsi="Times New Roman" w:cs="Times New Roman"/>
          <w:sz w:val="18"/>
          <w:szCs w:val="18"/>
        </w:rPr>
        <w:t xml:space="preserve">. </w:t>
      </w:r>
    </w:p>
    <w:p w14:paraId="6420C29E" w14:textId="10BFF34E" w:rsidR="004C2A15" w:rsidRDefault="003E15ED" w:rsidP="003E15ED">
      <w:pPr>
        <w:spacing w:after="0"/>
        <w:ind w:left="181" w:right="102" w:hanging="181"/>
        <w:jc w:val="both"/>
        <w:rPr>
          <w:rFonts w:ascii="Times New Roman" w:hAnsi="Times New Roman" w:cs="Times New Roman"/>
          <w:color w:val="000000"/>
          <w:sz w:val="18"/>
          <w:szCs w:val="18"/>
        </w:rPr>
      </w:pPr>
      <w:proofErr w:type="gramStart"/>
      <w:r w:rsidRPr="00CE6D5D">
        <w:rPr>
          <w:rFonts w:ascii="Times New Roman" w:hAnsi="Times New Roman" w:cs="Times New Roman"/>
          <w:color w:val="000000"/>
          <w:sz w:val="18"/>
          <w:szCs w:val="18"/>
        </w:rPr>
        <w:t>4  Based</w:t>
      </w:r>
      <w:proofErr w:type="gramEnd"/>
      <w:r w:rsidRPr="00CE6D5D">
        <w:rPr>
          <w:rFonts w:ascii="Times New Roman" w:hAnsi="Times New Roman" w:cs="Times New Roman"/>
          <w:color w:val="000000"/>
          <w:sz w:val="18"/>
          <w:szCs w:val="18"/>
        </w:rPr>
        <w:t xml:space="preserve"> on </w:t>
      </w:r>
      <w:r w:rsidR="002730F6">
        <w:rPr>
          <w:rFonts w:ascii="Times New Roman" w:hAnsi="Times New Roman" w:cs="Times New Roman"/>
          <w:color w:val="000000"/>
          <w:sz w:val="18"/>
          <w:szCs w:val="18"/>
        </w:rPr>
        <w:t>the Clopper-Pearson model (due to few events), 95% Cis calculated using the Clopper-Pearson exact binomial method adjusted for the total surveillance time.</w:t>
      </w:r>
    </w:p>
    <w:p w14:paraId="2C87BD9D" w14:textId="77777777" w:rsidR="00417AFA" w:rsidRPr="00CE6D5D" w:rsidRDefault="00417AFA" w:rsidP="003E15ED">
      <w:pPr>
        <w:spacing w:after="0"/>
        <w:ind w:left="181" w:right="102" w:hanging="181"/>
        <w:jc w:val="both"/>
        <w:rPr>
          <w:sz w:val="18"/>
          <w:szCs w:val="18"/>
        </w:rPr>
      </w:pPr>
    </w:p>
    <w:p w14:paraId="074BE0F7" w14:textId="7D7C0E31" w:rsidR="002730F6" w:rsidRDefault="002730F6" w:rsidP="007F341E">
      <w:pPr>
        <w:autoSpaceDE w:val="0"/>
        <w:autoSpaceDN w:val="0"/>
        <w:adjustRightInd w:val="0"/>
        <w:spacing w:line="240" w:lineRule="auto"/>
        <w:jc w:val="both"/>
      </w:pPr>
      <w:r>
        <w:t xml:space="preserve">These results reflect enrolment that occurred during the </w:t>
      </w:r>
      <w:proofErr w:type="gramStart"/>
      <w:r>
        <w:t>time period</w:t>
      </w:r>
      <w:proofErr w:type="gramEnd"/>
      <w:r>
        <w:t xml:space="preserve"> when the B.1.17 (Alpha) variant was circulating in the UK. Identification of the Alpha variant was based on S gene target failure by PCR.  </w:t>
      </w:r>
      <w:r>
        <w:lastRenderedPageBreak/>
        <w:t xml:space="preserve">Data were available </w:t>
      </w:r>
      <w:r w:rsidR="00063F1A">
        <w:t>for 95 of the 106 endpoint cases (90%). Of these, 66 out of 95 (69%) were identified as the Alpha variant with the other cases classified as non-Alpha.</w:t>
      </w:r>
    </w:p>
    <w:p w14:paraId="07567F0E" w14:textId="28F28B98" w:rsidR="005F2515" w:rsidRDefault="00063F1A" w:rsidP="007F341E">
      <w:pPr>
        <w:autoSpaceDE w:val="0"/>
        <w:autoSpaceDN w:val="0"/>
        <w:adjustRightInd w:val="0"/>
        <w:spacing w:line="240" w:lineRule="auto"/>
        <w:jc w:val="both"/>
      </w:pPr>
      <w:r>
        <w:t xml:space="preserve">No </w:t>
      </w:r>
      <w:r w:rsidR="00F96934">
        <w:t>c</w:t>
      </w:r>
      <w:r>
        <w:t>ases of severe COVID-19 were reported in the 7,020 NUVAXOVID participants compared with 4 cases of severe COVID-19 reported in the 7,019 placebo recipients in the PP-EFF analysis set</w:t>
      </w:r>
      <w:r w:rsidR="005F2515">
        <w:t>.</w:t>
      </w:r>
    </w:p>
    <w:p w14:paraId="3309C935" w14:textId="77777777" w:rsidR="00D624C2" w:rsidRDefault="004C2A15" w:rsidP="00D624C2">
      <w:pPr>
        <w:autoSpaceDE w:val="0"/>
        <w:autoSpaceDN w:val="0"/>
        <w:adjustRightInd w:val="0"/>
        <w:spacing w:line="240" w:lineRule="auto"/>
        <w:jc w:val="both"/>
      </w:pPr>
      <w:r w:rsidRPr="00CE6D5D">
        <w:t xml:space="preserve">Vaccine efficacy of </w:t>
      </w:r>
      <w:r w:rsidR="005F3D84" w:rsidRPr="00CE6D5D">
        <w:t xml:space="preserve">NUVAXOVID </w:t>
      </w:r>
      <w:r w:rsidRPr="00CE6D5D">
        <w:t>to prevent the onset of COVID-19 from 7 days after Dose 2 was 89.7% (PP-EFF analysis set) for any strain or variant of SARS-CoV-2 and 86.3% (post-hoc analysis of the PP-EFF analysis set) for the B.1.1.7 (Alpha) variant of SARS-CoV-2</w:t>
      </w:r>
      <w:r w:rsidR="00187CB2">
        <w:t>, which comprised 66 out of 95 (69%) of the endpoint cases that were sequenced</w:t>
      </w:r>
      <w:r w:rsidRPr="00CE6D5D">
        <w:t xml:space="preserve">. </w:t>
      </w:r>
    </w:p>
    <w:p w14:paraId="185851F6" w14:textId="1614B253" w:rsidR="004C2A15" w:rsidRPr="00070F58" w:rsidRDefault="004C2A15" w:rsidP="00C06A9C">
      <w:pPr>
        <w:pStyle w:val="Heading4"/>
        <w:numPr>
          <w:ilvl w:val="0"/>
          <w:numId w:val="0"/>
        </w:numPr>
        <w:ind w:left="864"/>
        <w:rPr>
          <w:color w:val="auto"/>
        </w:rPr>
      </w:pPr>
      <w:r w:rsidRPr="00070F58">
        <w:rPr>
          <w:color w:val="auto"/>
        </w:rPr>
        <w:t>Licensed seasonal influenza vaccine co-administration sub-study</w:t>
      </w:r>
      <w:r w:rsidR="00C06A9C" w:rsidRPr="00070F58">
        <w:rPr>
          <w:color w:val="auto"/>
        </w:rPr>
        <w:t xml:space="preserve"> of Study 2 (2019nCoV-302)</w:t>
      </w:r>
    </w:p>
    <w:p w14:paraId="1811F4E0" w14:textId="1726647C" w:rsidR="004C2A15" w:rsidRDefault="004C2A15" w:rsidP="00F97B7C">
      <w:pPr>
        <w:autoSpaceDE w:val="0"/>
        <w:autoSpaceDN w:val="0"/>
        <w:adjustRightInd w:val="0"/>
        <w:spacing w:line="240" w:lineRule="auto"/>
      </w:pPr>
      <w:r>
        <w:t>Overall, 431 participants were co-vaccinated with inactivated seasonal influenza vaccines; 217 sub-study participants received</w:t>
      </w:r>
      <w:r w:rsidR="005F3D84" w:rsidRPr="005F3D84">
        <w:t xml:space="preserve"> </w:t>
      </w:r>
      <w:r w:rsidR="005F3D84">
        <w:t xml:space="preserve">NUVAXOVID </w:t>
      </w:r>
      <w:r>
        <w:t xml:space="preserve">and 214 received placebo. </w:t>
      </w:r>
      <w:r w:rsidR="00063F1A">
        <w:t>Demographic and baseline characteristics were balanced amongst participants who received NUVAXOVID and participants who received placebo. In the per-protocol immunogenicity (PP-IMM) analysis set for participants who received NUVAXOVID (n = 191), median age was 40.0 years (range: 22 to 70 years); 93% (n = 178) were 18 to 64 years old and 7% (n = 13) were aged 65 to 84</w:t>
      </w:r>
      <w:r>
        <w:t>, 43% were female; 75% were White; 2</w:t>
      </w:r>
      <w:r w:rsidR="00063F1A">
        <w:t>3</w:t>
      </w:r>
      <w:r>
        <w:t xml:space="preserve">% were multiracial or from ethnic minorities; and 27% had at least </w:t>
      </w:r>
      <w:r w:rsidR="00063F1A">
        <w:t>1</w:t>
      </w:r>
      <w:r>
        <w:t xml:space="preserve"> comorbid condition. Co-administration resulted in no change to influenza vaccine immune responses as measured by hemagglutination inhibition (HAI) assay</w:t>
      </w:r>
      <w:r w:rsidR="005F2515">
        <w:t xml:space="preserve">. </w:t>
      </w:r>
      <w:bookmarkStart w:id="27" w:name="_Hlk91674771"/>
      <w:r w:rsidR="005F2515">
        <w:t>A</w:t>
      </w:r>
      <w:r>
        <w:t xml:space="preserve"> </w:t>
      </w:r>
      <w:r w:rsidR="00063F1A">
        <w:t xml:space="preserve">30% </w:t>
      </w:r>
      <w:r>
        <w:t xml:space="preserve">reduction in antibody responses to </w:t>
      </w:r>
      <w:r w:rsidR="005F3D84">
        <w:t xml:space="preserve">NUVAXOVID </w:t>
      </w:r>
      <w:r>
        <w:t xml:space="preserve">was noted as assessed by an anti-spike IgG assay with seroconversion rates </w:t>
      </w:r>
      <w:proofErr w:type="gramStart"/>
      <w:r>
        <w:t>similar to</w:t>
      </w:r>
      <w:proofErr w:type="gramEnd"/>
      <w:r>
        <w:t xml:space="preserve"> participants</w:t>
      </w:r>
      <w:r w:rsidR="005F2515">
        <w:t xml:space="preserve"> who did not receive concomitant influenza vaccine </w:t>
      </w:r>
      <w:bookmarkStart w:id="28" w:name="_Hlk91674898"/>
      <w:bookmarkEnd w:id="27"/>
      <w:r w:rsidR="005F2515">
        <w:t>(see section 4.5</w:t>
      </w:r>
      <w:r w:rsidR="00573F33">
        <w:t xml:space="preserve"> Interactions with Other Medicines</w:t>
      </w:r>
      <w:r w:rsidR="00F72C84">
        <w:t xml:space="preserve"> and Forms of Interactions</w:t>
      </w:r>
      <w:r w:rsidR="005F2515">
        <w:t xml:space="preserve"> and section 4.8</w:t>
      </w:r>
      <w:r w:rsidR="00F72C84">
        <w:t xml:space="preserve"> Adverse Effects</w:t>
      </w:r>
      <w:r w:rsidR="005F2515">
        <w:t>)</w:t>
      </w:r>
      <w:r>
        <w:t xml:space="preserve">. </w:t>
      </w:r>
      <w:bookmarkEnd w:id="28"/>
    </w:p>
    <w:p w14:paraId="70577332" w14:textId="7E653FEE" w:rsidR="005F2515" w:rsidRPr="00862660" w:rsidRDefault="005F2515" w:rsidP="005F2515">
      <w:pPr>
        <w:pStyle w:val="Heading3"/>
      </w:pPr>
      <w:r w:rsidRPr="00862660">
        <w:t xml:space="preserve">Study </w:t>
      </w:r>
      <w:r>
        <w:t>3</w:t>
      </w:r>
      <w:r w:rsidRPr="00862660">
        <w:t xml:space="preserve"> (2019nCoV-</w:t>
      </w:r>
      <w:r>
        <w:t>501</w:t>
      </w:r>
      <w:r w:rsidRPr="00862660">
        <w:t>)</w:t>
      </w:r>
      <w:r w:rsidR="003B6B70">
        <w:t xml:space="preserve"> </w:t>
      </w:r>
      <w:bookmarkStart w:id="29" w:name="_Hlk101961284"/>
      <w:r w:rsidR="00BA1D52">
        <w:t>-2-</w:t>
      </w:r>
      <w:r w:rsidR="003B6B70">
        <w:t>dose Primary Series</w:t>
      </w:r>
      <w:bookmarkEnd w:id="29"/>
    </w:p>
    <w:p w14:paraId="1FDD1B1D" w14:textId="450E6699" w:rsidR="005F2515" w:rsidRDefault="005F2515" w:rsidP="00F97B7C">
      <w:pPr>
        <w:autoSpaceDE w:val="0"/>
        <w:autoSpaceDN w:val="0"/>
        <w:adjustRightInd w:val="0"/>
        <w:spacing w:line="240" w:lineRule="auto"/>
      </w:pPr>
      <w:r>
        <w:t xml:space="preserve">Study 3 is an ongoing Phase 2a/b, </w:t>
      </w:r>
      <w:proofErr w:type="spellStart"/>
      <w:r>
        <w:t>multicenter</w:t>
      </w:r>
      <w:proofErr w:type="spellEnd"/>
      <w:r>
        <w:t xml:space="preserve">, randomised, observer-blinded, placebo-controlled </w:t>
      </w:r>
      <w:r w:rsidR="00E05B86">
        <w:t>study in</w:t>
      </w:r>
      <w:r>
        <w:t xml:space="preserve"> HIV-negative participants 18 to 84 years of age and people living with HIV (PLWH) 18 to 64 years of age in South Africa. PLWH were medically stable (free of opportunistic infections)</w:t>
      </w:r>
      <w:r w:rsidR="00E05B86">
        <w:t>, receiving highly active and stable antiretroviral therapy, and having an HIV-1 viral load of &lt; 1000 copies/</w:t>
      </w:r>
      <w:proofErr w:type="spellStart"/>
      <w:r w:rsidR="00E05B86">
        <w:t>mL.</w:t>
      </w:r>
      <w:proofErr w:type="spellEnd"/>
    </w:p>
    <w:p w14:paraId="4B411B7E" w14:textId="3BE0192C" w:rsidR="00E05B86" w:rsidRDefault="00E05B86" w:rsidP="00F97B7C">
      <w:pPr>
        <w:autoSpaceDE w:val="0"/>
        <w:autoSpaceDN w:val="0"/>
        <w:adjustRightInd w:val="0"/>
        <w:spacing w:line="240" w:lineRule="auto"/>
      </w:pPr>
      <w:r>
        <w:t xml:space="preserve">The PP-EFF included 2,770 participants who received either NUVAXOVID (n=1,408) or placebo (n=1,362), received 2 doses (Dose 1 on Day 0; Dose 2 on Day 21), did not experience an exclusionary protocol deviation, and did not have evidence of SARS-CoV-2 infections through 7 days after the second dose. </w:t>
      </w:r>
    </w:p>
    <w:p w14:paraId="1F3285C7" w14:textId="66D7AD64" w:rsidR="00E05B86" w:rsidRDefault="00E05B86" w:rsidP="00F97B7C">
      <w:pPr>
        <w:autoSpaceDE w:val="0"/>
        <w:autoSpaceDN w:val="0"/>
        <w:adjustRightInd w:val="0"/>
        <w:spacing w:line="240" w:lineRule="auto"/>
      </w:pPr>
      <w:r>
        <w:t>Demographic and baseline characteristics were balanced amongst participants who received NUVAXOVID and participants who received placebo.  in the RR-EFF analysis set for participants who received NUVAXOVID, median age was 28 years (range 18 to 84 years); 40% were female; 91% were Black/African American; 2% were White; 3% were multiple races</w:t>
      </w:r>
      <w:r w:rsidR="00F90628">
        <w:t>; 1% were Asian; and 2% were Hispanic or Latino; and 5.5% were HIV-positive.</w:t>
      </w:r>
    </w:p>
    <w:p w14:paraId="41A4CB85" w14:textId="556ACA4E" w:rsidR="00E05B86" w:rsidRDefault="00F90628" w:rsidP="00F97B7C">
      <w:pPr>
        <w:autoSpaceDE w:val="0"/>
        <w:autoSpaceDN w:val="0"/>
        <w:adjustRightInd w:val="0"/>
        <w:spacing w:line="240" w:lineRule="auto"/>
      </w:pPr>
      <w:r>
        <w:t>A total of 147 symptomatic mild, moderate</w:t>
      </w:r>
      <w:r w:rsidR="00C07AEE">
        <w:t>,</w:t>
      </w:r>
      <w:r>
        <w:t xml:space="preserve"> or severe COVID-19 cases among all adult participants, seronegative (to SARS-CoV-2) at baseline, were accrued for the complete analysis (PP-EFF analysis set) of the primary efficacy endpoint, with 51 (</w:t>
      </w:r>
      <w:r w:rsidR="001E60A8">
        <w:t>4</w:t>
      </w:r>
      <w:r w:rsidRPr="007F341E">
        <w:t>%)</w:t>
      </w:r>
      <w:r>
        <w:t xml:space="preserve"> cases for NUVAXOVID versus 96 (</w:t>
      </w:r>
      <w:r w:rsidRPr="007F341E">
        <w:t>7%)</w:t>
      </w:r>
      <w:r>
        <w:t xml:space="preserve"> cases for placebo. The resultant vaccine efficacy of NUVAXOVID was 48.6% (95% CI: 28.4</w:t>
      </w:r>
      <w:r w:rsidR="007F341E">
        <w:t xml:space="preserve"> -</w:t>
      </w:r>
      <w:r>
        <w:t xml:space="preserve"> 63.1). </w:t>
      </w:r>
    </w:p>
    <w:p w14:paraId="700EA578" w14:textId="06E46B83" w:rsidR="00F90628" w:rsidRDefault="00F90628" w:rsidP="00F97B7C">
      <w:pPr>
        <w:autoSpaceDE w:val="0"/>
        <w:autoSpaceDN w:val="0"/>
        <w:adjustRightInd w:val="0"/>
        <w:spacing w:line="240" w:lineRule="auto"/>
      </w:pPr>
      <w:r>
        <w:t xml:space="preserve">These results reflect enrolment that occurred during the </w:t>
      </w:r>
      <w:proofErr w:type="gramStart"/>
      <w:r>
        <w:t>time period</w:t>
      </w:r>
      <w:proofErr w:type="gramEnd"/>
      <w:r>
        <w:t xml:space="preserve"> when the B.1.351 (Beta) variant was circulating in South Africa.</w:t>
      </w:r>
    </w:p>
    <w:p w14:paraId="03FD3831" w14:textId="685044EE" w:rsidR="00D54FBE" w:rsidRDefault="00D54FBE" w:rsidP="003B6B70">
      <w:pPr>
        <w:pStyle w:val="Heading3"/>
      </w:pPr>
      <w:bookmarkStart w:id="30" w:name="_Hlk101961338"/>
      <w:r>
        <w:lastRenderedPageBreak/>
        <w:t>Immunogenicity of NUVAXOVID as a homologous or heterologous booster dose</w:t>
      </w:r>
      <w:bookmarkEnd w:id="30"/>
    </w:p>
    <w:p w14:paraId="4AC53431" w14:textId="77777777" w:rsidR="00E7289D" w:rsidRPr="00E7289D" w:rsidRDefault="00E7289D" w:rsidP="00E7289D">
      <w:pPr>
        <w:pStyle w:val="Heading4"/>
        <w:numPr>
          <w:ilvl w:val="0"/>
          <w:numId w:val="0"/>
        </w:numPr>
        <w:ind w:left="864"/>
        <w:rPr>
          <w:color w:val="auto"/>
        </w:rPr>
      </w:pPr>
      <w:bookmarkStart w:id="31" w:name="_Hlk101961658"/>
      <w:r w:rsidRPr="00E7289D">
        <w:rPr>
          <w:color w:val="auto"/>
        </w:rPr>
        <w:t xml:space="preserve">Immunogenicity in participants 18 years of age and older – after booster dose </w:t>
      </w:r>
    </w:p>
    <w:p w14:paraId="0A700F93" w14:textId="77777777" w:rsidR="00E7289D" w:rsidRPr="005A273E" w:rsidRDefault="00E7289D" w:rsidP="00E7289D">
      <w:pPr>
        <w:autoSpaceDE w:val="0"/>
        <w:spacing w:before="120" w:after="120"/>
        <w:rPr>
          <w:rFonts w:cstheme="minorHAnsi"/>
        </w:rPr>
      </w:pPr>
      <w:r w:rsidRPr="00097ECF">
        <w:rPr>
          <w:rFonts w:cstheme="minorHAnsi"/>
        </w:rPr>
        <w:t>Study 2019nCoV-101, Part 2</w:t>
      </w:r>
    </w:p>
    <w:p w14:paraId="3CE41D7F" w14:textId="1CCB0B17" w:rsidR="00E7289D" w:rsidRPr="00F97B7C" w:rsidRDefault="1C2E9E85" w:rsidP="00F97B7C">
      <w:pPr>
        <w:autoSpaceDE w:val="0"/>
        <w:autoSpaceDN w:val="0"/>
        <w:adjustRightInd w:val="0"/>
        <w:spacing w:line="240" w:lineRule="auto"/>
      </w:pPr>
      <w:r>
        <w:t>The safety and immunogenicity of a booster dose of N</w:t>
      </w:r>
      <w:r w:rsidR="5D0699DA">
        <w:t>UVAXOVID</w:t>
      </w:r>
      <w:r>
        <w:t xml:space="preserve"> was evaluated in an ongoing Phase 2 randomised, observer-blinded, placebo-controlled clinical study administered as a single booster dose (Study 2019nCoV-101, Part 2) in healthy adult participants aged 18 to 84 years of age who were seronegative to SARS-CoV-2 at baseline. A total of 254 participants (Full Analysis Set) received </w:t>
      </w:r>
      <w:r w:rsidR="5D0699DA">
        <w:t>2</w:t>
      </w:r>
      <w:r>
        <w:t xml:space="preserve"> doses of N</w:t>
      </w:r>
      <w:r w:rsidR="5D0699DA">
        <w:t>UVAXOVID</w:t>
      </w:r>
      <w:r>
        <w:t xml:space="preserve"> (0.5 mL, 5 micrograms 3 weeks apart) as the primary vaccination series. A subset of 104 participants received a booster dose of N</w:t>
      </w:r>
      <w:r w:rsidR="5D0699DA">
        <w:t>UVAXOVID</w:t>
      </w:r>
      <w:r>
        <w:t xml:space="preserve"> approximately 6 months after receiving Dose 2 of the primary series. </w:t>
      </w:r>
    </w:p>
    <w:p w14:paraId="0C26D0B4" w14:textId="53C22AA8" w:rsidR="00E7289D" w:rsidRDefault="00E7289D" w:rsidP="00F97B7C">
      <w:pPr>
        <w:autoSpaceDE w:val="0"/>
        <w:autoSpaceDN w:val="0"/>
        <w:adjustRightInd w:val="0"/>
        <w:spacing w:line="240" w:lineRule="auto"/>
      </w:pPr>
      <w:r w:rsidRPr="00F97B7C">
        <w:t>A single booster dose of N</w:t>
      </w:r>
      <w:r w:rsidR="00D54FBE" w:rsidRPr="00F97B7C">
        <w:t>UVAXOVID</w:t>
      </w:r>
      <w:r w:rsidRPr="00F97B7C">
        <w:t xml:space="preserve"> induced an approximate</w:t>
      </w:r>
      <w:r w:rsidR="00BA1D52">
        <w:t xml:space="preserve"> 34</w:t>
      </w:r>
      <w:r w:rsidRPr="00F97B7C">
        <w:t xml:space="preserve">-fold increase in the immune response against the </w:t>
      </w:r>
      <w:r w:rsidR="00C56686">
        <w:t xml:space="preserve">ancestral </w:t>
      </w:r>
      <w:r w:rsidRPr="00F97B7C">
        <w:t>(</w:t>
      </w:r>
      <w:r w:rsidR="00C56686">
        <w:t>Wuhan</w:t>
      </w:r>
      <w:r w:rsidRPr="00F97B7C">
        <w:t xml:space="preserve">) strain 28 days after receipt of the dose (Day 217) with serum IgG geometric mean </w:t>
      </w:r>
      <w:proofErr w:type="spellStart"/>
      <w:r w:rsidRPr="00F97B7C">
        <w:t>titer</w:t>
      </w:r>
      <w:proofErr w:type="spellEnd"/>
      <w:r w:rsidRPr="00F97B7C">
        <w:t xml:space="preserve"> (GMT) of 204,367 EU compared </w:t>
      </w:r>
      <w:r w:rsidR="00D54FBE" w:rsidRPr="00F97B7C">
        <w:t>with</w:t>
      </w:r>
      <w:r w:rsidRPr="00F97B7C">
        <w:t xml:space="preserve"> a GMT of 6,064 EU pre-booster (Day 189) and an approximate 4.7-fold increase from peak GMT (43,905 EU), 14 days following Dose 2 of the primary series. </w:t>
      </w:r>
      <w:r w:rsidR="1C2E9E85">
        <w:t>An approximate 96-fold increase in neutralizing antibodies was shown from a GMT of 63 pre-booster (Day 189) to a GMT of 6,023 post-booster (Day 217) and an approximate 4.1-fold increase from a peak GMT (14 days post-Dose 2) of 1,470.</w:t>
      </w:r>
    </w:p>
    <w:p w14:paraId="05B5DF77" w14:textId="3F9C7534" w:rsidR="00C56686" w:rsidRDefault="00C56686" w:rsidP="00C56686">
      <w:pPr>
        <w:spacing w:line="240" w:lineRule="auto"/>
      </w:pPr>
      <w:r w:rsidRPr="2711C94B">
        <w:t>For the variants of concern, 2 assays were used to assess immune responses. An assay comparing anti-</w:t>
      </w:r>
      <w:proofErr w:type="spellStart"/>
      <w:r w:rsidRPr="2711C94B">
        <w:t>rS</w:t>
      </w:r>
      <w:proofErr w:type="spellEnd"/>
      <w:r w:rsidRPr="2711C94B">
        <w:t xml:space="preserve"> IgG activity (n = 29) across the same strains demonstrated </w:t>
      </w:r>
      <w:r w:rsidRPr="2711C94B">
        <w:rPr>
          <w:lang w:val="en-GB"/>
        </w:rPr>
        <w:t>a 5.4-fold (</w:t>
      </w:r>
      <w:r>
        <w:rPr>
          <w:lang w:val="en-GB"/>
        </w:rPr>
        <w:t>Ancestral</w:t>
      </w:r>
      <w:r w:rsidRPr="2711C94B">
        <w:rPr>
          <w:lang w:val="en-GB"/>
        </w:rPr>
        <w:t>), 9.7‑fold (Alpha), 6.5‑fold (Beta), 11.1‑fold (Delta), 9·3‑fold (Omicron</w:t>
      </w:r>
      <w:r>
        <w:rPr>
          <w:lang w:val="en-GB"/>
        </w:rPr>
        <w:t xml:space="preserve"> BA.1</w:t>
      </w:r>
      <w:r w:rsidRPr="2711C94B">
        <w:rPr>
          <w:lang w:val="en-GB"/>
        </w:rPr>
        <w:t>)</w:t>
      </w:r>
      <w:r>
        <w:rPr>
          <w:lang w:val="en-GB"/>
        </w:rPr>
        <w:t xml:space="preserve"> and 11.0-fold (Omicron BA.2)</w:t>
      </w:r>
      <w:r w:rsidRPr="2711C94B">
        <w:rPr>
          <w:lang w:val="en-GB"/>
        </w:rPr>
        <w:t xml:space="preserve"> increase </w:t>
      </w:r>
      <w:r w:rsidRPr="2711C94B">
        <w:t xml:space="preserve">from 2 weeks after the primary series (Day 35) to 28 days post-booster (Day 217).  </w:t>
      </w:r>
      <w:r w:rsidR="00661D28">
        <w:t>A</w:t>
      </w:r>
      <w:r w:rsidRPr="2711C94B">
        <w:t xml:space="preserve"> second assay comparing wild-type neutralization </w:t>
      </w:r>
      <w:proofErr w:type="spellStart"/>
      <w:r w:rsidRPr="2711C94B">
        <w:t>titers</w:t>
      </w:r>
      <w:proofErr w:type="spellEnd"/>
      <w:r w:rsidRPr="2711C94B">
        <w:t xml:space="preserve"> (MN</w:t>
      </w:r>
      <w:r w:rsidRPr="00C56686">
        <w:rPr>
          <w:vertAlign w:val="subscript"/>
        </w:rPr>
        <w:t>99</w:t>
      </w:r>
      <w:r w:rsidRPr="2711C94B">
        <w:t xml:space="preserve">) (n = 32) showed a </w:t>
      </w:r>
      <w:r w:rsidRPr="2711C94B">
        <w:rPr>
          <w:lang w:val="en-GB"/>
        </w:rPr>
        <w:t>15.4‑fold (</w:t>
      </w:r>
      <w:r>
        <w:rPr>
          <w:lang w:val="en-GB"/>
        </w:rPr>
        <w:t>Ancestral</w:t>
      </w:r>
      <w:r w:rsidRPr="2711C94B">
        <w:rPr>
          <w:lang w:val="en-GB"/>
        </w:rPr>
        <w:t xml:space="preserve">), 14.0-fold (Delta), and </w:t>
      </w:r>
      <w:r w:rsidRPr="2711C94B">
        <w:t xml:space="preserve">3.5-fold </w:t>
      </w:r>
      <w:r w:rsidRPr="2711C94B">
        <w:rPr>
          <w:lang w:val="en-GB"/>
        </w:rPr>
        <w:t>(Omicron BA.1)</w:t>
      </w:r>
      <w:r w:rsidRPr="2711C94B">
        <w:t xml:space="preserve"> increase from 2 weeks after the primary series (Day 35) to 28 days post-booster (Day 217).</w:t>
      </w:r>
      <w:r w:rsidRPr="2711C94B">
        <w:rPr>
          <w:rFonts w:ascii="Calibri" w:hAnsi="Calibri" w:cs="Calibri"/>
          <w:color w:val="7030A0"/>
        </w:rPr>
        <w:t xml:space="preserve"> </w:t>
      </w:r>
    </w:p>
    <w:p w14:paraId="6207F17A" w14:textId="77777777" w:rsidR="00D54FBE" w:rsidRPr="005A273E" w:rsidRDefault="00D54FBE" w:rsidP="00D54FBE">
      <w:pPr>
        <w:autoSpaceDE w:val="0"/>
        <w:spacing w:before="120" w:after="120"/>
        <w:rPr>
          <w:rFonts w:cstheme="minorHAnsi"/>
        </w:rPr>
      </w:pPr>
      <w:r>
        <w:rPr>
          <w:rFonts w:cstheme="minorHAnsi"/>
        </w:rPr>
        <w:t xml:space="preserve">Study </w:t>
      </w:r>
      <w:r w:rsidRPr="005A273E">
        <w:rPr>
          <w:rFonts w:cstheme="minorHAnsi"/>
        </w:rPr>
        <w:t>2019nCoV-501</w:t>
      </w:r>
    </w:p>
    <w:p w14:paraId="3B354B6F" w14:textId="738CF7F3" w:rsidR="00D54FBE" w:rsidRPr="00F97B7C" w:rsidRDefault="00D54FBE" w:rsidP="00F97B7C">
      <w:pPr>
        <w:autoSpaceDE w:val="0"/>
        <w:autoSpaceDN w:val="0"/>
        <w:adjustRightInd w:val="0"/>
        <w:spacing w:line="240" w:lineRule="auto"/>
      </w:pPr>
      <w:r w:rsidRPr="00F97B7C">
        <w:t xml:space="preserve">In Study 3, an ongoing Phase 2a/b randomised, observer-blinded, placebo-controlled study, the </w:t>
      </w:r>
      <w:proofErr w:type="gramStart"/>
      <w:r w:rsidRPr="00F97B7C">
        <w:t>safety</w:t>
      </w:r>
      <w:proofErr w:type="gramEnd"/>
      <w:r w:rsidRPr="00F97B7C">
        <w:t xml:space="preserve"> and immunogenicity of booster dose was evaluated in healthy HIV-negative adult participants 18 to 84 years of age and medically stable PLWH 18 to 64 years of age who were seronegative to SARS-CoV-2 at baseline. A total of 1,173 participants (PP-IMM Analysis Set) received a booster dose of N</w:t>
      </w:r>
      <w:r w:rsidR="00BA651F">
        <w:t>UVAXOVID</w:t>
      </w:r>
      <w:r w:rsidRPr="00F97B7C">
        <w:t xml:space="preserve"> approximately 6 months after completion of the primary series of N</w:t>
      </w:r>
      <w:r w:rsidR="00604F93">
        <w:t>UVAXOVID</w:t>
      </w:r>
      <w:r w:rsidRPr="00F97B7C">
        <w:t xml:space="preserve"> (Day 201).</w:t>
      </w:r>
    </w:p>
    <w:p w14:paraId="069BB998" w14:textId="77777777" w:rsidR="00D54FBE" w:rsidRPr="00F97B7C" w:rsidRDefault="00D54FBE" w:rsidP="00F97B7C">
      <w:pPr>
        <w:autoSpaceDE w:val="0"/>
        <w:autoSpaceDN w:val="0"/>
        <w:adjustRightInd w:val="0"/>
        <w:spacing w:line="240" w:lineRule="auto"/>
      </w:pPr>
      <w:r w:rsidRPr="00F97B7C">
        <w:t>An approximate 31-fold increase was shown in serum IgG GMT assessed at Day 236 (111,066 EU) from the pre-boost GMT at Day 201 (3,632 EU). An approximate 3.6-fold increase was demonstrated from peak GMT (30,756 EU) at Day 35 following completion of the primary series</w:t>
      </w:r>
      <w:bookmarkStart w:id="32" w:name="_Hlk101426891"/>
      <w:r w:rsidRPr="00F97B7C">
        <w:t>.</w:t>
      </w:r>
      <w:bookmarkEnd w:id="32"/>
    </w:p>
    <w:p w14:paraId="1F2BAEA6" w14:textId="487574BC" w:rsidR="00D54FBE" w:rsidRPr="00F97B7C" w:rsidRDefault="00D54FBE" w:rsidP="00F97B7C">
      <w:pPr>
        <w:autoSpaceDE w:val="0"/>
        <w:autoSpaceDN w:val="0"/>
        <w:adjustRightInd w:val="0"/>
        <w:spacing w:line="240" w:lineRule="auto"/>
      </w:pPr>
      <w:r w:rsidRPr="00F97B7C">
        <w:t>An approximate 52-fold increase in neutralizing antibodies was shown from a GMT of 69 pre-booster (Day</w:t>
      </w:r>
      <w:r w:rsidR="00BA1D52">
        <w:t xml:space="preserve"> 201</w:t>
      </w:r>
      <w:r w:rsidRPr="00F97B7C">
        <w:t>) to a GMT of 3,600 post-booster (Day</w:t>
      </w:r>
      <w:r w:rsidR="00BA1D52">
        <w:t xml:space="preserve"> 236</w:t>
      </w:r>
      <w:r w:rsidRPr="00F97B7C">
        <w:t>) and an approximate 5.2-fold increase from a peak GMT (14 days post-Dose 2) of 694.</w:t>
      </w:r>
    </w:p>
    <w:bookmarkEnd w:id="31"/>
    <w:p w14:paraId="3C1A48C1" w14:textId="16611435" w:rsidR="000645F1" w:rsidRDefault="000645F1" w:rsidP="000645F1">
      <w:pPr>
        <w:pStyle w:val="Heading4"/>
        <w:numPr>
          <w:ilvl w:val="0"/>
          <w:numId w:val="0"/>
        </w:numPr>
        <w:ind w:left="864"/>
        <w:rPr>
          <w:color w:val="auto"/>
        </w:rPr>
      </w:pPr>
      <w:r w:rsidRPr="000645F1">
        <w:rPr>
          <w:color w:val="auto"/>
        </w:rPr>
        <w:t xml:space="preserve">Immunogenicity </w:t>
      </w:r>
      <w:r>
        <w:rPr>
          <w:color w:val="auto"/>
        </w:rPr>
        <w:t>of</w:t>
      </w:r>
      <w:r w:rsidRPr="000645F1">
        <w:rPr>
          <w:color w:val="auto"/>
        </w:rPr>
        <w:t xml:space="preserve"> </w:t>
      </w:r>
      <w:r>
        <w:rPr>
          <w:color w:val="auto"/>
        </w:rPr>
        <w:t xml:space="preserve">a </w:t>
      </w:r>
      <w:r w:rsidRPr="000645F1">
        <w:rPr>
          <w:color w:val="auto"/>
        </w:rPr>
        <w:t xml:space="preserve">booster dose </w:t>
      </w:r>
      <w:r>
        <w:rPr>
          <w:color w:val="auto"/>
        </w:rPr>
        <w:t>following primary vaccination with other COVID-19 vaccine</w:t>
      </w:r>
      <w:r w:rsidR="00356FBF">
        <w:rPr>
          <w:color w:val="auto"/>
        </w:rPr>
        <w:t>s</w:t>
      </w:r>
      <w:r>
        <w:rPr>
          <w:color w:val="auto"/>
        </w:rPr>
        <w:t xml:space="preserve"> </w:t>
      </w:r>
    </w:p>
    <w:p w14:paraId="2C36470E" w14:textId="4251D864" w:rsidR="000645F1" w:rsidRPr="000645F1" w:rsidRDefault="00213DB7" w:rsidP="00F97B7C">
      <w:pPr>
        <w:autoSpaceDE w:val="0"/>
        <w:autoSpaceDN w:val="0"/>
        <w:adjustRightInd w:val="0"/>
        <w:spacing w:line="240" w:lineRule="auto"/>
      </w:pPr>
      <w:r w:rsidRPr="00F97B7C">
        <w:t xml:space="preserve">The effectiveness of NUVAXOVID as a heterologous booster in individuals whose primary vaccination series </w:t>
      </w:r>
      <w:r w:rsidR="00356FBF" w:rsidRPr="00F97B7C">
        <w:t>was with other COVID-19 vaccines</w:t>
      </w:r>
      <w:r w:rsidRPr="00F97B7C">
        <w:t xml:space="preserve">, has been reported in the COV-BOOST study conducted in </w:t>
      </w:r>
      <w:r w:rsidRPr="00F97B7C">
        <w:lastRenderedPageBreak/>
        <w:t xml:space="preserve">the UK (ISRCTN 73765130). This was an independent </w:t>
      </w:r>
      <w:r w:rsidR="006900F2" w:rsidRPr="00F97B7C">
        <w:t xml:space="preserve">randomised, controlled, </w:t>
      </w:r>
      <w:r w:rsidRPr="00F97B7C">
        <w:t xml:space="preserve">phase 2 trial that evaluated a heterologous booster vaccination against COVID-19 in adults </w:t>
      </w:r>
      <w:r w:rsidR="00417B14" w:rsidRPr="00F97B7C">
        <w:t>aged 30 years and older,</w:t>
      </w:r>
      <w:r w:rsidR="00E7289D" w:rsidRPr="00F97B7C">
        <w:t xml:space="preserve"> </w:t>
      </w:r>
      <w:r w:rsidRPr="00F97B7C">
        <w:t xml:space="preserve">at least 10 weeks after a primary vaccination series, with no history of </w:t>
      </w:r>
      <w:r w:rsidR="00356FBF" w:rsidRPr="00F97B7C">
        <w:t>laboratory confirmed</w:t>
      </w:r>
      <w:r w:rsidRPr="00F97B7C">
        <w:t xml:space="preserve"> SARS-CoV-2 infection. Within the group assigned to receive NUVAXOVID were </w:t>
      </w:r>
      <w:r w:rsidR="006900F2" w:rsidRPr="00F97B7C">
        <w:t>115</w:t>
      </w:r>
      <w:r w:rsidRPr="00F97B7C">
        <w:t xml:space="preserve"> individuals who previously received VAXZEVRIA and 1</w:t>
      </w:r>
      <w:r w:rsidR="006900F2" w:rsidRPr="00F97B7C">
        <w:t>14</w:t>
      </w:r>
      <w:r w:rsidRPr="00F97B7C">
        <w:t xml:space="preserve"> who had received COMIRNATY.</w:t>
      </w:r>
      <w:r w:rsidR="00220DE8" w:rsidRPr="00F97B7C">
        <w:t xml:space="preserve">  </w:t>
      </w:r>
      <w:r w:rsidR="6FF38DA0">
        <w:t xml:space="preserve">NUVAXOVID induced significantly higher anti-spike IgG at 28 days post </w:t>
      </w:r>
      <w:r w:rsidR="006900F2">
        <w:t>booster</w:t>
      </w:r>
      <w:r w:rsidR="6FF38DA0">
        <w:t xml:space="preserve"> compared with the control</w:t>
      </w:r>
      <w:r w:rsidR="00817B3D">
        <w:t xml:space="preserve"> (a quadrivalent meningococcal vaccine)</w:t>
      </w:r>
      <w:r w:rsidR="6FF38DA0">
        <w:t xml:space="preserve">. </w:t>
      </w:r>
      <w:r w:rsidR="00E76C64" w:rsidRPr="00E76C64">
        <w:t>It is noted that the incremental increase in antibody concentrations was lower following a third (booster) dose with NUVAXOVID than following mRNA vaccines</w:t>
      </w:r>
      <w:r w:rsidR="00E76C64">
        <w:t xml:space="preserve">.  </w:t>
      </w:r>
      <w:r w:rsidR="00220DE8">
        <w:t>The geometric mean (GM) fold rise after a single booster dose of NUVAXOVID e</w:t>
      </w:r>
      <w:r w:rsidR="00356FBF">
        <w:t xml:space="preserve">xceeded the pre-specified GM-fold rise of 1.75 (compared with control) that </w:t>
      </w:r>
      <w:proofErr w:type="gramStart"/>
      <w:r w:rsidR="00356FBF">
        <w:t>was considered to be</w:t>
      </w:r>
      <w:proofErr w:type="gramEnd"/>
      <w:r w:rsidR="00356FBF">
        <w:t xml:space="preserve"> a</w:t>
      </w:r>
      <w:r w:rsidR="00D058E0">
        <w:t>n</w:t>
      </w:r>
      <w:r w:rsidR="00356FBF">
        <w:t xml:space="preserve"> </w:t>
      </w:r>
      <w:r w:rsidR="00417B14">
        <w:t xml:space="preserve">immunologically </w:t>
      </w:r>
      <w:r w:rsidR="00356FBF">
        <w:t>important difference.</w:t>
      </w:r>
    </w:p>
    <w:p w14:paraId="0EDD4783" w14:textId="05ED5DF3" w:rsidR="004C2A15" w:rsidRDefault="004C2A15" w:rsidP="003E3651">
      <w:pPr>
        <w:pStyle w:val="Heading3"/>
        <w:jc w:val="both"/>
      </w:pPr>
      <w:r w:rsidRPr="77FB9B6A">
        <w:t>Elderly population</w:t>
      </w:r>
    </w:p>
    <w:p w14:paraId="7B7154B0" w14:textId="132B0B04" w:rsidR="000755AE" w:rsidRDefault="005F3D84" w:rsidP="00993F53">
      <w:pPr>
        <w:autoSpaceDE w:val="0"/>
        <w:autoSpaceDN w:val="0"/>
        <w:adjustRightInd w:val="0"/>
        <w:spacing w:line="240" w:lineRule="auto"/>
        <w:jc w:val="both"/>
      </w:pPr>
      <w:r>
        <w:t xml:space="preserve">NUVAXOVID </w:t>
      </w:r>
      <w:r w:rsidR="004C2A15">
        <w:t xml:space="preserve">was </w:t>
      </w:r>
      <w:r w:rsidR="00E50B49">
        <w:t>assessed</w:t>
      </w:r>
      <w:r w:rsidR="004C2A15">
        <w:t xml:space="preserve"> in participants 18 years of age and older.  The efficacy of </w:t>
      </w:r>
      <w:r>
        <w:t xml:space="preserve">NUVAXOVID </w:t>
      </w:r>
      <w:r w:rsidR="004C2A15">
        <w:t xml:space="preserve">was consistent between elderly (≥ 65 years) and younger individuals (18 to 64 years). </w:t>
      </w:r>
    </w:p>
    <w:p w14:paraId="747794B8" w14:textId="36D09859" w:rsidR="001A3992" w:rsidRDefault="001A3992" w:rsidP="000755AE">
      <w:pPr>
        <w:pStyle w:val="Heading2"/>
        <w:spacing w:before="0" w:after="120"/>
        <w:ind w:left="578" w:hanging="578"/>
        <w:rPr>
          <w:lang w:val="en-US"/>
        </w:rPr>
      </w:pPr>
      <w:r w:rsidRPr="00EC3C40">
        <w:rPr>
          <w:lang w:val="en-US"/>
        </w:rPr>
        <w:t xml:space="preserve">Pharmacokinetic properties </w:t>
      </w:r>
    </w:p>
    <w:p w14:paraId="0905C6F6" w14:textId="77777777" w:rsidR="004C2A15" w:rsidRPr="00157895" w:rsidRDefault="004C2A15" w:rsidP="004C2A15">
      <w:pPr>
        <w:spacing w:line="240" w:lineRule="auto"/>
        <w:rPr>
          <w:iCs/>
          <w:noProof/>
          <w:u w:val="single"/>
        </w:rPr>
      </w:pPr>
      <w:r>
        <w:t>Not applicable.</w:t>
      </w:r>
    </w:p>
    <w:p w14:paraId="2800D766" w14:textId="030F9A2C" w:rsidR="001A3992" w:rsidRDefault="001A3992" w:rsidP="001A3992">
      <w:pPr>
        <w:pStyle w:val="Heading2"/>
        <w:spacing w:before="0" w:after="120"/>
        <w:rPr>
          <w:lang w:val="en-US"/>
        </w:rPr>
      </w:pPr>
      <w:r w:rsidRPr="00EC3C40">
        <w:rPr>
          <w:lang w:val="en-US"/>
        </w:rPr>
        <w:t>Preclinical safety data</w:t>
      </w:r>
    </w:p>
    <w:p w14:paraId="4354246B" w14:textId="71D8B3E3" w:rsidR="001A3992" w:rsidRDefault="001A3992" w:rsidP="001A3992">
      <w:pPr>
        <w:pStyle w:val="Heading3"/>
        <w:spacing w:before="0" w:after="120"/>
      </w:pPr>
      <w:r w:rsidRPr="00B878CC">
        <w:t>Genotoxicity</w:t>
      </w:r>
    </w:p>
    <w:p w14:paraId="1AF1D570" w14:textId="61FBF26B" w:rsidR="004C2A15" w:rsidRPr="004C2A15" w:rsidRDefault="0055230C" w:rsidP="063E8557">
      <w:pPr>
        <w:spacing w:line="240" w:lineRule="auto"/>
        <w:rPr>
          <w:i/>
          <w:iCs/>
          <w:noProof/>
          <w:color w:val="BFBFBF" w:themeColor="background1" w:themeShade="BF"/>
        </w:rPr>
      </w:pPr>
      <w:r w:rsidRPr="063E8557">
        <w:rPr>
          <w:i/>
          <w:iCs/>
        </w:rPr>
        <w:t>In vitro</w:t>
      </w:r>
      <w:r>
        <w:t xml:space="preserve"> </w:t>
      </w:r>
      <w:r w:rsidR="004C2A15">
        <w:t xml:space="preserve">genotoxicity studies </w:t>
      </w:r>
      <w:r>
        <w:t>including bacterial reverse mutation, chromosomal aberrations in Chinese Hamster Ovary (CHO) cells and mammalian micronuclei in CHO cells</w:t>
      </w:r>
      <w:r w:rsidRPr="063E8557">
        <w:rPr>
          <w:rFonts w:ascii="Times New Roman" w:eastAsia="MS Mincho" w:hAnsi="Times New Roman" w:cs="Times New Roman"/>
          <w:b/>
          <w:bCs/>
          <w:color w:val="000000" w:themeColor="text1"/>
          <w:sz w:val="24"/>
          <w:szCs w:val="24"/>
          <w:lang w:eastAsia="en-GB"/>
        </w:rPr>
        <w:t xml:space="preserve"> </w:t>
      </w:r>
      <w:r w:rsidR="004C2A15">
        <w:t>were conducted with the Matrix-M adjuvant. The adjuvant was shown to be non-</w:t>
      </w:r>
      <w:r w:rsidR="00A0611A">
        <w:t>genotoxic</w:t>
      </w:r>
      <w:r w:rsidR="004C2A15">
        <w:t xml:space="preserve">. </w:t>
      </w:r>
    </w:p>
    <w:p w14:paraId="0E05F7D6" w14:textId="6645F87B" w:rsidR="001A3992" w:rsidRDefault="001A3992" w:rsidP="001A3992">
      <w:pPr>
        <w:pStyle w:val="Heading3"/>
        <w:spacing w:before="0" w:after="120"/>
        <w:rPr>
          <w:lang w:val="en-US"/>
        </w:rPr>
      </w:pPr>
      <w:r w:rsidRPr="00B878CC">
        <w:t>C</w:t>
      </w:r>
      <w:r w:rsidR="00BC0EE4">
        <w:t xml:space="preserve">arcinogenicity </w:t>
      </w:r>
    </w:p>
    <w:p w14:paraId="6F85ED5D" w14:textId="0F301C61" w:rsidR="004C2A15" w:rsidRDefault="004C2A15" w:rsidP="004C2A15">
      <w:pPr>
        <w:spacing w:line="240" w:lineRule="auto"/>
      </w:pPr>
      <w:r>
        <w:t>Carcinogenicity studies were not performed.</w:t>
      </w:r>
      <w:r w:rsidR="008004F1">
        <w:t xml:space="preserve"> The components of the vaccine are not expected to have carcinogenic potential.</w:t>
      </w:r>
    </w:p>
    <w:p w14:paraId="160193DA" w14:textId="77777777" w:rsidR="001A3992" w:rsidRDefault="001A3992" w:rsidP="006B76A7">
      <w:pPr>
        <w:pStyle w:val="Heading1"/>
        <w:spacing w:before="0" w:after="120"/>
        <w:rPr>
          <w:lang w:val="en-US"/>
        </w:rPr>
      </w:pPr>
      <w:r>
        <w:rPr>
          <w:lang w:val="en-US"/>
        </w:rPr>
        <w:t>Pharmaceutical particulars</w:t>
      </w:r>
    </w:p>
    <w:p w14:paraId="5591D422"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List of excipients </w:t>
      </w:r>
    </w:p>
    <w:p w14:paraId="18152C55" w14:textId="65F34189"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Di</w:t>
      </w:r>
      <w:r w:rsidR="00F500A4">
        <w:rPr>
          <w:rFonts w:ascii="Calibri" w:hAnsi="Calibri" w:cs="Calibri"/>
          <w:noProof/>
        </w:rPr>
        <w:t xml:space="preserve">basic </w:t>
      </w:r>
      <w:r w:rsidRPr="005F3D84">
        <w:rPr>
          <w:rFonts w:ascii="Calibri" w:hAnsi="Calibri" w:cs="Calibri"/>
          <w:noProof/>
        </w:rPr>
        <w:t>sodium phosphate heptahydrate</w:t>
      </w:r>
    </w:p>
    <w:p w14:paraId="7F527C8A" w14:textId="14AD7457" w:rsidR="004C2A15" w:rsidRPr="005F3D84" w:rsidRDefault="00F500A4" w:rsidP="005F3D84">
      <w:pPr>
        <w:pStyle w:val="ListParagraph"/>
        <w:numPr>
          <w:ilvl w:val="0"/>
          <w:numId w:val="15"/>
        </w:numPr>
        <w:spacing w:line="240" w:lineRule="auto"/>
        <w:rPr>
          <w:rFonts w:ascii="Calibri" w:hAnsi="Calibri" w:cs="Calibri"/>
          <w:noProof/>
        </w:rPr>
      </w:pPr>
      <w:r>
        <w:rPr>
          <w:rFonts w:ascii="Calibri" w:hAnsi="Calibri" w:cs="Calibri"/>
          <w:noProof/>
        </w:rPr>
        <w:t>Monobasic s</w:t>
      </w:r>
      <w:r w:rsidR="004C2A15" w:rsidRPr="005F3D84">
        <w:rPr>
          <w:rFonts w:ascii="Calibri" w:hAnsi="Calibri" w:cs="Calibri"/>
          <w:noProof/>
        </w:rPr>
        <w:t>odium phosphate monohydrate</w:t>
      </w:r>
    </w:p>
    <w:p w14:paraId="1A80ABCD"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Sodium chloride</w:t>
      </w:r>
    </w:p>
    <w:p w14:paraId="554BA014"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Polysorbate 80</w:t>
      </w:r>
    </w:p>
    <w:p w14:paraId="5148F97B"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Sodium hydroxide (for adjustment of pH)</w:t>
      </w:r>
    </w:p>
    <w:p w14:paraId="7797B1D5"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Hydrochloric acid  (for adjustment of pH)</w:t>
      </w:r>
    </w:p>
    <w:p w14:paraId="118E2388" w14:textId="0E35AD41" w:rsidR="004C2A15"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 xml:space="preserve">Water for Injections </w:t>
      </w:r>
    </w:p>
    <w:p w14:paraId="3C444CB6" w14:textId="198FDE52" w:rsidR="00536C4B" w:rsidRDefault="00A0611A" w:rsidP="005F3D84">
      <w:pPr>
        <w:pStyle w:val="ListParagraph"/>
        <w:numPr>
          <w:ilvl w:val="0"/>
          <w:numId w:val="15"/>
        </w:numPr>
        <w:spacing w:line="240" w:lineRule="auto"/>
        <w:rPr>
          <w:rFonts w:ascii="Calibri" w:hAnsi="Calibri" w:cs="Calibri"/>
          <w:noProof/>
        </w:rPr>
      </w:pPr>
      <w:r>
        <w:rPr>
          <w:rFonts w:ascii="Calibri" w:hAnsi="Calibri" w:cs="Calibri"/>
          <w:noProof/>
        </w:rPr>
        <w:t>Adjuvant (</w:t>
      </w:r>
      <w:r w:rsidR="00536C4B">
        <w:rPr>
          <w:rFonts w:ascii="Calibri" w:hAnsi="Calibri" w:cs="Calibri"/>
          <w:noProof/>
        </w:rPr>
        <w:t>Matrix M</w:t>
      </w:r>
      <w:r>
        <w:rPr>
          <w:rFonts w:ascii="Calibri" w:hAnsi="Calibri" w:cs="Calibri"/>
          <w:noProof/>
        </w:rPr>
        <w:t>)</w:t>
      </w:r>
      <w:r w:rsidR="00536C4B">
        <w:rPr>
          <w:rFonts w:ascii="Calibri" w:hAnsi="Calibri" w:cs="Calibri"/>
          <w:noProof/>
        </w:rPr>
        <w:t xml:space="preserve"> </w:t>
      </w:r>
    </w:p>
    <w:p w14:paraId="7E66E910" w14:textId="568D4F98" w:rsidR="00536C4B" w:rsidRPr="00C05E64" w:rsidRDefault="00C05E64" w:rsidP="00C05E64">
      <w:pPr>
        <w:pStyle w:val="ListParagraph"/>
        <w:numPr>
          <w:ilvl w:val="1"/>
          <w:numId w:val="17"/>
        </w:numPr>
        <w:spacing w:line="240" w:lineRule="auto"/>
        <w:rPr>
          <w:rFonts w:ascii="Calibri" w:hAnsi="Calibri" w:cs="Calibri"/>
          <w:noProof/>
        </w:rPr>
      </w:pPr>
      <w:proofErr w:type="spellStart"/>
      <w:r w:rsidRPr="00356FBF">
        <w:rPr>
          <w:rFonts w:ascii="Calibri" w:hAnsi="Calibri" w:cs="Calibri"/>
          <w:i/>
          <w:iCs/>
          <w:color w:val="000000" w:themeColor="text1"/>
        </w:rPr>
        <w:t>Quillaja</w:t>
      </w:r>
      <w:proofErr w:type="spellEnd"/>
      <w:r w:rsidRPr="00356FBF">
        <w:rPr>
          <w:rFonts w:ascii="Calibri" w:hAnsi="Calibri" w:cs="Calibri"/>
          <w:i/>
          <w:iCs/>
          <w:color w:val="000000" w:themeColor="text1"/>
        </w:rPr>
        <w:t xml:space="preserve"> </w:t>
      </w:r>
      <w:proofErr w:type="spellStart"/>
      <w:r w:rsidRPr="00356FBF">
        <w:rPr>
          <w:rFonts w:ascii="Calibri" w:hAnsi="Calibri" w:cs="Calibri"/>
          <w:i/>
          <w:iCs/>
          <w:color w:val="000000" w:themeColor="text1"/>
        </w:rPr>
        <w:t>saponaria</w:t>
      </w:r>
      <w:proofErr w:type="spellEnd"/>
      <w:r w:rsidRPr="00C05E64">
        <w:rPr>
          <w:rFonts w:ascii="Calibri" w:hAnsi="Calibri" w:cs="Calibri"/>
          <w:color w:val="000000" w:themeColor="text1"/>
        </w:rPr>
        <w:t xml:space="preserve"> saponins fraction A</w:t>
      </w:r>
    </w:p>
    <w:p w14:paraId="35B48E0B" w14:textId="2D462772" w:rsidR="00536C4B" w:rsidRPr="00C05E64" w:rsidRDefault="00C05E64" w:rsidP="00C05E64">
      <w:pPr>
        <w:pStyle w:val="ListParagraph"/>
        <w:numPr>
          <w:ilvl w:val="1"/>
          <w:numId w:val="17"/>
        </w:numPr>
        <w:spacing w:line="240" w:lineRule="auto"/>
        <w:rPr>
          <w:rFonts w:ascii="Calibri" w:hAnsi="Calibri" w:cs="Calibri"/>
          <w:noProof/>
        </w:rPr>
      </w:pPr>
      <w:proofErr w:type="spellStart"/>
      <w:r w:rsidRPr="00356FBF">
        <w:rPr>
          <w:rFonts w:ascii="Calibri" w:hAnsi="Calibri" w:cs="Calibri"/>
          <w:i/>
          <w:iCs/>
          <w:color w:val="000000" w:themeColor="text1"/>
        </w:rPr>
        <w:t>Quillaja</w:t>
      </w:r>
      <w:proofErr w:type="spellEnd"/>
      <w:r w:rsidRPr="00356FBF">
        <w:rPr>
          <w:rFonts w:ascii="Calibri" w:hAnsi="Calibri" w:cs="Calibri"/>
          <w:i/>
          <w:iCs/>
          <w:color w:val="000000" w:themeColor="text1"/>
        </w:rPr>
        <w:t xml:space="preserve"> </w:t>
      </w:r>
      <w:proofErr w:type="spellStart"/>
      <w:r w:rsidRPr="00356FBF">
        <w:rPr>
          <w:rFonts w:ascii="Calibri" w:hAnsi="Calibri" w:cs="Calibri"/>
          <w:i/>
          <w:iCs/>
          <w:color w:val="000000" w:themeColor="text1"/>
        </w:rPr>
        <w:t>saponaria</w:t>
      </w:r>
      <w:proofErr w:type="spellEnd"/>
      <w:r w:rsidRPr="00C05E64">
        <w:rPr>
          <w:rFonts w:ascii="Calibri" w:hAnsi="Calibri" w:cs="Calibri"/>
          <w:color w:val="000000" w:themeColor="text1"/>
        </w:rPr>
        <w:t xml:space="preserve"> saponins fraction C</w:t>
      </w:r>
    </w:p>
    <w:p w14:paraId="129F4471" w14:textId="4A0C17E8" w:rsidR="00536C4B" w:rsidRDefault="00536C4B" w:rsidP="00C05E64">
      <w:pPr>
        <w:pStyle w:val="ListParagraph"/>
        <w:numPr>
          <w:ilvl w:val="1"/>
          <w:numId w:val="17"/>
        </w:numPr>
        <w:spacing w:line="240" w:lineRule="auto"/>
        <w:rPr>
          <w:rFonts w:ascii="Calibri" w:hAnsi="Calibri" w:cs="Calibri"/>
          <w:noProof/>
        </w:rPr>
      </w:pPr>
      <w:r>
        <w:rPr>
          <w:rFonts w:ascii="Calibri" w:hAnsi="Calibri" w:cs="Calibri"/>
          <w:noProof/>
        </w:rPr>
        <w:t>Cholesterol</w:t>
      </w:r>
    </w:p>
    <w:p w14:paraId="4983476C" w14:textId="18CB8727" w:rsidR="00536C4B" w:rsidRDefault="00536C4B" w:rsidP="00C05E64">
      <w:pPr>
        <w:pStyle w:val="ListParagraph"/>
        <w:numPr>
          <w:ilvl w:val="1"/>
          <w:numId w:val="17"/>
        </w:numPr>
        <w:spacing w:line="240" w:lineRule="auto"/>
        <w:rPr>
          <w:rFonts w:ascii="Calibri" w:hAnsi="Calibri" w:cs="Calibri"/>
          <w:noProof/>
        </w:rPr>
      </w:pPr>
      <w:r>
        <w:rPr>
          <w:rFonts w:ascii="Calibri" w:hAnsi="Calibri" w:cs="Calibri"/>
          <w:noProof/>
        </w:rPr>
        <w:t xml:space="preserve">Phosphatidyl choline </w:t>
      </w:r>
    </w:p>
    <w:p w14:paraId="2E54CFF3" w14:textId="261567B4" w:rsidR="00536C4B" w:rsidRDefault="00993F53" w:rsidP="00C05E64">
      <w:pPr>
        <w:pStyle w:val="ListParagraph"/>
        <w:numPr>
          <w:ilvl w:val="1"/>
          <w:numId w:val="17"/>
        </w:numPr>
        <w:spacing w:line="240" w:lineRule="auto"/>
        <w:rPr>
          <w:rFonts w:ascii="Calibri" w:hAnsi="Calibri" w:cs="Calibri"/>
          <w:noProof/>
        </w:rPr>
      </w:pPr>
      <w:r>
        <w:rPr>
          <w:rFonts w:ascii="Calibri" w:hAnsi="Calibri" w:cs="Calibri"/>
          <w:noProof/>
        </w:rPr>
        <w:t>Monobasic p</w:t>
      </w:r>
      <w:r w:rsidR="00536C4B">
        <w:rPr>
          <w:rFonts w:ascii="Calibri" w:hAnsi="Calibri" w:cs="Calibri"/>
          <w:noProof/>
        </w:rPr>
        <w:t>otassium phosphate</w:t>
      </w:r>
    </w:p>
    <w:p w14:paraId="226B789D" w14:textId="711EAF0E" w:rsidR="00C05E64" w:rsidRPr="00C05E64" w:rsidRDefault="00C05E64" w:rsidP="00C05E64">
      <w:pPr>
        <w:pStyle w:val="ListParagraph"/>
        <w:numPr>
          <w:ilvl w:val="1"/>
          <w:numId w:val="17"/>
        </w:numPr>
        <w:spacing w:line="240" w:lineRule="auto"/>
        <w:rPr>
          <w:rFonts w:ascii="Calibri" w:hAnsi="Calibri" w:cs="Calibri"/>
          <w:noProof/>
        </w:rPr>
      </w:pPr>
      <w:r>
        <w:rPr>
          <w:rFonts w:ascii="Calibri" w:hAnsi="Calibri" w:cs="Calibri"/>
          <w:noProof/>
        </w:rPr>
        <w:t>Potassium chloride</w:t>
      </w:r>
    </w:p>
    <w:p w14:paraId="1EA291D2" w14:textId="77777777" w:rsidR="005B2812" w:rsidRPr="00497C85" w:rsidRDefault="005B2812" w:rsidP="005B2812">
      <w:pPr>
        <w:pStyle w:val="Heading2"/>
        <w:keepNext/>
        <w:keepLines/>
        <w:spacing w:before="0" w:after="120"/>
        <w:rPr>
          <w:rFonts w:cstheme="minorHAnsi"/>
          <w:lang w:val="en-US"/>
        </w:rPr>
      </w:pPr>
      <w:r w:rsidRPr="00497C85">
        <w:rPr>
          <w:rFonts w:cstheme="minorHAnsi"/>
          <w:lang w:val="en-US"/>
        </w:rPr>
        <w:lastRenderedPageBreak/>
        <w:t xml:space="preserve">Incompatibilities </w:t>
      </w:r>
    </w:p>
    <w:p w14:paraId="72197594" w14:textId="09D2E585" w:rsidR="004C2A15" w:rsidRPr="005F3D84" w:rsidRDefault="004C2A15" w:rsidP="004C2A15">
      <w:pPr>
        <w:spacing w:line="240" w:lineRule="auto"/>
      </w:pPr>
      <w:r w:rsidRPr="005F3D84">
        <w:t>This medicinal product must not be mixed with other medicinal products or be diluted.</w:t>
      </w:r>
    </w:p>
    <w:p w14:paraId="4DA14256"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Shelf life </w:t>
      </w:r>
    </w:p>
    <w:p w14:paraId="3E7AB62F" w14:textId="74C5CE35" w:rsidR="005B2812" w:rsidRPr="004C2A15" w:rsidRDefault="005B2812" w:rsidP="004C2A15">
      <w:pPr>
        <w:spacing w:line="240" w:lineRule="auto"/>
        <w:rPr>
          <w:color w:val="000000" w:themeColor="text1"/>
        </w:rPr>
      </w:pPr>
      <w:r w:rsidRPr="004C2A15">
        <w:rPr>
          <w:color w:val="000000" w:themeColor="text1"/>
        </w:rPr>
        <w:t>I</w:t>
      </w:r>
      <w:r w:rsidR="00446B91">
        <w:rPr>
          <w:color w:val="000000" w:themeColor="text1"/>
        </w:rPr>
        <w:t>n Australia, i</w:t>
      </w:r>
      <w:r w:rsidRPr="004C2A15">
        <w:rPr>
          <w:color w:val="000000" w:themeColor="text1"/>
        </w:rPr>
        <w:t xml:space="preserve">nformation on the shelf life can be found on the public summary of the Australian Register of Therapeutic Goods (ARTG). The expiry date can be found on the packaging. </w:t>
      </w:r>
    </w:p>
    <w:p w14:paraId="2153777B" w14:textId="2BDAB9F0" w:rsidR="00446B91" w:rsidRDefault="00446B91" w:rsidP="00446B91">
      <w:pPr>
        <w:pStyle w:val="Heading3"/>
      </w:pPr>
      <w:bookmarkStart w:id="33" w:name="_Hlk78800749"/>
      <w:r>
        <w:t>Unopened vial</w:t>
      </w:r>
    </w:p>
    <w:p w14:paraId="09B2FD9C" w14:textId="7331E428" w:rsidR="00446B91" w:rsidRDefault="00446B91" w:rsidP="002F489D">
      <w:pPr>
        <w:spacing w:line="240" w:lineRule="auto"/>
        <w:jc w:val="both"/>
        <w:rPr>
          <w:color w:val="000000" w:themeColor="text1"/>
        </w:rPr>
      </w:pPr>
      <w:bookmarkStart w:id="34" w:name="_Hlk78800740"/>
      <w:r w:rsidRPr="6EE6DBE9">
        <w:rPr>
          <w:color w:val="000000" w:themeColor="text1"/>
        </w:rPr>
        <w:t>The unopened vaccine is stored refrigerated at 2°C to 8°C, protected from light</w:t>
      </w:r>
      <w:r w:rsidR="00993F53">
        <w:rPr>
          <w:color w:val="000000" w:themeColor="text1"/>
        </w:rPr>
        <w:t>.</w:t>
      </w:r>
      <w:r w:rsidRPr="6EE6DBE9">
        <w:rPr>
          <w:color w:val="000000" w:themeColor="text1"/>
        </w:rPr>
        <w:t xml:space="preserve"> </w:t>
      </w:r>
    </w:p>
    <w:p w14:paraId="5C0ACEC3" w14:textId="4C42557B" w:rsidR="00A0611A" w:rsidRPr="00D624C2" w:rsidRDefault="00A0611A" w:rsidP="002F489D">
      <w:pPr>
        <w:spacing w:line="240" w:lineRule="auto"/>
        <w:jc w:val="both"/>
        <w:rPr>
          <w:noProof/>
        </w:rPr>
      </w:pPr>
      <w:r>
        <w:rPr>
          <w:color w:val="000000" w:themeColor="text1"/>
        </w:rPr>
        <w:t>Unopened NUVAXOVID vaccine has been shown to be stable up to 12 hours at 25</w:t>
      </w:r>
      <w:r w:rsidRPr="6EE6DBE9">
        <w:rPr>
          <w:color w:val="000000" w:themeColor="text1"/>
        </w:rPr>
        <w:t>°C</w:t>
      </w:r>
      <w:r>
        <w:rPr>
          <w:color w:val="000000" w:themeColor="text1"/>
        </w:rPr>
        <w:t xml:space="preserve">.  </w:t>
      </w:r>
      <w:r w:rsidR="00663880">
        <w:rPr>
          <w:color w:val="000000" w:themeColor="text1"/>
        </w:rPr>
        <w:t>S</w:t>
      </w:r>
      <w:r>
        <w:rPr>
          <w:color w:val="000000" w:themeColor="text1"/>
        </w:rPr>
        <w:t>torage at 25</w:t>
      </w:r>
      <w:r w:rsidRPr="6EE6DBE9">
        <w:rPr>
          <w:color w:val="000000" w:themeColor="text1"/>
        </w:rPr>
        <w:t>°C</w:t>
      </w:r>
      <w:r>
        <w:rPr>
          <w:color w:val="000000" w:themeColor="text1"/>
        </w:rPr>
        <w:t xml:space="preserve"> is not the recommended storage or shipping condition</w:t>
      </w:r>
      <w:r w:rsidR="00B7267E">
        <w:rPr>
          <w:color w:val="000000" w:themeColor="text1"/>
        </w:rPr>
        <w:t>.</w:t>
      </w:r>
    </w:p>
    <w:bookmarkEnd w:id="34"/>
    <w:p w14:paraId="15511A75" w14:textId="6BC2D10C" w:rsidR="00446B91" w:rsidRDefault="00446B91" w:rsidP="00446B91">
      <w:pPr>
        <w:pStyle w:val="Heading3"/>
      </w:pPr>
      <w:r>
        <w:t>Punctured vial</w:t>
      </w:r>
    </w:p>
    <w:p w14:paraId="0B31303A" w14:textId="68FF66EA" w:rsidR="004C2A15" w:rsidRPr="00D624C2" w:rsidRDefault="004C2A15" w:rsidP="004C2A15">
      <w:pPr>
        <w:spacing w:line="240" w:lineRule="auto"/>
        <w:rPr>
          <w:noProof/>
        </w:rPr>
      </w:pPr>
      <w:r w:rsidRPr="5F67E330">
        <w:rPr>
          <w:color w:val="000000" w:themeColor="text1"/>
        </w:rPr>
        <w:t xml:space="preserve">Chemical and physical in-use stability has been demonstrated from the time of first needle puncture to administration </w:t>
      </w:r>
      <w:r w:rsidRPr="003E3651">
        <w:rPr>
          <w:color w:val="000000" w:themeColor="text1"/>
        </w:rPr>
        <w:t xml:space="preserve">for 6 hours at 2°C to 25°C. </w:t>
      </w:r>
    </w:p>
    <w:p w14:paraId="0C0122AC" w14:textId="71658CA8" w:rsidR="004C2A15" w:rsidRPr="00745460" w:rsidRDefault="004C2A15" w:rsidP="004C2A15">
      <w:pPr>
        <w:spacing w:line="240" w:lineRule="auto"/>
        <w:rPr>
          <w:i/>
          <w:color w:val="000000" w:themeColor="text1"/>
        </w:rPr>
      </w:pPr>
      <w:r w:rsidRPr="00745460">
        <w:rPr>
          <w:color w:val="000000" w:themeColor="text1"/>
        </w:rPr>
        <w:t>From a microbiological point of view, after first opening (first needle puncture), the vaccine should be used immediately.</w:t>
      </w:r>
    </w:p>
    <w:bookmarkEnd w:id="33"/>
    <w:p w14:paraId="04ABF3DB" w14:textId="2AAA6746" w:rsidR="005B2812" w:rsidRDefault="005B2812" w:rsidP="005B2812">
      <w:pPr>
        <w:pStyle w:val="Heading2"/>
        <w:keepNext/>
        <w:keepLines/>
        <w:spacing w:before="0" w:after="120"/>
        <w:rPr>
          <w:rFonts w:cstheme="minorHAnsi"/>
          <w:lang w:val="en-US"/>
        </w:rPr>
      </w:pPr>
      <w:r w:rsidRPr="00497C85">
        <w:rPr>
          <w:rFonts w:cstheme="minorHAnsi"/>
          <w:lang w:val="en-US"/>
        </w:rPr>
        <w:t xml:space="preserve">Special precautions for storage </w:t>
      </w:r>
    </w:p>
    <w:p w14:paraId="494EE936" w14:textId="44D62BBC" w:rsidR="004C2A15" w:rsidRPr="00A43686" w:rsidRDefault="004C2A15" w:rsidP="00A43686">
      <w:pPr>
        <w:spacing w:line="240" w:lineRule="auto"/>
      </w:pPr>
      <w:r w:rsidRPr="00446B91">
        <w:t xml:space="preserve">Store in a refrigerator (2°C to 8°C). </w:t>
      </w:r>
      <w:r w:rsidR="007E4572">
        <w:t>D</w:t>
      </w:r>
      <w:r w:rsidRPr="00446B91">
        <w:t xml:space="preserve">o not freeze. </w:t>
      </w:r>
    </w:p>
    <w:p w14:paraId="33ED2A06" w14:textId="34652921" w:rsidR="004C2A15" w:rsidRPr="00D624C2" w:rsidRDefault="004C2A15" w:rsidP="004C2A15">
      <w:pPr>
        <w:spacing w:line="240" w:lineRule="auto"/>
        <w:rPr>
          <w:noProof/>
        </w:rPr>
      </w:pPr>
      <w:bookmarkStart w:id="35" w:name="_Hlk79912733"/>
      <w:bookmarkStart w:id="36" w:name="_Hlk80091768"/>
      <w:r w:rsidRPr="00446B91">
        <w:t xml:space="preserve">Keep the vials in the outer carton </w:t>
      </w:r>
      <w:proofErr w:type="gramStart"/>
      <w:r w:rsidRPr="00446B91">
        <w:t>in order to</w:t>
      </w:r>
      <w:proofErr w:type="gramEnd"/>
      <w:r w:rsidRPr="00446B91">
        <w:t xml:space="preserve"> protect from light</w:t>
      </w:r>
      <w:bookmarkEnd w:id="35"/>
      <w:r w:rsidRPr="00446B91">
        <w:t xml:space="preserve">. </w:t>
      </w:r>
      <w:bookmarkEnd w:id="36"/>
    </w:p>
    <w:p w14:paraId="2BB057E8" w14:textId="34D6EDBC" w:rsidR="004C2A15" w:rsidRPr="00446B91" w:rsidRDefault="004C2A15" w:rsidP="004C2A15">
      <w:pPr>
        <w:spacing w:line="240" w:lineRule="auto"/>
      </w:pPr>
      <w:r w:rsidRPr="00446B91">
        <w:t>For storage conditions after first opening of the medicinal product, see section 6.3</w:t>
      </w:r>
      <w:r w:rsidR="00573F33">
        <w:t xml:space="preserve"> Shelf Life</w:t>
      </w:r>
      <w:r w:rsidRPr="00446B91">
        <w:t>.</w:t>
      </w:r>
    </w:p>
    <w:p w14:paraId="53B6D6AC" w14:textId="0CF069AB" w:rsidR="005B2812" w:rsidRDefault="005B2812" w:rsidP="00855AA8">
      <w:pPr>
        <w:pStyle w:val="Heading2"/>
        <w:keepNext/>
        <w:spacing w:before="0" w:after="120"/>
        <w:rPr>
          <w:rFonts w:cstheme="minorHAnsi"/>
          <w:lang w:val="en-US"/>
        </w:rPr>
      </w:pPr>
      <w:r w:rsidRPr="00497C85">
        <w:rPr>
          <w:rFonts w:cstheme="minorHAnsi"/>
          <w:lang w:val="en-US"/>
        </w:rPr>
        <w:t xml:space="preserve">Nature and contents of container </w:t>
      </w:r>
    </w:p>
    <w:p w14:paraId="5F435E2F" w14:textId="4ECC7618" w:rsidR="00243971" w:rsidRDefault="004C2A15" w:rsidP="004C2A15">
      <w:pPr>
        <w:spacing w:line="240" w:lineRule="auto"/>
      </w:pPr>
      <w:r>
        <w:t>5 mL of suspension in a vial (type I glass) with a stopper (</w:t>
      </w:r>
      <w:proofErr w:type="spellStart"/>
      <w:r>
        <w:t>bromobutyl</w:t>
      </w:r>
      <w:proofErr w:type="spellEnd"/>
      <w:r>
        <w:t xml:space="preserve"> </w:t>
      </w:r>
      <w:r w:rsidR="00871C99">
        <w:t xml:space="preserve">or </w:t>
      </w:r>
      <w:proofErr w:type="spellStart"/>
      <w:r w:rsidR="00871C99">
        <w:t>chlorobutyl</w:t>
      </w:r>
      <w:proofErr w:type="spellEnd"/>
      <w:r w:rsidR="00871C99">
        <w:t xml:space="preserve"> </w:t>
      </w:r>
      <w:r>
        <w:t xml:space="preserve">rubber) and an aluminium </w:t>
      </w:r>
      <w:proofErr w:type="spellStart"/>
      <w:r>
        <w:t>overseal</w:t>
      </w:r>
      <w:proofErr w:type="spellEnd"/>
      <w:r>
        <w:t xml:space="preserve"> with blue plastic flip-cap. </w:t>
      </w:r>
    </w:p>
    <w:p w14:paraId="5CB6D459" w14:textId="5B5AFA24" w:rsidR="004C2A15" w:rsidRDefault="004C2A15" w:rsidP="004C2A15">
      <w:pPr>
        <w:spacing w:line="240" w:lineRule="auto"/>
        <w:rPr>
          <w:i/>
          <w:iCs/>
          <w:noProof/>
          <w:color w:val="A6A6A6" w:themeColor="background1" w:themeShade="A6"/>
        </w:rPr>
      </w:pPr>
      <w:r w:rsidRPr="6EE6DBE9">
        <w:rPr>
          <w:noProof/>
        </w:rPr>
        <w:t>Each vial contains 10 doses of 0.5 mL.</w:t>
      </w:r>
      <w:r w:rsidRPr="6EE6DBE9">
        <w:rPr>
          <w:i/>
          <w:iCs/>
          <w:noProof/>
          <w:color w:val="A6A6A6" w:themeColor="background1" w:themeShade="A6"/>
        </w:rPr>
        <w:t xml:space="preserve"> </w:t>
      </w:r>
    </w:p>
    <w:p w14:paraId="4BD24A9C" w14:textId="773EC701" w:rsidR="004C2A15" w:rsidRPr="008225EB" w:rsidRDefault="004C2A15" w:rsidP="004C2A15">
      <w:pPr>
        <w:spacing w:line="240" w:lineRule="auto"/>
        <w:rPr>
          <w:noProof/>
        </w:rPr>
      </w:pPr>
      <w:r w:rsidRPr="77FB9B6A">
        <w:rPr>
          <w:noProof/>
        </w:rPr>
        <w:t>Pack size: 10 multidose vials</w:t>
      </w:r>
    </w:p>
    <w:p w14:paraId="28567494" w14:textId="2783A1EB" w:rsidR="005B2812" w:rsidRDefault="005B2812" w:rsidP="00855AA8">
      <w:pPr>
        <w:pStyle w:val="Heading2"/>
        <w:keepNext/>
        <w:spacing w:before="0" w:after="120"/>
        <w:rPr>
          <w:rFonts w:cstheme="minorHAnsi"/>
          <w:lang w:val="en-US"/>
        </w:rPr>
      </w:pPr>
      <w:r w:rsidRPr="00497C85">
        <w:rPr>
          <w:rFonts w:cstheme="minorHAnsi"/>
          <w:lang w:val="en-US"/>
        </w:rPr>
        <w:t xml:space="preserve">Special precautions for disposal </w:t>
      </w:r>
    </w:p>
    <w:p w14:paraId="620EDC89" w14:textId="2D935076" w:rsidR="004C2A15" w:rsidRDefault="000216F5" w:rsidP="004C2A15">
      <w:pPr>
        <w:spacing w:line="240" w:lineRule="auto"/>
        <w:rPr>
          <w:rFonts w:asciiTheme="majorHAnsi" w:hAnsiTheme="majorHAnsi" w:cstheme="minorHAnsi"/>
          <w:lang w:val="en"/>
        </w:rPr>
      </w:pPr>
      <w:r>
        <w:rPr>
          <w:noProof/>
        </w:rPr>
        <w:t>In Australia, a</w:t>
      </w:r>
      <w:r w:rsidR="004C2A15" w:rsidRPr="6EE6DBE9">
        <w:rPr>
          <w:noProof/>
        </w:rPr>
        <w:t>ny unused medicinal product or waste material should be disposed of in accordance with local requirements.</w:t>
      </w:r>
    </w:p>
    <w:p w14:paraId="0F7FF772" w14:textId="77777777" w:rsidR="001A3992" w:rsidRPr="00093797" w:rsidRDefault="001A3992" w:rsidP="00855AA8">
      <w:pPr>
        <w:pStyle w:val="Heading2"/>
        <w:keepNext/>
        <w:spacing w:before="0" w:after="120"/>
        <w:rPr>
          <w:lang w:val="en-US"/>
        </w:rPr>
      </w:pPr>
      <w:r w:rsidRPr="00093797">
        <w:rPr>
          <w:lang w:val="en-US"/>
        </w:rPr>
        <w:t>Physicochemical properties</w:t>
      </w:r>
    </w:p>
    <w:p w14:paraId="48AA83B1" w14:textId="094C6C0E" w:rsidR="006A1A3C" w:rsidRPr="006A1A3C" w:rsidRDefault="00093797" w:rsidP="006A1A3C">
      <w:pPr>
        <w:rPr>
          <w:lang w:val="en-US"/>
        </w:rPr>
      </w:pPr>
      <w:r>
        <w:rPr>
          <w:lang w:val="en-US"/>
        </w:rPr>
        <w:t>Not applicable</w:t>
      </w:r>
    </w:p>
    <w:p w14:paraId="39179C3A" w14:textId="508B0A78"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011D9063" w14:textId="2C8BAA65" w:rsidR="006A1A3C" w:rsidRPr="006A1A3C" w:rsidRDefault="000216F5" w:rsidP="006A1A3C">
      <w:pPr>
        <w:rPr>
          <w:lang w:val="en-US"/>
        </w:rPr>
      </w:pPr>
      <w:r>
        <w:rPr>
          <w:lang w:val="en-US"/>
        </w:rPr>
        <w:t>Prescription only medicine (Schedule 4)</w:t>
      </w:r>
    </w:p>
    <w:p w14:paraId="59D12560" w14:textId="38E1F373" w:rsidR="00285173" w:rsidRDefault="001A3992" w:rsidP="00285173">
      <w:pPr>
        <w:pStyle w:val="Heading1"/>
        <w:spacing w:before="0" w:after="120"/>
        <w:rPr>
          <w:lang w:val="en-US"/>
        </w:rPr>
      </w:pPr>
      <w:r w:rsidRPr="007D497E">
        <w:rPr>
          <w:lang w:val="en-US"/>
        </w:rPr>
        <w:lastRenderedPageBreak/>
        <w:t>Sponsor</w:t>
      </w:r>
    </w:p>
    <w:p w14:paraId="096D4B92" w14:textId="77777777" w:rsidR="000216F5" w:rsidRPr="005E7528" w:rsidRDefault="000216F5" w:rsidP="00880F49">
      <w:pPr>
        <w:pStyle w:val="ListParagraph"/>
        <w:ind w:left="0"/>
        <w:rPr>
          <w:rFonts w:ascii="Calibri" w:hAnsi="Calibri" w:cs="Calibri"/>
        </w:rPr>
      </w:pPr>
      <w:proofErr w:type="spellStart"/>
      <w:r w:rsidRPr="005E7528">
        <w:rPr>
          <w:rFonts w:ascii="Calibri" w:hAnsi="Calibri" w:cs="Calibri"/>
        </w:rPr>
        <w:t>Biocelect</w:t>
      </w:r>
      <w:proofErr w:type="spellEnd"/>
      <w:r w:rsidRPr="005E7528">
        <w:rPr>
          <w:rFonts w:ascii="Calibri" w:hAnsi="Calibri" w:cs="Calibri"/>
        </w:rPr>
        <w:t xml:space="preserve"> Pty Ltd</w:t>
      </w:r>
    </w:p>
    <w:p w14:paraId="40F8E858" w14:textId="54E3B208" w:rsidR="000216F5" w:rsidRPr="005E7528" w:rsidRDefault="000216F5" w:rsidP="00880F49">
      <w:pPr>
        <w:pStyle w:val="ListParagraph"/>
        <w:ind w:left="0"/>
        <w:rPr>
          <w:rFonts w:ascii="Calibri" w:hAnsi="Calibri" w:cs="Calibri"/>
        </w:rPr>
      </w:pPr>
      <w:r w:rsidRPr="005E7528">
        <w:rPr>
          <w:rFonts w:ascii="Calibri" w:hAnsi="Calibri" w:cs="Calibri"/>
        </w:rPr>
        <w:t>Suite 502 Level 5</w:t>
      </w:r>
    </w:p>
    <w:p w14:paraId="27F65CAD" w14:textId="77777777" w:rsidR="000216F5" w:rsidRPr="005E7528" w:rsidRDefault="000216F5" w:rsidP="00880F49">
      <w:pPr>
        <w:pStyle w:val="ListParagraph"/>
        <w:ind w:left="0"/>
        <w:rPr>
          <w:rFonts w:ascii="Calibri" w:hAnsi="Calibri" w:cs="Calibri"/>
        </w:rPr>
      </w:pPr>
      <w:r w:rsidRPr="005E7528">
        <w:rPr>
          <w:rFonts w:ascii="Calibri" w:hAnsi="Calibri" w:cs="Calibri"/>
        </w:rPr>
        <w:t>139 Macquarie Street</w:t>
      </w:r>
    </w:p>
    <w:p w14:paraId="314E111F" w14:textId="77777777" w:rsidR="000216F5" w:rsidRPr="005E7528" w:rsidRDefault="000216F5" w:rsidP="00880F49">
      <w:pPr>
        <w:pStyle w:val="ListParagraph"/>
        <w:ind w:left="0"/>
        <w:contextualSpacing w:val="0"/>
        <w:rPr>
          <w:rFonts w:ascii="Calibri" w:hAnsi="Calibri" w:cs="Calibri"/>
        </w:rPr>
      </w:pPr>
      <w:r w:rsidRPr="005E7528">
        <w:rPr>
          <w:rFonts w:ascii="Calibri" w:hAnsi="Calibri" w:cs="Calibri"/>
        </w:rPr>
        <w:t>Sydney NSW 2000</w:t>
      </w:r>
    </w:p>
    <w:p w14:paraId="0DBCFA0C" w14:textId="5B551AD1" w:rsidR="000216F5" w:rsidRDefault="000216F5" w:rsidP="00880F49">
      <w:pPr>
        <w:pStyle w:val="ListParagraph"/>
        <w:ind w:left="0"/>
        <w:rPr>
          <w:rFonts w:ascii="Calibri" w:hAnsi="Calibri" w:cs="Calibri"/>
        </w:rPr>
      </w:pPr>
      <w:r w:rsidRPr="005E7528">
        <w:rPr>
          <w:rFonts w:ascii="Calibri" w:hAnsi="Calibri" w:cs="Calibri"/>
        </w:rPr>
        <w:t>For Medical/Technical Enquiries</w:t>
      </w:r>
    </w:p>
    <w:p w14:paraId="6AF2B358" w14:textId="03868F2B" w:rsidR="00F65FFE" w:rsidRDefault="00F65FFE" w:rsidP="00880F49">
      <w:pPr>
        <w:pStyle w:val="ListParagraph"/>
        <w:ind w:left="0"/>
        <w:contextualSpacing w:val="0"/>
        <w:rPr>
          <w:rFonts w:ascii="Calibri" w:hAnsi="Calibri" w:cs="Calibri"/>
        </w:rPr>
      </w:pPr>
      <w:r>
        <w:rPr>
          <w:rFonts w:ascii="Calibri" w:hAnsi="Calibri" w:cs="Calibri"/>
        </w:rPr>
        <w:t>Australia: +61 2 7202 1444</w:t>
      </w:r>
    </w:p>
    <w:p w14:paraId="6C179B13" w14:textId="162817D2" w:rsidR="000216F5" w:rsidRDefault="00871C99" w:rsidP="00880F49">
      <w:pPr>
        <w:pStyle w:val="ListParagraph"/>
        <w:ind w:left="0"/>
        <w:rPr>
          <w:rFonts w:ascii="Calibri" w:hAnsi="Calibri" w:cs="Calibri"/>
        </w:rPr>
      </w:pPr>
      <w:r>
        <w:rPr>
          <w:rFonts w:ascii="Calibri" w:hAnsi="Calibri" w:cs="Calibri"/>
        </w:rPr>
        <w:t xml:space="preserve">Email: </w:t>
      </w:r>
      <w:hyperlink r:id="rId13" w:history="1">
        <w:r w:rsidRPr="00855411">
          <w:rPr>
            <w:rStyle w:val="Hyperlink"/>
            <w:rFonts w:ascii="Calibri" w:hAnsi="Calibri" w:cs="Calibri"/>
          </w:rPr>
          <w:t>info@biocelect.com</w:t>
        </w:r>
      </w:hyperlink>
      <w:r>
        <w:rPr>
          <w:rFonts w:ascii="Calibri" w:hAnsi="Calibri" w:cs="Calibri"/>
        </w:rPr>
        <w:t xml:space="preserve"> </w:t>
      </w:r>
    </w:p>
    <w:p w14:paraId="2BB91103" w14:textId="204D5F72" w:rsidR="000216F5" w:rsidRPr="005E7528" w:rsidRDefault="00871C99" w:rsidP="00880F49">
      <w:pPr>
        <w:pStyle w:val="ListParagraph"/>
        <w:ind w:left="0"/>
        <w:rPr>
          <w:rFonts w:ascii="Calibri" w:hAnsi="Calibri" w:cs="Calibri"/>
        </w:rPr>
      </w:pPr>
      <w:r>
        <w:rPr>
          <w:rFonts w:ascii="Calibri" w:hAnsi="Calibri" w:cs="Calibri"/>
        </w:rPr>
        <w:t xml:space="preserve">Website:  </w:t>
      </w:r>
      <w:hyperlink r:id="rId14" w:history="1">
        <w:r w:rsidR="005E7528" w:rsidRPr="005E7528">
          <w:rPr>
            <w:rStyle w:val="Hyperlink"/>
            <w:rFonts w:ascii="Calibri" w:hAnsi="Calibri" w:cs="Calibri"/>
          </w:rPr>
          <w:t>www.biocelect.com</w:t>
        </w:r>
      </w:hyperlink>
      <w:r w:rsidR="000216F5" w:rsidRPr="005E7528">
        <w:rPr>
          <w:rFonts w:ascii="Calibri" w:hAnsi="Calibri" w:cs="Calibri"/>
        </w:rPr>
        <w:t xml:space="preserve"> </w:t>
      </w:r>
    </w:p>
    <w:p w14:paraId="4793B894" w14:textId="4FD0A7C1" w:rsidR="00285173" w:rsidRDefault="00285173" w:rsidP="00285173">
      <w:pPr>
        <w:pStyle w:val="Heading1"/>
        <w:spacing w:before="0" w:after="120"/>
        <w:rPr>
          <w:lang w:val="en-US"/>
        </w:rPr>
      </w:pPr>
      <w:r w:rsidRPr="007D497E">
        <w:rPr>
          <w:lang w:val="en-US"/>
        </w:rPr>
        <w:t xml:space="preserve">Date of first </w:t>
      </w:r>
      <w:r>
        <w:rPr>
          <w:lang w:val="en-US"/>
        </w:rPr>
        <w:t xml:space="preserve">approval </w:t>
      </w:r>
      <w:r w:rsidRPr="007D497E">
        <w:rPr>
          <w:lang w:val="en-US"/>
        </w:rPr>
        <w:t xml:space="preserve"> </w:t>
      </w:r>
    </w:p>
    <w:p w14:paraId="12C06B69" w14:textId="2DF1CAD4" w:rsidR="006A1A3C" w:rsidRPr="006A1A3C" w:rsidRDefault="00DC7F20" w:rsidP="006A1A3C">
      <w:pPr>
        <w:rPr>
          <w:lang w:val="en-US"/>
        </w:rPr>
      </w:pPr>
      <w:r>
        <w:rPr>
          <w:lang w:val="en-US"/>
        </w:rPr>
        <w:t>2</w:t>
      </w:r>
      <w:r w:rsidR="00F92017">
        <w:rPr>
          <w:lang w:val="en-US"/>
        </w:rPr>
        <w:t>0</w:t>
      </w:r>
      <w:r w:rsidR="00524799">
        <w:rPr>
          <w:lang w:val="en-US"/>
        </w:rPr>
        <w:t xml:space="preserve"> January 2022</w:t>
      </w:r>
    </w:p>
    <w:p w14:paraId="08AEB4D0" w14:textId="02FAF9F2" w:rsidR="003A7B19" w:rsidRPr="003A7B19" w:rsidRDefault="00285173" w:rsidP="003A7B19">
      <w:pPr>
        <w:pStyle w:val="Heading1"/>
        <w:spacing w:before="0" w:after="120"/>
        <w:rPr>
          <w:lang w:val="en-US"/>
        </w:rPr>
      </w:pPr>
      <w:r>
        <w:rPr>
          <w:lang w:val="en-US"/>
        </w:rPr>
        <w:t xml:space="preserve">Date of revision </w:t>
      </w:r>
    </w:p>
    <w:p w14:paraId="2B3BE0E5" w14:textId="06015FB5" w:rsidR="003A7B19" w:rsidRPr="00F92017" w:rsidRDefault="00F92017" w:rsidP="00F92017">
      <w:pPr>
        <w:rPr>
          <w:lang w:val="en-US"/>
        </w:rPr>
      </w:pPr>
      <w:r w:rsidRPr="00F92017">
        <w:rPr>
          <w:lang w:val="en-US"/>
        </w:rPr>
        <w:t>10 June 2022</w:t>
      </w:r>
    </w:p>
    <w:p w14:paraId="347306B4" w14:textId="781A7D0A"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1FF410DC" w14:textId="77777777" w:rsidTr="003A7B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3BD50593" w14:textId="77777777" w:rsidR="00285173" w:rsidRPr="002E277D" w:rsidRDefault="00285173" w:rsidP="00EB13EA">
            <w:pPr>
              <w:rPr>
                <w:sz w:val="20"/>
                <w:lang w:val="en-US"/>
              </w:rPr>
            </w:pPr>
            <w:r w:rsidRPr="002E277D">
              <w:rPr>
                <w:sz w:val="20"/>
                <w:lang w:val="en-US"/>
              </w:rPr>
              <w:t>Section Changed</w:t>
            </w:r>
          </w:p>
        </w:tc>
        <w:tc>
          <w:tcPr>
            <w:tcW w:w="7635" w:type="dxa"/>
            <w:shd w:val="clear" w:color="auto" w:fill="F2F2F2" w:themeFill="background1" w:themeFillShade="F2"/>
            <w:vAlign w:val="center"/>
          </w:tcPr>
          <w:p w14:paraId="7643BE9A" w14:textId="77777777" w:rsidR="00285173" w:rsidRPr="002E277D" w:rsidRDefault="00285173" w:rsidP="00EB13EA">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14:paraId="5500FF3D" w14:textId="77777777" w:rsidTr="003A7B19">
        <w:tc>
          <w:tcPr>
            <w:cnfStyle w:val="001000000000" w:firstRow="0" w:lastRow="0" w:firstColumn="1" w:lastColumn="0" w:oddVBand="0" w:evenVBand="0" w:oddHBand="0" w:evenHBand="0" w:firstRowFirstColumn="0" w:firstRowLastColumn="0" w:lastRowFirstColumn="0" w:lastRowLastColumn="0"/>
            <w:tcW w:w="1371" w:type="dxa"/>
            <w:vAlign w:val="center"/>
          </w:tcPr>
          <w:p w14:paraId="71378596" w14:textId="540F4C2A" w:rsidR="00285173" w:rsidRDefault="3266C486" w:rsidP="00EB13EA">
            <w:pPr>
              <w:rPr>
                <w:lang w:val="en-US"/>
              </w:rPr>
            </w:pPr>
            <w:r w:rsidRPr="3266C486">
              <w:rPr>
                <w:lang w:val="en-US"/>
              </w:rPr>
              <w:t>4.2</w:t>
            </w:r>
          </w:p>
        </w:tc>
        <w:tc>
          <w:tcPr>
            <w:tcW w:w="7635" w:type="dxa"/>
            <w:vAlign w:val="center"/>
          </w:tcPr>
          <w:p w14:paraId="7A0CB823" w14:textId="34A93124" w:rsidR="00285173" w:rsidRDefault="3266C486" w:rsidP="00EB13EA">
            <w:pPr>
              <w:cnfStyle w:val="000000000000" w:firstRow="0" w:lastRow="0" w:firstColumn="0" w:lastColumn="0" w:oddVBand="0" w:evenVBand="0" w:oddHBand="0" w:evenHBand="0" w:firstRowFirstColumn="0" w:firstRowLastColumn="0" w:lastRowFirstColumn="0" w:lastRowLastColumn="0"/>
              <w:rPr>
                <w:lang w:val="en-US"/>
              </w:rPr>
            </w:pPr>
            <w:r w:rsidRPr="3266C486">
              <w:rPr>
                <w:lang w:val="en-US"/>
              </w:rPr>
              <w:t xml:space="preserve">Addition </w:t>
            </w:r>
            <w:r w:rsidR="00F579B6">
              <w:rPr>
                <w:lang w:val="en-US"/>
              </w:rPr>
              <w:t xml:space="preserve">of </w:t>
            </w:r>
            <w:r w:rsidRPr="3266C486">
              <w:rPr>
                <w:lang w:val="en-US"/>
              </w:rPr>
              <w:t>proposed text for booster doses</w:t>
            </w:r>
          </w:p>
        </w:tc>
      </w:tr>
      <w:tr w:rsidR="003A7B19" w14:paraId="1CDEB002" w14:textId="77777777" w:rsidTr="003A7B19">
        <w:tc>
          <w:tcPr>
            <w:cnfStyle w:val="001000000000" w:firstRow="0" w:lastRow="0" w:firstColumn="1" w:lastColumn="0" w:oddVBand="0" w:evenVBand="0" w:oddHBand="0" w:evenHBand="0" w:firstRowFirstColumn="0" w:firstRowLastColumn="0" w:lastRowFirstColumn="0" w:lastRowLastColumn="0"/>
            <w:tcW w:w="1371" w:type="dxa"/>
            <w:vAlign w:val="center"/>
          </w:tcPr>
          <w:p w14:paraId="224CAFFD" w14:textId="11EFCA43" w:rsidR="003A7B19" w:rsidRDefault="003A7B19" w:rsidP="003A7B19">
            <w:pPr>
              <w:rPr>
                <w:lang w:val="en-US"/>
              </w:rPr>
            </w:pPr>
            <w:r w:rsidRPr="3266C486">
              <w:rPr>
                <w:lang w:val="en-US"/>
              </w:rPr>
              <w:t>4.8</w:t>
            </w:r>
          </w:p>
        </w:tc>
        <w:tc>
          <w:tcPr>
            <w:tcW w:w="7635" w:type="dxa"/>
            <w:vAlign w:val="center"/>
          </w:tcPr>
          <w:p w14:paraId="730834CE" w14:textId="556863BC" w:rsidR="003A7B19" w:rsidRDefault="003A7B19" w:rsidP="003A7B19">
            <w:pPr>
              <w:cnfStyle w:val="000000000000" w:firstRow="0" w:lastRow="0" w:firstColumn="0" w:lastColumn="0" w:oddVBand="0" w:evenVBand="0" w:oddHBand="0" w:evenHBand="0" w:firstRowFirstColumn="0" w:firstRowLastColumn="0" w:lastRowFirstColumn="0" w:lastRowLastColumn="0"/>
              <w:rPr>
                <w:lang w:val="en-US"/>
              </w:rPr>
            </w:pPr>
            <w:r w:rsidRPr="3266C486">
              <w:rPr>
                <w:lang w:val="en-US"/>
              </w:rPr>
              <w:t xml:space="preserve">Addition </w:t>
            </w:r>
            <w:r w:rsidR="00F579B6">
              <w:rPr>
                <w:lang w:val="en-US"/>
              </w:rPr>
              <w:t xml:space="preserve">of </w:t>
            </w:r>
            <w:r w:rsidRPr="3266C486">
              <w:rPr>
                <w:lang w:val="en-US"/>
              </w:rPr>
              <w:t>proposed text for booster doses</w:t>
            </w:r>
            <w:r w:rsidR="00F1077F">
              <w:rPr>
                <w:lang w:val="en-US"/>
              </w:rPr>
              <w:t xml:space="preserve">; </w:t>
            </w:r>
          </w:p>
        </w:tc>
      </w:tr>
      <w:tr w:rsidR="003A7B19" w14:paraId="50B3B12F" w14:textId="77777777" w:rsidTr="003A7B19">
        <w:tc>
          <w:tcPr>
            <w:cnfStyle w:val="001000000000" w:firstRow="0" w:lastRow="0" w:firstColumn="1" w:lastColumn="0" w:oddVBand="0" w:evenVBand="0" w:oddHBand="0" w:evenHBand="0" w:firstRowFirstColumn="0" w:firstRowLastColumn="0" w:lastRowFirstColumn="0" w:lastRowLastColumn="0"/>
            <w:tcW w:w="1371" w:type="dxa"/>
            <w:vAlign w:val="center"/>
          </w:tcPr>
          <w:p w14:paraId="2613093B" w14:textId="1768E4CF" w:rsidR="003A7B19" w:rsidRDefault="003A7B19" w:rsidP="003A7B19">
            <w:pPr>
              <w:rPr>
                <w:lang w:val="en-US"/>
              </w:rPr>
            </w:pPr>
            <w:r w:rsidRPr="3266C486">
              <w:rPr>
                <w:lang w:val="en-US"/>
              </w:rPr>
              <w:t>5.1</w:t>
            </w:r>
          </w:p>
        </w:tc>
        <w:tc>
          <w:tcPr>
            <w:tcW w:w="7635" w:type="dxa"/>
            <w:vAlign w:val="center"/>
          </w:tcPr>
          <w:p w14:paraId="4355E15E" w14:textId="33030CC3" w:rsidR="003A7B19" w:rsidRDefault="003A7B19" w:rsidP="003A7B19">
            <w:pPr>
              <w:cnfStyle w:val="000000000000" w:firstRow="0" w:lastRow="0" w:firstColumn="0" w:lastColumn="0" w:oddVBand="0" w:evenVBand="0" w:oddHBand="0" w:evenHBand="0" w:firstRowFirstColumn="0" w:firstRowLastColumn="0" w:lastRowFirstColumn="0" w:lastRowLastColumn="0"/>
              <w:rPr>
                <w:lang w:val="en-US"/>
              </w:rPr>
            </w:pPr>
            <w:r w:rsidRPr="3266C486">
              <w:rPr>
                <w:lang w:val="en-US"/>
              </w:rPr>
              <w:t xml:space="preserve">Addition </w:t>
            </w:r>
            <w:r w:rsidR="00F579B6">
              <w:rPr>
                <w:lang w:val="en-US"/>
              </w:rPr>
              <w:t xml:space="preserve">of </w:t>
            </w:r>
            <w:r w:rsidRPr="3266C486">
              <w:rPr>
                <w:lang w:val="en-US"/>
              </w:rPr>
              <w:t>proposed text for booster doses</w:t>
            </w:r>
          </w:p>
        </w:tc>
      </w:tr>
    </w:tbl>
    <w:p w14:paraId="18A13058" w14:textId="77777777" w:rsidR="00285173" w:rsidRPr="00557591" w:rsidRDefault="00285173" w:rsidP="00285173">
      <w:pPr>
        <w:spacing w:after="120"/>
        <w:rPr>
          <w:lang w:val="en-US"/>
        </w:rPr>
      </w:pPr>
    </w:p>
    <w:sectPr w:rsidR="00285173" w:rsidRPr="0055759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751E5" w14:textId="77777777" w:rsidR="00E61D02" w:rsidRDefault="00E61D02" w:rsidP="001A3992">
      <w:pPr>
        <w:spacing w:after="0" w:line="240" w:lineRule="auto"/>
      </w:pPr>
      <w:r>
        <w:separator/>
      </w:r>
    </w:p>
  </w:endnote>
  <w:endnote w:type="continuationSeparator" w:id="0">
    <w:p w14:paraId="23BF1621" w14:textId="77777777" w:rsidR="00E61D02" w:rsidRDefault="00E61D02"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AD911" w14:textId="77777777" w:rsidR="00237676" w:rsidRDefault="00237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3B21" w14:textId="52A1FC66" w:rsidR="00E61D02" w:rsidRPr="00FC6F12" w:rsidRDefault="00E61D02" w:rsidP="00FC6F12">
    <w:pPr>
      <w:pStyle w:val="Footer"/>
      <w:rPr>
        <w:rFonts w:ascii="Calibri" w:hAnsi="Calibri" w:cs="Calibri"/>
        <w:sz w:val="18"/>
        <w:szCs w:val="18"/>
      </w:rPr>
    </w:pPr>
    <w:r w:rsidRPr="00FC6F12">
      <w:rPr>
        <w:rFonts w:ascii="Calibri" w:hAnsi="Calibri" w:cs="Calibri"/>
        <w:sz w:val="18"/>
        <w:szCs w:val="18"/>
      </w:rPr>
      <w:t xml:space="preserve">Version </w:t>
    </w:r>
    <w:r>
      <w:rPr>
        <w:rFonts w:ascii="Calibri" w:hAnsi="Calibri" w:cs="Calibri"/>
        <w:sz w:val="18"/>
        <w:szCs w:val="18"/>
      </w:rPr>
      <w:t>2</w:t>
    </w:r>
  </w:p>
  <w:sdt>
    <w:sdtPr>
      <w:id w:val="-66803928"/>
      <w:docPartObj>
        <w:docPartGallery w:val="Page Numbers (Bottom of Page)"/>
        <w:docPartUnique/>
      </w:docPartObj>
    </w:sdtPr>
    <w:sdtEndPr>
      <w:rPr>
        <w:noProof/>
      </w:rPr>
    </w:sdtEndPr>
    <w:sdtContent>
      <w:p w14:paraId="55526F17" w14:textId="2F5C09A1" w:rsidR="00E61D02" w:rsidRPr="00FC6F12" w:rsidRDefault="00E61D02" w:rsidP="00FC6F12">
        <w:pPr>
          <w:pStyle w:val="Footer"/>
          <w:jc w:val="right"/>
        </w:pPr>
        <w:r w:rsidRPr="00FC6F12">
          <w:rPr>
            <w:sz w:val="18"/>
            <w:szCs w:val="18"/>
          </w:rPr>
          <w:fldChar w:fldCharType="begin"/>
        </w:r>
        <w:r w:rsidRPr="00FC6F12">
          <w:rPr>
            <w:sz w:val="18"/>
            <w:szCs w:val="18"/>
          </w:rPr>
          <w:instrText xml:space="preserve"> PAGE   \* MERGEFORMAT </w:instrText>
        </w:r>
        <w:r w:rsidRPr="00FC6F12">
          <w:rPr>
            <w:sz w:val="18"/>
            <w:szCs w:val="18"/>
          </w:rPr>
          <w:fldChar w:fldCharType="separate"/>
        </w:r>
        <w:r w:rsidRPr="00FC6F12">
          <w:rPr>
            <w:noProof/>
            <w:sz w:val="18"/>
            <w:szCs w:val="18"/>
          </w:rPr>
          <w:t>2</w:t>
        </w:r>
        <w:r w:rsidRPr="00FC6F1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BF9D0" w14:textId="77777777" w:rsidR="00237676" w:rsidRDefault="0023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ECE67" w14:textId="77777777" w:rsidR="00E61D02" w:rsidRDefault="00E61D02" w:rsidP="001A3992">
      <w:pPr>
        <w:spacing w:after="0" w:line="240" w:lineRule="auto"/>
      </w:pPr>
      <w:r>
        <w:separator/>
      </w:r>
    </w:p>
  </w:footnote>
  <w:footnote w:type="continuationSeparator" w:id="0">
    <w:p w14:paraId="43FB7B6C" w14:textId="77777777" w:rsidR="00E61D02" w:rsidRDefault="00E61D02"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57BE4" w14:textId="77777777" w:rsidR="00237676" w:rsidRDefault="00237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720"/>
    </w:tblGrid>
    <w:tr w:rsidR="00E61D02" w14:paraId="5F086084" w14:textId="77777777" w:rsidTr="00E61D02">
      <w:tc>
        <w:tcPr>
          <w:tcW w:w="8720" w:type="dxa"/>
          <w:shd w:val="clear" w:color="auto" w:fill="E4F2E0"/>
        </w:tcPr>
        <w:p w14:paraId="374EA478" w14:textId="490DD35D" w:rsidR="00E61D02" w:rsidRPr="00E61D02" w:rsidRDefault="00E61D02" w:rsidP="00237676">
          <w:pPr>
            <w:rPr>
              <w:rFonts w:ascii="Cambria" w:hAnsi="Cambria"/>
              <w:sz w:val="20"/>
              <w:szCs w:val="20"/>
            </w:rPr>
          </w:pPr>
          <w:r w:rsidRPr="00E61D02">
            <w:rPr>
              <w:rFonts w:ascii="Cambria" w:hAnsi="Cambria"/>
              <w:b/>
              <w:sz w:val="20"/>
              <w:szCs w:val="20"/>
            </w:rPr>
            <w:t xml:space="preserve">Attachment 1: Product information for </w:t>
          </w:r>
          <w:r w:rsidR="00237676" w:rsidRPr="00237676">
            <w:rPr>
              <w:rFonts w:ascii="Cambria" w:hAnsi="Cambria"/>
              <w:b/>
              <w:sz w:val="20"/>
              <w:szCs w:val="20"/>
            </w:rPr>
            <w:t xml:space="preserve">AusPAR - </w:t>
          </w:r>
          <w:proofErr w:type="spellStart"/>
          <w:r w:rsidR="00237676" w:rsidRPr="00237676">
            <w:rPr>
              <w:rFonts w:ascii="Cambria" w:hAnsi="Cambria"/>
              <w:b/>
              <w:sz w:val="20"/>
              <w:szCs w:val="20"/>
            </w:rPr>
            <w:t>Nuvaxovid</w:t>
          </w:r>
          <w:proofErr w:type="spellEnd"/>
          <w:r w:rsidR="00237676" w:rsidRPr="00237676">
            <w:rPr>
              <w:rFonts w:ascii="Cambria" w:hAnsi="Cambria"/>
              <w:b/>
              <w:sz w:val="20"/>
              <w:szCs w:val="20"/>
            </w:rPr>
            <w:t xml:space="preserve"> heterologous booster- SARS-CoV-2 </w:t>
          </w:r>
          <w:proofErr w:type="spellStart"/>
          <w:r w:rsidR="00237676" w:rsidRPr="00237676">
            <w:rPr>
              <w:rFonts w:ascii="Cambria" w:hAnsi="Cambria"/>
              <w:b/>
              <w:sz w:val="20"/>
              <w:szCs w:val="20"/>
            </w:rPr>
            <w:t>rS</w:t>
          </w:r>
          <w:proofErr w:type="spellEnd"/>
          <w:r w:rsidR="00237676" w:rsidRPr="00237676">
            <w:rPr>
              <w:rFonts w:ascii="Cambria" w:hAnsi="Cambria"/>
              <w:b/>
              <w:sz w:val="20"/>
              <w:szCs w:val="20"/>
            </w:rPr>
            <w:t xml:space="preserve"> with Matrix M adjuvant (NVX-CoV2373) –</w:t>
          </w:r>
          <w:r w:rsidR="00237676">
            <w:rPr>
              <w:rFonts w:ascii="Cambria" w:hAnsi="Cambria"/>
              <w:b/>
              <w:sz w:val="20"/>
              <w:szCs w:val="20"/>
            </w:rPr>
            <w:t xml:space="preserve"> </w:t>
          </w:r>
          <w:proofErr w:type="spellStart"/>
          <w:r w:rsidR="00237676" w:rsidRPr="00237676">
            <w:rPr>
              <w:rFonts w:ascii="Cambria" w:hAnsi="Cambria"/>
              <w:b/>
              <w:sz w:val="20"/>
              <w:szCs w:val="20"/>
            </w:rPr>
            <w:t>Biocelect</w:t>
          </w:r>
          <w:proofErr w:type="spellEnd"/>
          <w:r w:rsidR="00237676" w:rsidRPr="00237676">
            <w:rPr>
              <w:rFonts w:ascii="Cambria" w:hAnsi="Cambria"/>
              <w:b/>
              <w:sz w:val="20"/>
              <w:szCs w:val="20"/>
            </w:rPr>
            <w:t xml:space="preserve"> Pty Ltd - PM-2022-00638-1-2</w:t>
          </w:r>
          <w:r w:rsidR="00237676">
            <w:rPr>
              <w:rFonts w:ascii="Cambria" w:hAnsi="Cambria"/>
              <w:b/>
              <w:sz w:val="20"/>
              <w:szCs w:val="20"/>
            </w:rPr>
            <w:t xml:space="preserve"> final </w:t>
          </w:r>
          <w:r w:rsidR="00237676" w:rsidRPr="00237676">
            <w:rPr>
              <w:rFonts w:ascii="Cambria" w:hAnsi="Cambria"/>
              <w:b/>
              <w:sz w:val="20"/>
              <w:szCs w:val="20"/>
            </w:rPr>
            <w:t>22 June 2022</w:t>
          </w:r>
          <w:r w:rsidRPr="00E61D02">
            <w:rPr>
              <w:rFonts w:ascii="Cambria" w:hAnsi="Cambria"/>
              <w:b/>
              <w:sz w:val="20"/>
              <w:szCs w:val="20"/>
            </w:rPr>
            <w:t>. This is the Product Information that was approved with the submission described in this AusPAR. It may have been superseded. For the most recent PI, please refer to the TGA website at &lt;</w:t>
          </w:r>
          <w:hyperlink r:id="rId1" w:history="1">
            <w:r w:rsidRPr="00E61D02">
              <w:rPr>
                <w:rStyle w:val="Hyperlink"/>
                <w:rFonts w:ascii="Cambria" w:hAnsi="Cambria"/>
                <w:sz w:val="20"/>
                <w:szCs w:val="20"/>
              </w:rPr>
              <w:t>https://www.tga.gov.au/product-information-pi</w:t>
            </w:r>
          </w:hyperlink>
          <w:r w:rsidRPr="00E61D02">
            <w:rPr>
              <w:rStyle w:val="Hyperlink"/>
              <w:rFonts w:ascii="Cambria" w:hAnsi="Cambria"/>
              <w:b/>
              <w:bCs/>
              <w:color w:val="auto"/>
              <w:sz w:val="20"/>
              <w:szCs w:val="20"/>
              <w:u w:val="none"/>
            </w:rPr>
            <w:t>&gt;.</w:t>
          </w:r>
        </w:p>
      </w:tc>
    </w:tr>
  </w:tbl>
  <w:p w14:paraId="5D3720CE" w14:textId="77777777" w:rsidR="00E61D02" w:rsidRDefault="00E61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DA12B" w14:textId="77777777" w:rsidR="00237676" w:rsidRDefault="00237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3A24370"/>
    <w:lvl w:ilvl="0">
      <w:start w:val="1"/>
      <w:numFmt w:val="bullet"/>
      <w:lvlText w:val="•"/>
      <w:lvlJc w:val="left"/>
      <w:pPr>
        <w:ind w:left="360" w:hanging="360"/>
      </w:pPr>
      <w:rPr>
        <w:rFonts w:ascii="Calibri" w:hAnsi="Calibri" w:cs="Times New Roman" w:hint="default"/>
        <w:color w:val="auto"/>
        <w:sz w:val="20"/>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93331"/>
    <w:multiLevelType w:val="hybridMultilevel"/>
    <w:tmpl w:val="7122A0F8"/>
    <w:lvl w:ilvl="0" w:tplc="B7BAE01A">
      <w:start w:val="1"/>
      <w:numFmt w:val="bullet"/>
      <w:lvlText w:val=""/>
      <w:lvlJc w:val="left"/>
      <w:pPr>
        <w:ind w:left="144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66384"/>
    <w:multiLevelType w:val="hybridMultilevel"/>
    <w:tmpl w:val="AB94C882"/>
    <w:lvl w:ilvl="0" w:tplc="F086EA4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30CCF"/>
    <w:multiLevelType w:val="hybridMultilevel"/>
    <w:tmpl w:val="FFFFFFFF"/>
    <w:lvl w:ilvl="0" w:tplc="BEC29BF8">
      <w:start w:val="1"/>
      <w:numFmt w:val="bullet"/>
      <w:lvlText w:val=""/>
      <w:lvlJc w:val="left"/>
      <w:pPr>
        <w:ind w:left="720" w:hanging="360"/>
      </w:pPr>
      <w:rPr>
        <w:rFonts w:ascii="Symbol" w:hAnsi="Symbol" w:hint="default"/>
      </w:rPr>
    </w:lvl>
    <w:lvl w:ilvl="1" w:tplc="FDC06BF4">
      <w:start w:val="1"/>
      <w:numFmt w:val="bullet"/>
      <w:lvlText w:val="o"/>
      <w:lvlJc w:val="left"/>
      <w:pPr>
        <w:ind w:left="1440" w:hanging="360"/>
      </w:pPr>
      <w:rPr>
        <w:rFonts w:ascii="Courier New" w:hAnsi="Courier New" w:hint="default"/>
      </w:rPr>
    </w:lvl>
    <w:lvl w:ilvl="2" w:tplc="C78CF5F6">
      <w:start w:val="1"/>
      <w:numFmt w:val="bullet"/>
      <w:lvlText w:val=""/>
      <w:lvlJc w:val="left"/>
      <w:pPr>
        <w:ind w:left="2160" w:hanging="360"/>
      </w:pPr>
      <w:rPr>
        <w:rFonts w:ascii="Wingdings" w:hAnsi="Wingdings" w:hint="default"/>
      </w:rPr>
    </w:lvl>
    <w:lvl w:ilvl="3" w:tplc="60285916">
      <w:start w:val="1"/>
      <w:numFmt w:val="bullet"/>
      <w:lvlText w:val=""/>
      <w:lvlJc w:val="left"/>
      <w:pPr>
        <w:ind w:left="2880" w:hanging="360"/>
      </w:pPr>
      <w:rPr>
        <w:rFonts w:ascii="Symbol" w:hAnsi="Symbol" w:hint="default"/>
      </w:rPr>
    </w:lvl>
    <w:lvl w:ilvl="4" w:tplc="1AA6BBF8">
      <w:start w:val="1"/>
      <w:numFmt w:val="bullet"/>
      <w:lvlText w:val="o"/>
      <w:lvlJc w:val="left"/>
      <w:pPr>
        <w:ind w:left="3600" w:hanging="360"/>
      </w:pPr>
      <w:rPr>
        <w:rFonts w:ascii="Courier New" w:hAnsi="Courier New" w:hint="default"/>
      </w:rPr>
    </w:lvl>
    <w:lvl w:ilvl="5" w:tplc="A722718C">
      <w:start w:val="1"/>
      <w:numFmt w:val="bullet"/>
      <w:lvlText w:val=""/>
      <w:lvlJc w:val="left"/>
      <w:pPr>
        <w:ind w:left="4320" w:hanging="360"/>
      </w:pPr>
      <w:rPr>
        <w:rFonts w:ascii="Wingdings" w:hAnsi="Wingdings" w:hint="default"/>
      </w:rPr>
    </w:lvl>
    <w:lvl w:ilvl="6" w:tplc="9C8C155A">
      <w:start w:val="1"/>
      <w:numFmt w:val="bullet"/>
      <w:lvlText w:val=""/>
      <w:lvlJc w:val="left"/>
      <w:pPr>
        <w:ind w:left="5040" w:hanging="360"/>
      </w:pPr>
      <w:rPr>
        <w:rFonts w:ascii="Symbol" w:hAnsi="Symbol" w:hint="default"/>
      </w:rPr>
    </w:lvl>
    <w:lvl w:ilvl="7" w:tplc="815C445E">
      <w:start w:val="1"/>
      <w:numFmt w:val="bullet"/>
      <w:lvlText w:val="o"/>
      <w:lvlJc w:val="left"/>
      <w:pPr>
        <w:ind w:left="5760" w:hanging="360"/>
      </w:pPr>
      <w:rPr>
        <w:rFonts w:ascii="Courier New" w:hAnsi="Courier New" w:hint="default"/>
      </w:rPr>
    </w:lvl>
    <w:lvl w:ilvl="8" w:tplc="45123D86">
      <w:start w:val="1"/>
      <w:numFmt w:val="bullet"/>
      <w:lvlText w:val=""/>
      <w:lvlJc w:val="left"/>
      <w:pPr>
        <w:ind w:left="6480" w:hanging="360"/>
      </w:pPr>
      <w:rPr>
        <w:rFonts w:ascii="Wingdings" w:hAnsi="Wingdings" w:hint="default"/>
      </w:rPr>
    </w:lvl>
  </w:abstractNum>
  <w:abstractNum w:abstractNumId="6" w15:restartNumberingAfterBreak="0">
    <w:nsid w:val="217420D7"/>
    <w:multiLevelType w:val="hybridMultilevel"/>
    <w:tmpl w:val="189C6A4A"/>
    <w:lvl w:ilvl="0" w:tplc="A5CAE1D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B93C82"/>
    <w:multiLevelType w:val="hybridMultilevel"/>
    <w:tmpl w:val="910C1E68"/>
    <w:lvl w:ilvl="0" w:tplc="C1E4C272">
      <w:start w:val="1"/>
      <w:numFmt w:val="bullet"/>
      <w:lvlText w:val=""/>
      <w:lvlJc w:val="left"/>
      <w:pPr>
        <w:ind w:left="720" w:hanging="360"/>
      </w:pPr>
      <w:rPr>
        <w:rFonts w:ascii="Symbol" w:hAnsi="Symbol" w:hint="default"/>
        <w:color w:val="000000" w:themeColor="text1"/>
      </w:rPr>
    </w:lvl>
    <w:lvl w:ilvl="1" w:tplc="6256EB32" w:tentative="1">
      <w:start w:val="1"/>
      <w:numFmt w:val="bullet"/>
      <w:lvlText w:val="o"/>
      <w:lvlJc w:val="left"/>
      <w:pPr>
        <w:ind w:left="1440" w:hanging="360"/>
      </w:pPr>
      <w:rPr>
        <w:rFonts w:ascii="Courier New" w:hAnsi="Courier New" w:cs="Courier New" w:hint="default"/>
      </w:rPr>
    </w:lvl>
    <w:lvl w:ilvl="2" w:tplc="7A5A5D46" w:tentative="1">
      <w:start w:val="1"/>
      <w:numFmt w:val="bullet"/>
      <w:lvlText w:val=""/>
      <w:lvlJc w:val="left"/>
      <w:pPr>
        <w:ind w:left="2160" w:hanging="360"/>
      </w:pPr>
      <w:rPr>
        <w:rFonts w:ascii="Wingdings" w:hAnsi="Wingdings" w:hint="default"/>
      </w:rPr>
    </w:lvl>
    <w:lvl w:ilvl="3" w:tplc="B54A5606" w:tentative="1">
      <w:start w:val="1"/>
      <w:numFmt w:val="bullet"/>
      <w:lvlText w:val=""/>
      <w:lvlJc w:val="left"/>
      <w:pPr>
        <w:ind w:left="2880" w:hanging="360"/>
      </w:pPr>
      <w:rPr>
        <w:rFonts w:ascii="Symbol" w:hAnsi="Symbol" w:hint="default"/>
      </w:rPr>
    </w:lvl>
    <w:lvl w:ilvl="4" w:tplc="94AE6540" w:tentative="1">
      <w:start w:val="1"/>
      <w:numFmt w:val="bullet"/>
      <w:lvlText w:val="o"/>
      <w:lvlJc w:val="left"/>
      <w:pPr>
        <w:ind w:left="3600" w:hanging="360"/>
      </w:pPr>
      <w:rPr>
        <w:rFonts w:ascii="Courier New" w:hAnsi="Courier New" w:cs="Courier New" w:hint="default"/>
      </w:rPr>
    </w:lvl>
    <w:lvl w:ilvl="5" w:tplc="B3A2FF88" w:tentative="1">
      <w:start w:val="1"/>
      <w:numFmt w:val="bullet"/>
      <w:lvlText w:val=""/>
      <w:lvlJc w:val="left"/>
      <w:pPr>
        <w:ind w:left="4320" w:hanging="360"/>
      </w:pPr>
      <w:rPr>
        <w:rFonts w:ascii="Wingdings" w:hAnsi="Wingdings" w:hint="default"/>
      </w:rPr>
    </w:lvl>
    <w:lvl w:ilvl="6" w:tplc="943EBB8C" w:tentative="1">
      <w:start w:val="1"/>
      <w:numFmt w:val="bullet"/>
      <w:lvlText w:val=""/>
      <w:lvlJc w:val="left"/>
      <w:pPr>
        <w:ind w:left="5040" w:hanging="360"/>
      </w:pPr>
      <w:rPr>
        <w:rFonts w:ascii="Symbol" w:hAnsi="Symbol" w:hint="default"/>
      </w:rPr>
    </w:lvl>
    <w:lvl w:ilvl="7" w:tplc="955C89B6" w:tentative="1">
      <w:start w:val="1"/>
      <w:numFmt w:val="bullet"/>
      <w:lvlText w:val="o"/>
      <w:lvlJc w:val="left"/>
      <w:pPr>
        <w:ind w:left="5760" w:hanging="360"/>
      </w:pPr>
      <w:rPr>
        <w:rFonts w:ascii="Courier New" w:hAnsi="Courier New" w:cs="Courier New" w:hint="default"/>
      </w:rPr>
    </w:lvl>
    <w:lvl w:ilvl="8" w:tplc="81A86F1A" w:tentative="1">
      <w:start w:val="1"/>
      <w:numFmt w:val="bullet"/>
      <w:lvlText w:val=""/>
      <w:lvlJc w:val="left"/>
      <w:pPr>
        <w:ind w:left="6480" w:hanging="360"/>
      </w:pPr>
      <w:rPr>
        <w:rFonts w:ascii="Wingdings" w:hAnsi="Wingdings" w:hint="default"/>
      </w:rPr>
    </w:lvl>
  </w:abstractNum>
  <w:abstractNum w:abstractNumId="9" w15:restartNumberingAfterBreak="0">
    <w:nsid w:val="46322377"/>
    <w:multiLevelType w:val="hybridMultilevel"/>
    <w:tmpl w:val="72883D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56369"/>
    <w:multiLevelType w:val="hybridMultilevel"/>
    <w:tmpl w:val="5D340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7F56E5"/>
    <w:multiLevelType w:val="hybridMultilevel"/>
    <w:tmpl w:val="BF5A9BB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6357F4"/>
    <w:multiLevelType w:val="hybridMultilevel"/>
    <w:tmpl w:val="579420CA"/>
    <w:lvl w:ilvl="0" w:tplc="A5CAE1D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777501"/>
    <w:multiLevelType w:val="hybridMultilevel"/>
    <w:tmpl w:val="13E8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97208"/>
    <w:multiLevelType w:val="hybridMultilevel"/>
    <w:tmpl w:val="EE860DB4"/>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
  </w:num>
  <w:num w:numId="4">
    <w:abstractNumId w:val="11"/>
  </w:num>
  <w:num w:numId="5">
    <w:abstractNumId w:val="21"/>
  </w:num>
  <w:num w:numId="6">
    <w:abstractNumId w:val="17"/>
  </w:num>
  <w:num w:numId="7">
    <w:abstractNumId w:val="14"/>
  </w:num>
  <w:num w:numId="8">
    <w:abstractNumId w:val="18"/>
  </w:num>
  <w:num w:numId="9">
    <w:abstractNumId w:val="7"/>
  </w:num>
  <w:num w:numId="10">
    <w:abstractNumId w:val="13"/>
  </w:num>
  <w:num w:numId="11">
    <w:abstractNumId w:val="5"/>
  </w:num>
  <w:num w:numId="12">
    <w:abstractNumId w:val="8"/>
  </w:num>
  <w:num w:numId="13">
    <w:abstractNumId w:val="9"/>
  </w:num>
  <w:num w:numId="14">
    <w:abstractNumId w:val="16"/>
  </w:num>
  <w:num w:numId="15">
    <w:abstractNumId w:val="12"/>
  </w:num>
  <w:num w:numId="16">
    <w:abstractNumId w:val="0"/>
  </w:num>
  <w:num w:numId="17">
    <w:abstractNumId w:val="20"/>
  </w:num>
  <w:num w:numId="18">
    <w:abstractNumId w:val="16"/>
  </w:num>
  <w:num w:numId="19">
    <w:abstractNumId w:val="16"/>
  </w:num>
  <w:num w:numId="20">
    <w:abstractNumId w:val="3"/>
  </w:num>
  <w:num w:numId="21">
    <w:abstractNumId w:val="16"/>
  </w:num>
  <w:num w:numId="22">
    <w:abstractNumId w:val="19"/>
  </w:num>
  <w:num w:numId="23">
    <w:abstractNumId w:val="4"/>
  </w:num>
  <w:num w:numId="24">
    <w:abstractNumId w:val="15"/>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8F"/>
    <w:rsid w:val="0001192E"/>
    <w:rsid w:val="000133F2"/>
    <w:rsid w:val="00015AD2"/>
    <w:rsid w:val="00020DBF"/>
    <w:rsid w:val="000216F5"/>
    <w:rsid w:val="00021F78"/>
    <w:rsid w:val="00030C28"/>
    <w:rsid w:val="000362EA"/>
    <w:rsid w:val="00042302"/>
    <w:rsid w:val="00044C0A"/>
    <w:rsid w:val="00045401"/>
    <w:rsid w:val="000569F8"/>
    <w:rsid w:val="00060BD5"/>
    <w:rsid w:val="00063F1A"/>
    <w:rsid w:val="000645F1"/>
    <w:rsid w:val="00065FA2"/>
    <w:rsid w:val="00067FEF"/>
    <w:rsid w:val="00070C5B"/>
    <w:rsid w:val="00070F58"/>
    <w:rsid w:val="000755AE"/>
    <w:rsid w:val="00076C22"/>
    <w:rsid w:val="000823B7"/>
    <w:rsid w:val="00085F78"/>
    <w:rsid w:val="00087347"/>
    <w:rsid w:val="00093797"/>
    <w:rsid w:val="000B7226"/>
    <w:rsid w:val="000C072B"/>
    <w:rsid w:val="000C5185"/>
    <w:rsid w:val="000D444E"/>
    <w:rsid w:val="000D4CB2"/>
    <w:rsid w:val="000E14E0"/>
    <w:rsid w:val="000E28CE"/>
    <w:rsid w:val="000F141B"/>
    <w:rsid w:val="000F34C9"/>
    <w:rsid w:val="0010678F"/>
    <w:rsid w:val="001127A8"/>
    <w:rsid w:val="0011513C"/>
    <w:rsid w:val="00127323"/>
    <w:rsid w:val="0015201C"/>
    <w:rsid w:val="001629E5"/>
    <w:rsid w:val="0016539D"/>
    <w:rsid w:val="00167E70"/>
    <w:rsid w:val="0017430D"/>
    <w:rsid w:val="0018728E"/>
    <w:rsid w:val="00187CB2"/>
    <w:rsid w:val="001952FC"/>
    <w:rsid w:val="001A3992"/>
    <w:rsid w:val="001A7D8B"/>
    <w:rsid w:val="001B03C4"/>
    <w:rsid w:val="001C4B7C"/>
    <w:rsid w:val="001D6750"/>
    <w:rsid w:val="001E60A8"/>
    <w:rsid w:val="00202B29"/>
    <w:rsid w:val="00204154"/>
    <w:rsid w:val="0021200F"/>
    <w:rsid w:val="00213832"/>
    <w:rsid w:val="00213DB7"/>
    <w:rsid w:val="00220DE8"/>
    <w:rsid w:val="002233E5"/>
    <w:rsid w:val="00237676"/>
    <w:rsid w:val="002423DB"/>
    <w:rsid w:val="00243971"/>
    <w:rsid w:val="002439AD"/>
    <w:rsid w:val="00247F68"/>
    <w:rsid w:val="00252E65"/>
    <w:rsid w:val="0025658C"/>
    <w:rsid w:val="002576E3"/>
    <w:rsid w:val="002730F6"/>
    <w:rsid w:val="00276715"/>
    <w:rsid w:val="00285173"/>
    <w:rsid w:val="002859D4"/>
    <w:rsid w:val="0029029C"/>
    <w:rsid w:val="00291913"/>
    <w:rsid w:val="002A5B60"/>
    <w:rsid w:val="002C08AB"/>
    <w:rsid w:val="002D182B"/>
    <w:rsid w:val="002D40F9"/>
    <w:rsid w:val="002E277D"/>
    <w:rsid w:val="002F24FD"/>
    <w:rsid w:val="002F489D"/>
    <w:rsid w:val="002F7C79"/>
    <w:rsid w:val="0031377E"/>
    <w:rsid w:val="00316ECA"/>
    <w:rsid w:val="00345E6E"/>
    <w:rsid w:val="00356FBF"/>
    <w:rsid w:val="003633C6"/>
    <w:rsid w:val="003634DF"/>
    <w:rsid w:val="00372537"/>
    <w:rsid w:val="00375DF3"/>
    <w:rsid w:val="00384069"/>
    <w:rsid w:val="00392A0D"/>
    <w:rsid w:val="003A129E"/>
    <w:rsid w:val="003A7B19"/>
    <w:rsid w:val="003B320A"/>
    <w:rsid w:val="003B6B70"/>
    <w:rsid w:val="003B756A"/>
    <w:rsid w:val="003D0B74"/>
    <w:rsid w:val="003D7808"/>
    <w:rsid w:val="003E0745"/>
    <w:rsid w:val="003E15ED"/>
    <w:rsid w:val="003E3651"/>
    <w:rsid w:val="00402D66"/>
    <w:rsid w:val="00414C0D"/>
    <w:rsid w:val="00417AFA"/>
    <w:rsid w:val="00417B14"/>
    <w:rsid w:val="00417D58"/>
    <w:rsid w:val="0042589F"/>
    <w:rsid w:val="00431ACD"/>
    <w:rsid w:val="004367BB"/>
    <w:rsid w:val="00446B91"/>
    <w:rsid w:val="00452B43"/>
    <w:rsid w:val="0046144A"/>
    <w:rsid w:val="0047753B"/>
    <w:rsid w:val="004776E2"/>
    <w:rsid w:val="00477768"/>
    <w:rsid w:val="0048237F"/>
    <w:rsid w:val="00482620"/>
    <w:rsid w:val="00490C5C"/>
    <w:rsid w:val="0049301D"/>
    <w:rsid w:val="004936E4"/>
    <w:rsid w:val="004A1D75"/>
    <w:rsid w:val="004B6B19"/>
    <w:rsid w:val="004C0BE0"/>
    <w:rsid w:val="004C27E4"/>
    <w:rsid w:val="004C2A15"/>
    <w:rsid w:val="004E4B29"/>
    <w:rsid w:val="004E5BE3"/>
    <w:rsid w:val="004F094C"/>
    <w:rsid w:val="004F49FD"/>
    <w:rsid w:val="004F78CD"/>
    <w:rsid w:val="00514BD4"/>
    <w:rsid w:val="005171C6"/>
    <w:rsid w:val="0052327E"/>
    <w:rsid w:val="00524799"/>
    <w:rsid w:val="005305D3"/>
    <w:rsid w:val="00531EBC"/>
    <w:rsid w:val="00535E3E"/>
    <w:rsid w:val="0053634D"/>
    <w:rsid w:val="005363B7"/>
    <w:rsid w:val="00536C4B"/>
    <w:rsid w:val="00543501"/>
    <w:rsid w:val="0055230C"/>
    <w:rsid w:val="00553256"/>
    <w:rsid w:val="005575F4"/>
    <w:rsid w:val="0056101E"/>
    <w:rsid w:val="00573F33"/>
    <w:rsid w:val="005830ED"/>
    <w:rsid w:val="00587045"/>
    <w:rsid w:val="00592699"/>
    <w:rsid w:val="005A4319"/>
    <w:rsid w:val="005A5410"/>
    <w:rsid w:val="005B2812"/>
    <w:rsid w:val="005D0540"/>
    <w:rsid w:val="005E7528"/>
    <w:rsid w:val="005F2515"/>
    <w:rsid w:val="005F3D84"/>
    <w:rsid w:val="005F5893"/>
    <w:rsid w:val="006018AE"/>
    <w:rsid w:val="00604F93"/>
    <w:rsid w:val="0060635B"/>
    <w:rsid w:val="0061506C"/>
    <w:rsid w:val="0061590F"/>
    <w:rsid w:val="00631E1F"/>
    <w:rsid w:val="006355E3"/>
    <w:rsid w:val="00635FCC"/>
    <w:rsid w:val="00637F08"/>
    <w:rsid w:val="00643459"/>
    <w:rsid w:val="0064610E"/>
    <w:rsid w:val="00652BBA"/>
    <w:rsid w:val="00653859"/>
    <w:rsid w:val="00661D28"/>
    <w:rsid w:val="00663880"/>
    <w:rsid w:val="0067681E"/>
    <w:rsid w:val="006776E5"/>
    <w:rsid w:val="006807BA"/>
    <w:rsid w:val="006900F2"/>
    <w:rsid w:val="006913AF"/>
    <w:rsid w:val="006960A4"/>
    <w:rsid w:val="006A1A3C"/>
    <w:rsid w:val="006A2F54"/>
    <w:rsid w:val="006A31A4"/>
    <w:rsid w:val="006B0C91"/>
    <w:rsid w:val="006B3139"/>
    <w:rsid w:val="006B316B"/>
    <w:rsid w:val="006B5FA9"/>
    <w:rsid w:val="006B76A7"/>
    <w:rsid w:val="006D0757"/>
    <w:rsid w:val="006D34D8"/>
    <w:rsid w:val="006D546A"/>
    <w:rsid w:val="006E2777"/>
    <w:rsid w:val="006E6428"/>
    <w:rsid w:val="00711D99"/>
    <w:rsid w:val="00713596"/>
    <w:rsid w:val="00727E89"/>
    <w:rsid w:val="00734ED6"/>
    <w:rsid w:val="0074001A"/>
    <w:rsid w:val="00741846"/>
    <w:rsid w:val="0074282A"/>
    <w:rsid w:val="00743A77"/>
    <w:rsid w:val="00745468"/>
    <w:rsid w:val="00746FA8"/>
    <w:rsid w:val="00751B82"/>
    <w:rsid w:val="0077146A"/>
    <w:rsid w:val="007715FB"/>
    <w:rsid w:val="00775A44"/>
    <w:rsid w:val="00784297"/>
    <w:rsid w:val="00785E08"/>
    <w:rsid w:val="00786CBC"/>
    <w:rsid w:val="007A2BC2"/>
    <w:rsid w:val="007A77DA"/>
    <w:rsid w:val="007A788D"/>
    <w:rsid w:val="007B78E8"/>
    <w:rsid w:val="007C5016"/>
    <w:rsid w:val="007C66C8"/>
    <w:rsid w:val="007D4978"/>
    <w:rsid w:val="007E12D2"/>
    <w:rsid w:val="007E4572"/>
    <w:rsid w:val="007F2B78"/>
    <w:rsid w:val="007F341E"/>
    <w:rsid w:val="008004F1"/>
    <w:rsid w:val="00811DD4"/>
    <w:rsid w:val="008121BB"/>
    <w:rsid w:val="00816DAB"/>
    <w:rsid w:val="0081744E"/>
    <w:rsid w:val="00817B3D"/>
    <w:rsid w:val="0082089E"/>
    <w:rsid w:val="008213F9"/>
    <w:rsid w:val="008305DA"/>
    <w:rsid w:val="00837F00"/>
    <w:rsid w:val="00841CE9"/>
    <w:rsid w:val="00855AA8"/>
    <w:rsid w:val="00857472"/>
    <w:rsid w:val="008629DA"/>
    <w:rsid w:val="00871C99"/>
    <w:rsid w:val="008764A8"/>
    <w:rsid w:val="0088028D"/>
    <w:rsid w:val="00880F49"/>
    <w:rsid w:val="008936BE"/>
    <w:rsid w:val="008A00A5"/>
    <w:rsid w:val="008B394B"/>
    <w:rsid w:val="008B3A35"/>
    <w:rsid w:val="008B7125"/>
    <w:rsid w:val="008B7FFA"/>
    <w:rsid w:val="008C2D8D"/>
    <w:rsid w:val="008E2ABA"/>
    <w:rsid w:val="00905FE6"/>
    <w:rsid w:val="00911DEA"/>
    <w:rsid w:val="00912A02"/>
    <w:rsid w:val="00916A0E"/>
    <w:rsid w:val="009268D5"/>
    <w:rsid w:val="00926AF0"/>
    <w:rsid w:val="00940AA4"/>
    <w:rsid w:val="00960CD5"/>
    <w:rsid w:val="00973550"/>
    <w:rsid w:val="00977650"/>
    <w:rsid w:val="00977ED4"/>
    <w:rsid w:val="00990B43"/>
    <w:rsid w:val="0099242E"/>
    <w:rsid w:val="0099290A"/>
    <w:rsid w:val="00993F53"/>
    <w:rsid w:val="009958D0"/>
    <w:rsid w:val="009A562D"/>
    <w:rsid w:val="009B701C"/>
    <w:rsid w:val="009C479F"/>
    <w:rsid w:val="009C56DA"/>
    <w:rsid w:val="009D4A20"/>
    <w:rsid w:val="009E3C66"/>
    <w:rsid w:val="00A01E7A"/>
    <w:rsid w:val="00A0611A"/>
    <w:rsid w:val="00A10F2A"/>
    <w:rsid w:val="00A304BE"/>
    <w:rsid w:val="00A43686"/>
    <w:rsid w:val="00A52FAA"/>
    <w:rsid w:val="00A53EFF"/>
    <w:rsid w:val="00A55C09"/>
    <w:rsid w:val="00A64655"/>
    <w:rsid w:val="00A719FE"/>
    <w:rsid w:val="00A946EC"/>
    <w:rsid w:val="00A95F03"/>
    <w:rsid w:val="00AA7DF9"/>
    <w:rsid w:val="00AB0294"/>
    <w:rsid w:val="00AB36A5"/>
    <w:rsid w:val="00AB43B8"/>
    <w:rsid w:val="00AC0215"/>
    <w:rsid w:val="00AC28BF"/>
    <w:rsid w:val="00AC4F18"/>
    <w:rsid w:val="00AC59C7"/>
    <w:rsid w:val="00AE5909"/>
    <w:rsid w:val="00AF0EF1"/>
    <w:rsid w:val="00AF238D"/>
    <w:rsid w:val="00B10891"/>
    <w:rsid w:val="00B27046"/>
    <w:rsid w:val="00B31BBE"/>
    <w:rsid w:val="00B454D8"/>
    <w:rsid w:val="00B467D4"/>
    <w:rsid w:val="00B54009"/>
    <w:rsid w:val="00B557DB"/>
    <w:rsid w:val="00B55B4D"/>
    <w:rsid w:val="00B63777"/>
    <w:rsid w:val="00B64D4F"/>
    <w:rsid w:val="00B7267E"/>
    <w:rsid w:val="00B76021"/>
    <w:rsid w:val="00B765B9"/>
    <w:rsid w:val="00BA16AE"/>
    <w:rsid w:val="00BA1D52"/>
    <w:rsid w:val="00BA4693"/>
    <w:rsid w:val="00BA651F"/>
    <w:rsid w:val="00BB096B"/>
    <w:rsid w:val="00BB3B10"/>
    <w:rsid w:val="00BB7299"/>
    <w:rsid w:val="00BC0EE4"/>
    <w:rsid w:val="00BE2A26"/>
    <w:rsid w:val="00BF5B22"/>
    <w:rsid w:val="00C03CB9"/>
    <w:rsid w:val="00C0430F"/>
    <w:rsid w:val="00C05E64"/>
    <w:rsid w:val="00C0667F"/>
    <w:rsid w:val="00C06A9C"/>
    <w:rsid w:val="00C07AEE"/>
    <w:rsid w:val="00C07D37"/>
    <w:rsid w:val="00C42C3E"/>
    <w:rsid w:val="00C56686"/>
    <w:rsid w:val="00C61FDB"/>
    <w:rsid w:val="00C931CC"/>
    <w:rsid w:val="00CA1311"/>
    <w:rsid w:val="00CA3744"/>
    <w:rsid w:val="00CC1405"/>
    <w:rsid w:val="00CD0468"/>
    <w:rsid w:val="00CD6AFB"/>
    <w:rsid w:val="00CE4CF4"/>
    <w:rsid w:val="00CE6D5D"/>
    <w:rsid w:val="00D058E0"/>
    <w:rsid w:val="00D16060"/>
    <w:rsid w:val="00D19432"/>
    <w:rsid w:val="00D307D4"/>
    <w:rsid w:val="00D35F3B"/>
    <w:rsid w:val="00D50A08"/>
    <w:rsid w:val="00D529CA"/>
    <w:rsid w:val="00D54FBE"/>
    <w:rsid w:val="00D624C2"/>
    <w:rsid w:val="00D63A50"/>
    <w:rsid w:val="00D7672E"/>
    <w:rsid w:val="00D7727C"/>
    <w:rsid w:val="00D773E6"/>
    <w:rsid w:val="00D854D7"/>
    <w:rsid w:val="00D90918"/>
    <w:rsid w:val="00D9469C"/>
    <w:rsid w:val="00DA3259"/>
    <w:rsid w:val="00DA6011"/>
    <w:rsid w:val="00DA74B3"/>
    <w:rsid w:val="00DB56F5"/>
    <w:rsid w:val="00DB7FBA"/>
    <w:rsid w:val="00DC08AF"/>
    <w:rsid w:val="00DC7F20"/>
    <w:rsid w:val="00DD031F"/>
    <w:rsid w:val="00DE0696"/>
    <w:rsid w:val="00DE3E29"/>
    <w:rsid w:val="00E05B86"/>
    <w:rsid w:val="00E06798"/>
    <w:rsid w:val="00E17BB7"/>
    <w:rsid w:val="00E20A99"/>
    <w:rsid w:val="00E271C2"/>
    <w:rsid w:val="00E37A5E"/>
    <w:rsid w:val="00E41153"/>
    <w:rsid w:val="00E46690"/>
    <w:rsid w:val="00E50B49"/>
    <w:rsid w:val="00E61D02"/>
    <w:rsid w:val="00E64D84"/>
    <w:rsid w:val="00E6728F"/>
    <w:rsid w:val="00E7289D"/>
    <w:rsid w:val="00E74A56"/>
    <w:rsid w:val="00E76C64"/>
    <w:rsid w:val="00E805CA"/>
    <w:rsid w:val="00E87E4A"/>
    <w:rsid w:val="00E900AE"/>
    <w:rsid w:val="00E94834"/>
    <w:rsid w:val="00E961A4"/>
    <w:rsid w:val="00EB1193"/>
    <w:rsid w:val="00EB13EA"/>
    <w:rsid w:val="00EB3B6F"/>
    <w:rsid w:val="00ED1837"/>
    <w:rsid w:val="00ED6296"/>
    <w:rsid w:val="00ED76C2"/>
    <w:rsid w:val="00EE2CD6"/>
    <w:rsid w:val="00EE3C16"/>
    <w:rsid w:val="00EE60AB"/>
    <w:rsid w:val="00EE72DB"/>
    <w:rsid w:val="00EF75DF"/>
    <w:rsid w:val="00EF798D"/>
    <w:rsid w:val="00F01503"/>
    <w:rsid w:val="00F06185"/>
    <w:rsid w:val="00F1077F"/>
    <w:rsid w:val="00F13CB0"/>
    <w:rsid w:val="00F17F74"/>
    <w:rsid w:val="00F214BF"/>
    <w:rsid w:val="00F32B62"/>
    <w:rsid w:val="00F3442D"/>
    <w:rsid w:val="00F4132C"/>
    <w:rsid w:val="00F500A4"/>
    <w:rsid w:val="00F579B6"/>
    <w:rsid w:val="00F65FFE"/>
    <w:rsid w:val="00F72C84"/>
    <w:rsid w:val="00F73262"/>
    <w:rsid w:val="00F73D90"/>
    <w:rsid w:val="00F75F60"/>
    <w:rsid w:val="00F7702D"/>
    <w:rsid w:val="00F837CE"/>
    <w:rsid w:val="00F90628"/>
    <w:rsid w:val="00F92017"/>
    <w:rsid w:val="00F933F8"/>
    <w:rsid w:val="00F96934"/>
    <w:rsid w:val="00F97B7C"/>
    <w:rsid w:val="00FA1F8C"/>
    <w:rsid w:val="00FA2D2A"/>
    <w:rsid w:val="00FC16FE"/>
    <w:rsid w:val="00FC1C7D"/>
    <w:rsid w:val="00FC4DCE"/>
    <w:rsid w:val="00FC6F12"/>
    <w:rsid w:val="00FD6C4C"/>
    <w:rsid w:val="00FF7CA6"/>
    <w:rsid w:val="0117F4AD"/>
    <w:rsid w:val="04139B25"/>
    <w:rsid w:val="042FA802"/>
    <w:rsid w:val="049CE7C2"/>
    <w:rsid w:val="0568C3D3"/>
    <w:rsid w:val="063E8557"/>
    <w:rsid w:val="07542234"/>
    <w:rsid w:val="0837FD11"/>
    <w:rsid w:val="08FE34D2"/>
    <w:rsid w:val="09327BFC"/>
    <w:rsid w:val="0AB69F48"/>
    <w:rsid w:val="0D0B39C0"/>
    <w:rsid w:val="0DD0F11A"/>
    <w:rsid w:val="0DEED426"/>
    <w:rsid w:val="0E4BED2C"/>
    <w:rsid w:val="0EFC406A"/>
    <w:rsid w:val="0FF4F9EE"/>
    <w:rsid w:val="12B51AC3"/>
    <w:rsid w:val="14F22383"/>
    <w:rsid w:val="157535B2"/>
    <w:rsid w:val="1843A1FC"/>
    <w:rsid w:val="1960D4B8"/>
    <w:rsid w:val="1B52A5F2"/>
    <w:rsid w:val="1C2E9E85"/>
    <w:rsid w:val="1C8108CD"/>
    <w:rsid w:val="1CCDB0B6"/>
    <w:rsid w:val="1F067FDB"/>
    <w:rsid w:val="2044ECD8"/>
    <w:rsid w:val="2156AAEB"/>
    <w:rsid w:val="22C85346"/>
    <w:rsid w:val="23C3EEFA"/>
    <w:rsid w:val="24034983"/>
    <w:rsid w:val="2711C94B"/>
    <w:rsid w:val="2A99C70D"/>
    <w:rsid w:val="2AE0C0D2"/>
    <w:rsid w:val="2B7F7657"/>
    <w:rsid w:val="2D7FC09D"/>
    <w:rsid w:val="2EB9DEB6"/>
    <w:rsid w:val="2F94C3EE"/>
    <w:rsid w:val="302CB66A"/>
    <w:rsid w:val="3039BF1D"/>
    <w:rsid w:val="31521971"/>
    <w:rsid w:val="315A38CD"/>
    <w:rsid w:val="3266C486"/>
    <w:rsid w:val="34C7F0A8"/>
    <w:rsid w:val="37A4ECBC"/>
    <w:rsid w:val="3872D032"/>
    <w:rsid w:val="39CAA9AC"/>
    <w:rsid w:val="3A58AE0E"/>
    <w:rsid w:val="3E042B99"/>
    <w:rsid w:val="3F7E1D07"/>
    <w:rsid w:val="4119ED68"/>
    <w:rsid w:val="41AB4A8F"/>
    <w:rsid w:val="41FBC9F6"/>
    <w:rsid w:val="462D824F"/>
    <w:rsid w:val="4645F1DB"/>
    <w:rsid w:val="4703A1C4"/>
    <w:rsid w:val="473790AD"/>
    <w:rsid w:val="497BED19"/>
    <w:rsid w:val="4A422A2C"/>
    <w:rsid w:val="4B68954D"/>
    <w:rsid w:val="4C6C7CBE"/>
    <w:rsid w:val="5464083D"/>
    <w:rsid w:val="57B044F2"/>
    <w:rsid w:val="599A7AF0"/>
    <w:rsid w:val="5AE0614B"/>
    <w:rsid w:val="5B2C5272"/>
    <w:rsid w:val="5D0699DA"/>
    <w:rsid w:val="5D82E203"/>
    <w:rsid w:val="5DC2DFD7"/>
    <w:rsid w:val="5E63F334"/>
    <w:rsid w:val="5F5CC092"/>
    <w:rsid w:val="607FA09C"/>
    <w:rsid w:val="632927EA"/>
    <w:rsid w:val="6582DE20"/>
    <w:rsid w:val="6645B21A"/>
    <w:rsid w:val="6689D5A0"/>
    <w:rsid w:val="67940789"/>
    <w:rsid w:val="68BA7EE2"/>
    <w:rsid w:val="6A972687"/>
    <w:rsid w:val="6B003ACD"/>
    <w:rsid w:val="6BAD25B6"/>
    <w:rsid w:val="6BC982D8"/>
    <w:rsid w:val="6BF21FA4"/>
    <w:rsid w:val="6CD28F85"/>
    <w:rsid w:val="6F4E0452"/>
    <w:rsid w:val="6FAA7A6F"/>
    <w:rsid w:val="6FF38DA0"/>
    <w:rsid w:val="71B9A546"/>
    <w:rsid w:val="73F4A7D1"/>
    <w:rsid w:val="76025885"/>
    <w:rsid w:val="7849BFC2"/>
    <w:rsid w:val="78D72425"/>
    <w:rsid w:val="794CE0B9"/>
    <w:rsid w:val="7F10A9B7"/>
    <w:rsid w:val="7F8289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3247"/>
  <w15:docId w15:val="{C129207D-C388-40B1-802C-AE9C5428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character" w:customStyle="1" w:styleId="Mention2">
    <w:name w:val="Mention2"/>
    <w:basedOn w:val="DefaultParagraphFont"/>
    <w:uiPriority w:val="99"/>
    <w:unhideWhenUsed/>
    <w:rsid w:val="006A1A3C"/>
    <w:rPr>
      <w:color w:val="2B579A"/>
      <w:shd w:val="clear" w:color="auto" w:fill="E6E6E6"/>
    </w:rPr>
  </w:style>
  <w:style w:type="character" w:customStyle="1" w:styleId="normaltextrun">
    <w:name w:val="normaltextrun"/>
    <w:basedOn w:val="DefaultParagraphFont"/>
    <w:rsid w:val="00FC4DCE"/>
  </w:style>
  <w:style w:type="table" w:styleId="TableGrid">
    <w:name w:val="Table Grid"/>
    <w:basedOn w:val="TableNormal"/>
    <w:uiPriority w:val="59"/>
    <w:rsid w:val="004C2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4C2A15"/>
    <w:pPr>
      <w:spacing w:after="120" w:line="240" w:lineRule="auto"/>
      <w:ind w:left="720"/>
    </w:pPr>
    <w:rPr>
      <w:rFonts w:ascii="Times New Roman" w:eastAsia="Times New Roman" w:hAnsi="Times New Roman" w:cs="Times New Roman"/>
      <w:szCs w:val="20"/>
      <w:lang w:val="en-GB" w:eastAsia="en-GB"/>
    </w:rPr>
  </w:style>
  <w:style w:type="paragraph" w:customStyle="1" w:styleId="GlobalSubmitTableFootnote">
    <w:name w:val="GlobalSubmit Table Footnote"/>
    <w:basedOn w:val="Normal"/>
    <w:next w:val="Normal"/>
    <w:rsid w:val="004C2A15"/>
    <w:pPr>
      <w:tabs>
        <w:tab w:val="left" w:pos="360"/>
      </w:tabs>
      <w:spacing w:after="0" w:line="240" w:lineRule="auto"/>
      <w:ind w:left="360" w:hanging="360"/>
    </w:pPr>
    <w:rPr>
      <w:rFonts w:ascii="Times New Roman" w:eastAsia="Arial Unicode MS" w:hAnsi="Times New Roman" w:cs="Times New Roman"/>
      <w:sz w:val="20"/>
      <w:szCs w:val="24"/>
      <w:lang w:val="en-US"/>
    </w:rPr>
  </w:style>
  <w:style w:type="character" w:customStyle="1" w:styleId="Mention3">
    <w:name w:val="Mention3"/>
    <w:basedOn w:val="DefaultParagraphFont"/>
    <w:uiPriority w:val="99"/>
    <w:unhideWhenUsed/>
    <w:rsid w:val="004C2A15"/>
    <w:rPr>
      <w:color w:val="2B579A"/>
      <w:shd w:val="clear" w:color="auto" w:fill="E6E6E6"/>
    </w:rPr>
  </w:style>
  <w:style w:type="character" w:customStyle="1" w:styleId="eop">
    <w:name w:val="eop"/>
    <w:basedOn w:val="DefaultParagraphFont"/>
    <w:rsid w:val="004C2A15"/>
  </w:style>
  <w:style w:type="paragraph" w:styleId="CommentSubject">
    <w:name w:val="annotation subject"/>
    <w:basedOn w:val="CommentText"/>
    <w:next w:val="CommentText"/>
    <w:link w:val="CommentSubjectChar"/>
    <w:uiPriority w:val="99"/>
    <w:semiHidden/>
    <w:unhideWhenUsed/>
    <w:rsid w:val="007F2B78"/>
    <w:rPr>
      <w:rFonts w:asciiTheme="minorHAnsi" w:hAnsiTheme="minorHAnsi"/>
      <w:b/>
      <w:bCs/>
    </w:rPr>
  </w:style>
  <w:style w:type="character" w:customStyle="1" w:styleId="CommentSubjectChar">
    <w:name w:val="Comment Subject Char"/>
    <w:basedOn w:val="CommentTextChar"/>
    <w:link w:val="CommentSubject"/>
    <w:uiPriority w:val="99"/>
    <w:semiHidden/>
    <w:rsid w:val="007F2B78"/>
    <w:rPr>
      <w:rFonts w:ascii="Cambria" w:hAnsi="Cambria"/>
      <w:b/>
      <w:bCs/>
      <w:sz w:val="20"/>
      <w:szCs w:val="20"/>
    </w:rPr>
  </w:style>
  <w:style w:type="paragraph" w:customStyle="1" w:styleId="Default">
    <w:name w:val="Default"/>
    <w:rsid w:val="000216F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E3C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5E7528"/>
    <w:rPr>
      <w:color w:val="605E5C"/>
      <w:shd w:val="clear" w:color="auto" w:fill="E1DFDD"/>
    </w:rPr>
  </w:style>
  <w:style w:type="paragraph" w:styleId="Revision">
    <w:name w:val="Revision"/>
    <w:hidden/>
    <w:uiPriority w:val="99"/>
    <w:semiHidden/>
    <w:rsid w:val="00713596"/>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F0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94C"/>
  </w:style>
  <w:style w:type="character" w:customStyle="1" w:styleId="cf01">
    <w:name w:val="cf01"/>
    <w:basedOn w:val="DefaultParagraphFont"/>
    <w:rsid w:val="003A7B19"/>
    <w:rPr>
      <w:rFonts w:ascii="Segoe UI" w:hAnsi="Segoe UI" w:cs="Segoe UI" w:hint="default"/>
      <w:sz w:val="18"/>
      <w:szCs w:val="18"/>
    </w:rPr>
  </w:style>
  <w:style w:type="paragraph" w:customStyle="1" w:styleId="GlobalSubmitBodyText">
    <w:name w:val="GlobalSubmit Body Text"/>
    <w:qFormat/>
    <w:rsid w:val="00021F78"/>
    <w:pPr>
      <w:spacing w:before="120" w:after="120" w:line="240" w:lineRule="auto"/>
    </w:pPr>
    <w:rPr>
      <w:rFonts w:ascii="Times New Roman" w:eastAsia="Arial Unicode MS" w:hAnsi="Times New Roman" w:cs="Times New Roman"/>
      <w:sz w:val="24"/>
      <w:szCs w:val="24"/>
      <w:lang w:val="en-US"/>
    </w:rPr>
  </w:style>
  <w:style w:type="character" w:customStyle="1" w:styleId="Cross-ref">
    <w:name w:val="Cross-ref"/>
    <w:basedOn w:val="DefaultParagraphFont"/>
    <w:uiPriority w:val="1"/>
    <w:qFormat/>
    <w:rsid w:val="00021F7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39305">
      <w:bodyDiv w:val="1"/>
      <w:marLeft w:val="0"/>
      <w:marRight w:val="0"/>
      <w:marTop w:val="0"/>
      <w:marBottom w:val="0"/>
      <w:divBdr>
        <w:top w:val="none" w:sz="0" w:space="0" w:color="auto"/>
        <w:left w:val="none" w:sz="0" w:space="0" w:color="auto"/>
        <w:bottom w:val="none" w:sz="0" w:space="0" w:color="auto"/>
        <w:right w:val="none" w:sz="0" w:space="0" w:color="auto"/>
      </w:divBdr>
    </w:div>
    <w:div w:id="401292174">
      <w:bodyDiv w:val="1"/>
      <w:marLeft w:val="0"/>
      <w:marRight w:val="0"/>
      <w:marTop w:val="0"/>
      <w:marBottom w:val="0"/>
      <w:divBdr>
        <w:top w:val="none" w:sz="0" w:space="0" w:color="auto"/>
        <w:left w:val="none" w:sz="0" w:space="0" w:color="auto"/>
        <w:bottom w:val="none" w:sz="0" w:space="0" w:color="auto"/>
        <w:right w:val="none" w:sz="0" w:space="0" w:color="auto"/>
      </w:divBdr>
    </w:div>
    <w:div w:id="999698792">
      <w:bodyDiv w:val="1"/>
      <w:marLeft w:val="0"/>
      <w:marRight w:val="0"/>
      <w:marTop w:val="0"/>
      <w:marBottom w:val="0"/>
      <w:divBdr>
        <w:top w:val="none" w:sz="0" w:space="0" w:color="auto"/>
        <w:left w:val="none" w:sz="0" w:space="0" w:color="auto"/>
        <w:bottom w:val="none" w:sz="0" w:space="0" w:color="auto"/>
        <w:right w:val="none" w:sz="0" w:space="0" w:color="auto"/>
      </w:divBdr>
      <w:divsChild>
        <w:div w:id="1600405218">
          <w:marLeft w:val="0"/>
          <w:marRight w:val="0"/>
          <w:marTop w:val="0"/>
          <w:marBottom w:val="0"/>
          <w:divBdr>
            <w:top w:val="none" w:sz="0" w:space="0" w:color="auto"/>
            <w:left w:val="none" w:sz="0" w:space="0" w:color="auto"/>
            <w:bottom w:val="none" w:sz="0" w:space="0" w:color="auto"/>
            <w:right w:val="none" w:sz="0" w:space="0" w:color="auto"/>
          </w:divBdr>
        </w:div>
        <w:div w:id="49086504">
          <w:marLeft w:val="0"/>
          <w:marRight w:val="0"/>
          <w:marTop w:val="0"/>
          <w:marBottom w:val="0"/>
          <w:divBdr>
            <w:top w:val="none" w:sz="0" w:space="0" w:color="auto"/>
            <w:left w:val="none" w:sz="0" w:space="0" w:color="auto"/>
            <w:bottom w:val="none" w:sz="0" w:space="0" w:color="auto"/>
            <w:right w:val="none" w:sz="0" w:space="0" w:color="auto"/>
          </w:divBdr>
        </w:div>
        <w:div w:id="2043431081">
          <w:marLeft w:val="0"/>
          <w:marRight w:val="0"/>
          <w:marTop w:val="0"/>
          <w:marBottom w:val="0"/>
          <w:divBdr>
            <w:top w:val="none" w:sz="0" w:space="0" w:color="auto"/>
            <w:left w:val="none" w:sz="0" w:space="0" w:color="auto"/>
            <w:bottom w:val="none" w:sz="0" w:space="0" w:color="auto"/>
            <w:right w:val="none" w:sz="0" w:space="0" w:color="auto"/>
          </w:divBdr>
        </w:div>
        <w:div w:id="228228010">
          <w:marLeft w:val="0"/>
          <w:marRight w:val="0"/>
          <w:marTop w:val="0"/>
          <w:marBottom w:val="0"/>
          <w:divBdr>
            <w:top w:val="none" w:sz="0" w:space="0" w:color="auto"/>
            <w:left w:val="none" w:sz="0" w:space="0" w:color="auto"/>
            <w:bottom w:val="none" w:sz="0" w:space="0" w:color="auto"/>
            <w:right w:val="none" w:sz="0" w:space="0" w:color="auto"/>
          </w:divBdr>
        </w:div>
        <w:div w:id="1543902221">
          <w:marLeft w:val="0"/>
          <w:marRight w:val="0"/>
          <w:marTop w:val="0"/>
          <w:marBottom w:val="0"/>
          <w:divBdr>
            <w:top w:val="none" w:sz="0" w:space="0" w:color="auto"/>
            <w:left w:val="none" w:sz="0" w:space="0" w:color="auto"/>
            <w:bottom w:val="none" w:sz="0" w:space="0" w:color="auto"/>
            <w:right w:val="none" w:sz="0" w:space="0" w:color="auto"/>
          </w:divBdr>
        </w:div>
      </w:divsChild>
    </w:div>
    <w:div w:id="1008142506">
      <w:bodyDiv w:val="1"/>
      <w:marLeft w:val="0"/>
      <w:marRight w:val="0"/>
      <w:marTop w:val="0"/>
      <w:marBottom w:val="0"/>
      <w:divBdr>
        <w:top w:val="none" w:sz="0" w:space="0" w:color="auto"/>
        <w:left w:val="none" w:sz="0" w:space="0" w:color="auto"/>
        <w:bottom w:val="none" w:sz="0" w:space="0" w:color="auto"/>
        <w:right w:val="none" w:sz="0" w:space="0" w:color="auto"/>
      </w:divBdr>
    </w:div>
    <w:div w:id="1333991718">
      <w:bodyDiv w:val="1"/>
      <w:marLeft w:val="0"/>
      <w:marRight w:val="0"/>
      <w:marTop w:val="0"/>
      <w:marBottom w:val="0"/>
      <w:divBdr>
        <w:top w:val="none" w:sz="0" w:space="0" w:color="auto"/>
        <w:left w:val="none" w:sz="0" w:space="0" w:color="auto"/>
        <w:bottom w:val="none" w:sz="0" w:space="0" w:color="auto"/>
        <w:right w:val="none" w:sz="0" w:space="0" w:color="auto"/>
      </w:divBdr>
      <w:divsChild>
        <w:div w:id="1845125702">
          <w:marLeft w:val="0"/>
          <w:marRight w:val="0"/>
          <w:marTop w:val="0"/>
          <w:marBottom w:val="0"/>
          <w:divBdr>
            <w:top w:val="none" w:sz="0" w:space="0" w:color="auto"/>
            <w:left w:val="none" w:sz="0" w:space="0" w:color="auto"/>
            <w:bottom w:val="none" w:sz="0" w:space="0" w:color="auto"/>
            <w:right w:val="none" w:sz="0" w:space="0" w:color="auto"/>
          </w:divBdr>
        </w:div>
        <w:div w:id="817527291">
          <w:marLeft w:val="0"/>
          <w:marRight w:val="0"/>
          <w:marTop w:val="0"/>
          <w:marBottom w:val="0"/>
          <w:divBdr>
            <w:top w:val="none" w:sz="0" w:space="0" w:color="auto"/>
            <w:left w:val="none" w:sz="0" w:space="0" w:color="auto"/>
            <w:bottom w:val="none" w:sz="0" w:space="0" w:color="auto"/>
            <w:right w:val="none" w:sz="0" w:space="0" w:color="auto"/>
          </w:divBdr>
        </w:div>
      </w:divsChild>
    </w:div>
    <w:div w:id="1536196604">
      <w:bodyDiv w:val="1"/>
      <w:marLeft w:val="0"/>
      <w:marRight w:val="0"/>
      <w:marTop w:val="0"/>
      <w:marBottom w:val="0"/>
      <w:divBdr>
        <w:top w:val="none" w:sz="0" w:space="0" w:color="auto"/>
        <w:left w:val="none" w:sz="0" w:space="0" w:color="auto"/>
        <w:bottom w:val="none" w:sz="0" w:space="0" w:color="auto"/>
        <w:right w:val="none" w:sz="0" w:space="0" w:color="auto"/>
      </w:divBdr>
    </w:div>
    <w:div w:id="1710718305">
      <w:bodyDiv w:val="1"/>
      <w:marLeft w:val="0"/>
      <w:marRight w:val="0"/>
      <w:marTop w:val="0"/>
      <w:marBottom w:val="0"/>
      <w:divBdr>
        <w:top w:val="none" w:sz="0" w:space="0" w:color="auto"/>
        <w:left w:val="none" w:sz="0" w:space="0" w:color="auto"/>
        <w:bottom w:val="none" w:sz="0" w:space="0" w:color="auto"/>
        <w:right w:val="none" w:sz="0" w:space="0" w:color="auto"/>
      </w:divBdr>
      <w:divsChild>
        <w:div w:id="2075884999">
          <w:marLeft w:val="0"/>
          <w:marRight w:val="0"/>
          <w:marTop w:val="0"/>
          <w:marBottom w:val="120"/>
          <w:divBdr>
            <w:top w:val="none" w:sz="0" w:space="0" w:color="auto"/>
            <w:left w:val="none" w:sz="0" w:space="0" w:color="auto"/>
            <w:bottom w:val="none" w:sz="0" w:space="0" w:color="auto"/>
            <w:right w:val="none" w:sz="0" w:space="0" w:color="auto"/>
          </w:divBdr>
          <w:divsChild>
            <w:div w:id="616714422">
              <w:marLeft w:val="0"/>
              <w:marRight w:val="0"/>
              <w:marTop w:val="0"/>
              <w:marBottom w:val="0"/>
              <w:divBdr>
                <w:top w:val="none" w:sz="0" w:space="0" w:color="auto"/>
                <w:left w:val="none" w:sz="0" w:space="0" w:color="auto"/>
                <w:bottom w:val="none" w:sz="0" w:space="0" w:color="auto"/>
                <w:right w:val="none" w:sz="0" w:space="0" w:color="auto"/>
              </w:divBdr>
            </w:div>
          </w:divsChild>
        </w:div>
        <w:div w:id="1371228868">
          <w:marLeft w:val="0"/>
          <w:marRight w:val="0"/>
          <w:marTop w:val="0"/>
          <w:marBottom w:val="120"/>
          <w:divBdr>
            <w:top w:val="none" w:sz="0" w:space="0" w:color="auto"/>
            <w:left w:val="none" w:sz="0" w:space="0" w:color="auto"/>
            <w:bottom w:val="none" w:sz="0" w:space="0" w:color="auto"/>
            <w:right w:val="none" w:sz="0" w:space="0" w:color="auto"/>
          </w:divBdr>
          <w:divsChild>
            <w:div w:id="15040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3544">
      <w:bodyDiv w:val="1"/>
      <w:marLeft w:val="0"/>
      <w:marRight w:val="0"/>
      <w:marTop w:val="0"/>
      <w:marBottom w:val="0"/>
      <w:divBdr>
        <w:top w:val="none" w:sz="0" w:space="0" w:color="auto"/>
        <w:left w:val="none" w:sz="0" w:space="0" w:color="auto"/>
        <w:bottom w:val="none" w:sz="0" w:space="0" w:color="auto"/>
        <w:right w:val="none" w:sz="0" w:space="0" w:color="auto"/>
      </w:divBdr>
    </w:div>
    <w:div w:id="2065717466">
      <w:bodyDiv w:val="1"/>
      <w:marLeft w:val="0"/>
      <w:marRight w:val="0"/>
      <w:marTop w:val="0"/>
      <w:marBottom w:val="0"/>
      <w:divBdr>
        <w:top w:val="none" w:sz="0" w:space="0" w:color="auto"/>
        <w:left w:val="none" w:sz="0" w:space="0" w:color="auto"/>
        <w:bottom w:val="none" w:sz="0" w:space="0" w:color="auto"/>
        <w:right w:val="none" w:sz="0" w:space="0" w:color="auto"/>
      </w:divBdr>
    </w:div>
    <w:div w:id="21356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iocelec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ocelec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documenttasks/documenttasks1.xml><?xml version="1.0" encoding="utf-8"?>
<t:Tasks xmlns:t="http://schemas.microsoft.com/office/tasks/2019/documenttasks" xmlns:oel="http://schemas.microsoft.com/office/2019/extlst">
  <t:Task id="{BCD872C2-135C-4C32-970A-F98044BF4059}">
    <t:Anchor>
      <t:Comment id="628999933"/>
    </t:Anchor>
    <t:History>
      <t:Event id="{F4206834-B51F-4589-BC29-859FE13F1482}" time="2022-01-03T19:09:30.414Z">
        <t:Attribution userId="S::dmontgomery@novavax.com::e53a3998-3f59-44b4-b47a-5aedb65ac775" userProvider="AD" userName="Dana Montgomery"/>
        <t:Anchor>
          <t:Comment id="802104042"/>
        </t:Anchor>
        <t:Create/>
      </t:Event>
      <t:Event id="{AF587386-9AC6-409F-A588-A695206D7594}" time="2022-01-03T19:09:30.414Z">
        <t:Attribution userId="S::dmontgomery@novavax.com::e53a3998-3f59-44b4-b47a-5aedb65ac775" userProvider="AD" userName="Dana Montgomery"/>
        <t:Anchor>
          <t:Comment id="802104042"/>
        </t:Anchor>
        <t:Assign userId="S::GSmith@Novavax.com::de915667-cd36-439c-8c75-2b2ff7694da5" userProvider="AD" userName="Gale Smith"/>
      </t:Event>
      <t:Event id="{F6D2D2F6-D5CA-4329-A15A-699A49D6AB07}" time="2022-01-03T19:09:30.414Z">
        <t:Attribution userId="S::dmontgomery@novavax.com::e53a3998-3f59-44b4-b47a-5aedb65ac775" userProvider="AD" userName="Dana Montgomery"/>
        <t:Anchor>
          <t:Comment id="802104042"/>
        </t:Anchor>
        <t:SetTitle title="@Gale Smith - Per my email, please confirm or propose response/revis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D36A71E96A504382D39CF292051E1A" ma:contentTypeVersion="12" ma:contentTypeDescription="Create a new document." ma:contentTypeScope="" ma:versionID="2b8bf830fffb714fa6bfad03af1748b0">
  <xsd:schema xmlns:xsd="http://www.w3.org/2001/XMLSchema" xmlns:xs="http://www.w3.org/2001/XMLSchema" xmlns:p="http://schemas.microsoft.com/office/2006/metadata/properties" xmlns:ns2="02428c73-63d5-4999-b23d-2eacd6a4bc46" xmlns:ns3="029836c3-e968-4838-a5ad-db13814ff64a" targetNamespace="http://schemas.microsoft.com/office/2006/metadata/properties" ma:root="true" ma:fieldsID="180acdca5513ccd7c2d27ecd57a436a7" ns2:_="" ns3:_="">
    <xsd:import namespace="02428c73-63d5-4999-b23d-2eacd6a4bc46"/>
    <xsd:import namespace="029836c3-e968-4838-a5ad-db13814ff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28c73-63d5-4999-b23d-2eacd6a4b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836c3-e968-4838-a5ad-db13814ff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D27BD-8571-4897-ACFB-F54B9763615C}">
  <ds:schemaRefs>
    <ds:schemaRef ds:uri="02428c73-63d5-4999-b23d-2eacd6a4bc46"/>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29836c3-e968-4838-a5ad-db13814ff64a"/>
    <ds:schemaRef ds:uri="http://www.w3.org/XML/1998/namespace"/>
    <ds:schemaRef ds:uri="http://purl.org/dc/terms/"/>
  </ds:schemaRefs>
</ds:datastoreItem>
</file>

<file path=customXml/itemProps2.xml><?xml version="1.0" encoding="utf-8"?>
<ds:datastoreItem xmlns:ds="http://schemas.openxmlformats.org/officeDocument/2006/customXml" ds:itemID="{1FF153CD-2FAB-4096-BC7E-A5DE1C474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28c73-63d5-4999-b23d-2eacd6a4bc46"/>
    <ds:schemaRef ds:uri="029836c3-e968-4838-a5ad-db13814ff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F638A-A8F9-4311-85D6-5A332397CD14}">
  <ds:schemaRefs>
    <ds:schemaRef ds:uri="http://schemas.openxmlformats.org/officeDocument/2006/bibliography"/>
  </ds:schemaRefs>
</ds:datastoreItem>
</file>

<file path=customXml/itemProps4.xml><?xml version="1.0" encoding="utf-8"?>
<ds:datastoreItem xmlns:ds="http://schemas.openxmlformats.org/officeDocument/2006/customXml" ds:itemID="{7E5D04A6-59D8-4647-ACBF-EEFD04D75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6092</Words>
  <Characters>34728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Nuvaxovid (SARS-CoV-2 RS [NVX-COV]) suspension for injection</dc:title>
  <dc:subject>prescription medicine regulation</dc:subject>
  <dc:creator>Therapeutic Goods Administration</dc:creator>
  <cp:keywords/>
  <cp:lastModifiedBy>SHEPPARD, Fran</cp:lastModifiedBy>
  <cp:revision>5</cp:revision>
  <cp:lastPrinted>2022-06-08T23:16:00Z</cp:lastPrinted>
  <dcterms:created xsi:type="dcterms:W3CDTF">2022-06-22T21:37:00Z</dcterms:created>
  <dcterms:modified xsi:type="dcterms:W3CDTF">2022-06-24T03:01:00Z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0x01010035D36A71E96A504382D39CF292051E1A</vt:lpwstr>
  </property>
</Properties>
</file>