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D23308" w14:paraId="2E647B6D" w14:textId="77777777" w:rsidTr="00BF1190">
        <w:trPr>
          <w:trHeight w:val="1863"/>
        </w:trPr>
        <w:tc>
          <w:tcPr>
            <w:tcW w:w="3652" w:type="dxa"/>
            <w:tcBorders>
              <w:top w:val="nil"/>
              <w:left w:val="nil"/>
              <w:bottom w:val="nil"/>
              <w:right w:val="nil"/>
            </w:tcBorders>
          </w:tcPr>
          <w:p w14:paraId="0756F793" w14:textId="6E661ABF" w:rsidR="008E7846" w:rsidRPr="00D23308" w:rsidRDefault="00A222AE" w:rsidP="00F931CE">
            <w:pPr>
              <w:pStyle w:val="Date"/>
              <w:framePr w:hSpace="0" w:wrap="auto" w:vAnchor="margin" w:hAnchor="text" w:yAlign="inline"/>
              <w:suppressOverlap w:val="0"/>
            </w:pPr>
            <w:r w:rsidRPr="00D23308">
              <w:t>Ju</w:t>
            </w:r>
            <w:r w:rsidR="006E6257">
              <w:t>ly</w:t>
            </w:r>
            <w:r w:rsidRPr="00D23308">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D23308" w14:paraId="25F5D372" w14:textId="77777777" w:rsidTr="0032583B">
        <w:trPr>
          <w:trHeight w:val="868"/>
        </w:trPr>
        <w:tc>
          <w:tcPr>
            <w:tcW w:w="9079" w:type="dxa"/>
          </w:tcPr>
          <w:p w14:paraId="5FDFC0D7" w14:textId="3DAB9218" w:rsidR="0032583B" w:rsidRPr="00D23308" w:rsidRDefault="0032583B" w:rsidP="00F931CE">
            <w:pPr>
              <w:pStyle w:val="Title"/>
              <w:framePr w:hSpace="0" w:wrap="auto" w:vAnchor="margin" w:yAlign="inline"/>
            </w:pPr>
            <w:r w:rsidRPr="00D23308">
              <w:t>Australian Public Assessment Report for</w:t>
            </w:r>
            <w:r w:rsidR="00AF2313" w:rsidRPr="00D23308">
              <w:t xml:space="preserve"> </w:t>
            </w:r>
            <w:r w:rsidR="00D81AA8" w:rsidRPr="00D23308">
              <w:t>Nextstellis</w:t>
            </w:r>
          </w:p>
        </w:tc>
      </w:tr>
      <w:tr w:rsidR="0032583B" w:rsidRPr="00D23308" w14:paraId="1AE453B3" w14:textId="77777777" w:rsidTr="0032583B">
        <w:tc>
          <w:tcPr>
            <w:tcW w:w="9079" w:type="dxa"/>
          </w:tcPr>
          <w:p w14:paraId="62BD7FFF" w14:textId="656730D2" w:rsidR="0032583B" w:rsidRPr="00D23308" w:rsidRDefault="00BB75D6" w:rsidP="00F931CE">
            <w:pPr>
              <w:pStyle w:val="Subtitle"/>
              <w:framePr w:hSpace="0" w:wrap="auto" w:vAnchor="margin" w:yAlign="inline"/>
            </w:pPr>
            <w:r w:rsidRPr="00D23308">
              <w:t>Active ingredients</w:t>
            </w:r>
            <w:r w:rsidR="0032583B" w:rsidRPr="00D23308">
              <w:t xml:space="preserve">: </w:t>
            </w:r>
            <w:r w:rsidR="00EB0EAC">
              <w:t>E</w:t>
            </w:r>
            <w:r w:rsidR="00D81AA8" w:rsidRPr="00D23308">
              <w:t>stetrol monohydrate / drospirenone</w:t>
            </w:r>
          </w:p>
        </w:tc>
      </w:tr>
      <w:tr w:rsidR="0032583B" w:rsidRPr="00D23308" w14:paraId="714DE6A5" w14:textId="77777777" w:rsidTr="0032583B">
        <w:trPr>
          <w:trHeight w:val="486"/>
        </w:trPr>
        <w:tc>
          <w:tcPr>
            <w:tcW w:w="9079" w:type="dxa"/>
          </w:tcPr>
          <w:p w14:paraId="446BA962" w14:textId="01BECF94" w:rsidR="0032583B" w:rsidRPr="00D23308" w:rsidRDefault="00460036" w:rsidP="009556D7">
            <w:pPr>
              <w:pStyle w:val="Subtitle"/>
              <w:framePr w:hSpace="0" w:wrap="auto" w:vAnchor="margin" w:yAlign="inline"/>
            </w:pPr>
            <w:r w:rsidRPr="00D23308">
              <w:t xml:space="preserve">Sponsor: </w:t>
            </w:r>
            <w:r w:rsidR="00D81AA8" w:rsidRPr="00D23308">
              <w:t>Mayne Pharma International Pty Ltd</w:t>
            </w:r>
          </w:p>
        </w:tc>
      </w:tr>
    </w:tbl>
    <w:p w14:paraId="5496442C" w14:textId="77777777" w:rsidR="008E7846" w:rsidRPr="00D23308" w:rsidRDefault="008E7846" w:rsidP="0085156D">
      <w:r w:rsidRPr="00D23308">
        <w:br w:type="page"/>
      </w:r>
    </w:p>
    <w:p w14:paraId="23C22C1F" w14:textId="77777777" w:rsidR="008E7846" w:rsidRPr="00D23308" w:rsidRDefault="008E7846" w:rsidP="008E7846">
      <w:pPr>
        <w:pStyle w:val="NonTOCHeading2"/>
      </w:pPr>
      <w:r w:rsidRPr="00D23308">
        <w:lastRenderedPageBreak/>
        <w:t>About the Therapeutic Goods Administration (TGA)</w:t>
      </w:r>
    </w:p>
    <w:p w14:paraId="6B235675" w14:textId="77777777" w:rsidR="00AF2313" w:rsidRPr="00D23308" w:rsidRDefault="00AF2313" w:rsidP="00AF2313">
      <w:pPr>
        <w:pStyle w:val="ListBullet"/>
      </w:pPr>
      <w:r w:rsidRPr="00D23308">
        <w:t>The Therapeutic Goods Administration (TGA) is part of the Australian Government Department of Health and is responsible for regulating therapeutic goods, including medicines, medical devices, and biologicals.</w:t>
      </w:r>
    </w:p>
    <w:p w14:paraId="45B8C55C" w14:textId="77777777" w:rsidR="00AF2313" w:rsidRPr="00D23308" w:rsidRDefault="00AF2313" w:rsidP="00AF2313">
      <w:pPr>
        <w:pStyle w:val="ListBullet"/>
      </w:pPr>
      <w:r w:rsidRPr="00D23308">
        <w:t xml:space="preserve">The TGA administers the </w:t>
      </w:r>
      <w:r w:rsidRPr="00D23308">
        <w:rPr>
          <w:i/>
          <w:iCs/>
        </w:rPr>
        <w:t>Therapeutic Goods Act 1989</w:t>
      </w:r>
      <w:r w:rsidRPr="00D23308">
        <w:t xml:space="preserve"> (the Act), applying a risk management approach designed to ensure therapeutic goods supplied in Australia meet acceptable standards of quality, </w:t>
      </w:r>
      <w:r w:rsidR="00CC5044" w:rsidRPr="00D23308">
        <w:t>safety,</w:t>
      </w:r>
      <w:r w:rsidRPr="00D23308">
        <w:t xml:space="preserve"> and efficacy.</w:t>
      </w:r>
    </w:p>
    <w:p w14:paraId="5C7821D4" w14:textId="77777777" w:rsidR="00AF2313" w:rsidRPr="00D23308" w:rsidRDefault="00AF2313" w:rsidP="00AF2313">
      <w:pPr>
        <w:pStyle w:val="ListBullet"/>
      </w:pPr>
      <w:r w:rsidRPr="00D23308">
        <w:t>The work of the TGA is based on applying scientific and clinical expertise to decision-making, to ensure that the benefits to the Australian public outweigh any risks associated with the use of therapeutic goods.</w:t>
      </w:r>
    </w:p>
    <w:p w14:paraId="07B69FD4" w14:textId="77777777" w:rsidR="00AF2313" w:rsidRPr="00D23308" w:rsidRDefault="00AF2313" w:rsidP="00AF2313">
      <w:pPr>
        <w:pStyle w:val="ListBullet"/>
      </w:pPr>
      <w:r w:rsidRPr="00D23308">
        <w:t>The TGA relies on the public, healthcare professionals and industry to report problems with therapeutic goods. The TGA investigates reports received to determine any necessary regulatory action.</w:t>
      </w:r>
    </w:p>
    <w:p w14:paraId="041E4B61" w14:textId="7E6798A9" w:rsidR="00AF2313" w:rsidRPr="00D23308" w:rsidRDefault="00AF2313" w:rsidP="00AF2313">
      <w:pPr>
        <w:pStyle w:val="ListBullet"/>
      </w:pPr>
      <w:r w:rsidRPr="00D23308">
        <w:t xml:space="preserve">To report a problem with a therapeutic good, please see the information on the </w:t>
      </w:r>
      <w:hyperlink r:id="rId11" w:history="1">
        <w:r w:rsidRPr="00D23308">
          <w:rPr>
            <w:rStyle w:val="Hyperlink"/>
          </w:rPr>
          <w:t>TGA website</w:t>
        </w:r>
      </w:hyperlink>
      <w:r w:rsidRPr="00D23308">
        <w:t>.</w:t>
      </w:r>
    </w:p>
    <w:p w14:paraId="193E8708" w14:textId="77777777" w:rsidR="008E7846" w:rsidRPr="00D23308" w:rsidRDefault="008E7846" w:rsidP="00875A6B">
      <w:pPr>
        <w:pStyle w:val="NonTOCHeading2"/>
      </w:pPr>
      <w:r w:rsidRPr="00D23308">
        <w:t xml:space="preserve">About </w:t>
      </w:r>
      <w:proofErr w:type="spellStart"/>
      <w:r w:rsidRPr="00D23308">
        <w:t>AusPARs</w:t>
      </w:r>
      <w:proofErr w:type="spellEnd"/>
    </w:p>
    <w:p w14:paraId="0ECEF9A1" w14:textId="675883BA" w:rsidR="00AF2313" w:rsidRPr="00D23308" w:rsidRDefault="00AF2313" w:rsidP="00AF2313">
      <w:pPr>
        <w:pStyle w:val="ListBullet"/>
      </w:pPr>
      <w:r>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2">
        <w:r w:rsidRPr="529F7B6D">
          <w:rPr>
            <w:rStyle w:val="Hyperlink"/>
          </w:rPr>
          <w:t>Australian Public Assessment Report (AusPAR) guidance</w:t>
        </w:r>
      </w:hyperlink>
      <w:r>
        <w:t>.</w:t>
      </w:r>
    </w:p>
    <w:p w14:paraId="354B400C" w14:textId="77777777" w:rsidR="00AF2313" w:rsidRPr="00D23308" w:rsidRDefault="00AF2313" w:rsidP="00AF2313">
      <w:pPr>
        <w:pStyle w:val="ListBullet"/>
      </w:pPr>
      <w:proofErr w:type="spellStart"/>
      <w:r>
        <w:t>AusPARs</w:t>
      </w:r>
      <w:proofErr w:type="spellEnd"/>
      <w:r>
        <w:t xml:space="preserve"> are prepared and published by the TGA.</w:t>
      </w:r>
    </w:p>
    <w:p w14:paraId="22E4ECCB" w14:textId="77777777" w:rsidR="00AF2313" w:rsidRPr="00D23308" w:rsidRDefault="00AF2313" w:rsidP="00AF2313">
      <w:pPr>
        <w:pStyle w:val="ListBullet"/>
      </w:pPr>
      <w:proofErr w:type="spellStart"/>
      <w:r>
        <w:t>AusPARs</w:t>
      </w:r>
      <w:proofErr w:type="spellEnd"/>
      <w:r>
        <w:t xml:space="preserve"> are static documents that provide information that relates to a submission at a particular point in time.</w:t>
      </w:r>
      <w:r w:rsidR="730E9AF9">
        <w:t xml:space="preserve"> The publication of an AusPAR is an important part of the transparency of the TGA’s decision-making process.</w:t>
      </w:r>
    </w:p>
    <w:p w14:paraId="435CF8D2" w14:textId="77777777" w:rsidR="00AF2313" w:rsidRPr="00D23308" w:rsidRDefault="00AF2313" w:rsidP="00AF2313">
      <w:pPr>
        <w:pStyle w:val="ListBullet"/>
      </w:pPr>
      <w:r>
        <w:t>A new AusPAR may be provided to reflect changes to indications or major variations to a prescription medicine subject to evaluation by the TGA.</w:t>
      </w:r>
    </w:p>
    <w:p w14:paraId="60C2584B" w14:textId="77777777" w:rsidR="00924482" w:rsidRPr="00D23308" w:rsidRDefault="00924482" w:rsidP="00F54B65">
      <w:pPr>
        <w:pStyle w:val="LegalSubheading"/>
        <w:spacing w:before="3120"/>
      </w:pPr>
      <w:r w:rsidRPr="00D23308">
        <w:t>Copyright</w:t>
      </w:r>
    </w:p>
    <w:p w14:paraId="1AC22471" w14:textId="49C26BFC" w:rsidR="00924482" w:rsidRPr="00D23308" w:rsidRDefault="00924482" w:rsidP="00924482">
      <w:pPr>
        <w:pStyle w:val="LegalCopy"/>
      </w:pPr>
      <w:r w:rsidRPr="00D23308">
        <w:rPr>
          <w:rFonts w:cs="Arial"/>
          <w:lang w:val="en-GB"/>
        </w:rPr>
        <w:t>© Commonwealth of Australia 20</w:t>
      </w:r>
      <w:r w:rsidR="00460036" w:rsidRPr="00D23308">
        <w:rPr>
          <w:rFonts w:cs="Arial"/>
          <w:lang w:val="en-GB"/>
        </w:rPr>
        <w:t>2</w:t>
      </w:r>
      <w:r w:rsidR="00AF2313" w:rsidRPr="00D23308">
        <w:rPr>
          <w:rFonts w:cs="Arial"/>
          <w:lang w:val="en-GB"/>
        </w:rPr>
        <w:t>2</w:t>
      </w:r>
      <w:r w:rsidRPr="00D23308">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D23308">
        <w:rPr>
          <w:rFonts w:cs="Arial"/>
          <w:i/>
          <w:lang w:val="en-GB"/>
        </w:rPr>
        <w:t>Copyright Act 1968</w:t>
      </w:r>
      <w:r w:rsidRPr="00D23308">
        <w:rPr>
          <w:rFonts w:cs="Arial"/>
          <w:lang w:val="en-GB"/>
        </w:rPr>
        <w:t xml:space="preserve"> or allowed by this copyright notice, all other rights are </w:t>
      </w:r>
      <w:r w:rsidR="00EB36D6" w:rsidRPr="00D23308">
        <w:rPr>
          <w:rFonts w:cs="Arial"/>
          <w:lang w:val="en-GB"/>
        </w:rPr>
        <w:t>reserved,</w:t>
      </w:r>
      <w:r w:rsidRPr="00D23308">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D23308">
        <w:rPr>
          <w:rFonts w:cs="Arial"/>
          <w:lang w:val="en-GB"/>
        </w:rPr>
        <w:t>Woden</w:t>
      </w:r>
      <w:proofErr w:type="spellEnd"/>
      <w:r w:rsidRPr="00D23308">
        <w:rPr>
          <w:rFonts w:cs="Arial"/>
          <w:lang w:val="en-GB"/>
        </w:rPr>
        <w:t xml:space="preserve"> ACT 2606 or emailed to &lt;</w:t>
      </w:r>
      <w:hyperlink r:id="rId13" w:history="1">
        <w:r w:rsidRPr="00D23308">
          <w:rPr>
            <w:rStyle w:val="Hyperlink"/>
            <w:rFonts w:cs="Arial"/>
            <w:lang w:val="en-GB"/>
          </w:rPr>
          <w:t>tga.copyright@tga.gov.au</w:t>
        </w:r>
      </w:hyperlink>
      <w:r w:rsidRPr="00D23308">
        <w:rPr>
          <w:rFonts w:cs="Arial"/>
        </w:rPr>
        <w:t>&gt;.</w:t>
      </w:r>
    </w:p>
    <w:p w14:paraId="24FCCBCF" w14:textId="77777777" w:rsidR="00924482" w:rsidRPr="00D23308" w:rsidRDefault="00924482" w:rsidP="00924482">
      <w:pPr>
        <w:pStyle w:val="LegalCopy"/>
        <w:sectPr w:rsidR="00924482" w:rsidRPr="00D23308"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color w:val="2B579A"/>
          <w:sz w:val="22"/>
          <w:shd w:val="clear" w:color="auto" w:fill="E6E6E6"/>
        </w:rPr>
        <w:id w:val="5618007"/>
        <w:docPartObj>
          <w:docPartGallery w:val="Table of Contents"/>
          <w:docPartUnique/>
        </w:docPartObj>
      </w:sdtPr>
      <w:sdtEndPr>
        <w:rPr>
          <w:bCs w:val="0"/>
        </w:rPr>
      </w:sdtEndPr>
      <w:sdtContent>
        <w:p w14:paraId="112385FD" w14:textId="77777777" w:rsidR="0089635C" w:rsidRPr="00D23308" w:rsidRDefault="0089635C" w:rsidP="0010788A">
          <w:pPr>
            <w:pStyle w:val="Contents"/>
          </w:pPr>
          <w:r w:rsidRPr="00D23308">
            <w:t>Contents</w:t>
          </w:r>
        </w:p>
        <w:p w14:paraId="6E3AED41" w14:textId="00705AE4" w:rsidR="005319AF" w:rsidRDefault="00C525A2">
          <w:pPr>
            <w:pStyle w:val="TOC1"/>
            <w:rPr>
              <w:rFonts w:asciiTheme="minorHAnsi" w:eastAsiaTheme="minorEastAsia" w:hAnsiTheme="minorHAnsi" w:cstheme="minorBidi"/>
              <w:b w:val="0"/>
              <w:noProof/>
              <w:sz w:val="22"/>
              <w:lang w:eastAsia="en-AU"/>
            </w:rPr>
          </w:pPr>
          <w:r w:rsidRPr="00D23308">
            <w:rPr>
              <w:color w:val="2B579A"/>
              <w:shd w:val="clear" w:color="auto" w:fill="E6E6E6"/>
            </w:rPr>
            <w:fldChar w:fldCharType="begin"/>
          </w:r>
          <w:r w:rsidRPr="00D23308">
            <w:instrText xml:space="preserve"> TOC \h \z \t "Heading 2,1,Heading 3,2" </w:instrText>
          </w:r>
          <w:r w:rsidRPr="00D23308">
            <w:rPr>
              <w:color w:val="2B579A"/>
              <w:shd w:val="clear" w:color="auto" w:fill="E6E6E6"/>
            </w:rPr>
            <w:fldChar w:fldCharType="separate"/>
          </w:r>
          <w:hyperlink w:anchor="_Toc109301836" w:history="1">
            <w:r w:rsidR="005319AF" w:rsidRPr="00DB303B">
              <w:rPr>
                <w:rStyle w:val="Hyperlink"/>
                <w:noProof/>
              </w:rPr>
              <w:t>List of abbreviations</w:t>
            </w:r>
            <w:r w:rsidR="005319AF">
              <w:rPr>
                <w:noProof/>
                <w:webHidden/>
              </w:rPr>
              <w:tab/>
            </w:r>
            <w:r w:rsidR="005319AF">
              <w:rPr>
                <w:noProof/>
                <w:webHidden/>
              </w:rPr>
              <w:fldChar w:fldCharType="begin"/>
            </w:r>
            <w:r w:rsidR="005319AF">
              <w:rPr>
                <w:noProof/>
                <w:webHidden/>
              </w:rPr>
              <w:instrText xml:space="preserve"> PAGEREF _Toc109301836 \h </w:instrText>
            </w:r>
            <w:r w:rsidR="005319AF">
              <w:rPr>
                <w:noProof/>
                <w:webHidden/>
              </w:rPr>
            </w:r>
            <w:r w:rsidR="005319AF">
              <w:rPr>
                <w:noProof/>
                <w:webHidden/>
              </w:rPr>
              <w:fldChar w:fldCharType="separate"/>
            </w:r>
            <w:r w:rsidR="005319AF">
              <w:rPr>
                <w:noProof/>
                <w:webHidden/>
              </w:rPr>
              <w:t>4</w:t>
            </w:r>
            <w:r w:rsidR="005319AF">
              <w:rPr>
                <w:noProof/>
                <w:webHidden/>
              </w:rPr>
              <w:fldChar w:fldCharType="end"/>
            </w:r>
          </w:hyperlink>
        </w:p>
        <w:p w14:paraId="65ACC1AF" w14:textId="71145470" w:rsidR="005319AF" w:rsidRDefault="006A2626">
          <w:pPr>
            <w:pStyle w:val="TOC1"/>
            <w:rPr>
              <w:rFonts w:asciiTheme="minorHAnsi" w:eastAsiaTheme="minorEastAsia" w:hAnsiTheme="minorHAnsi" w:cstheme="minorBidi"/>
              <w:b w:val="0"/>
              <w:noProof/>
              <w:sz w:val="22"/>
              <w:lang w:eastAsia="en-AU"/>
            </w:rPr>
          </w:pPr>
          <w:hyperlink w:anchor="_Toc109301837" w:history="1">
            <w:r w:rsidR="005319AF" w:rsidRPr="00DB303B">
              <w:rPr>
                <w:rStyle w:val="Hyperlink"/>
                <w:noProof/>
              </w:rPr>
              <w:t>Product submission</w:t>
            </w:r>
            <w:r w:rsidR="005319AF">
              <w:rPr>
                <w:noProof/>
                <w:webHidden/>
              </w:rPr>
              <w:tab/>
            </w:r>
            <w:r w:rsidR="005319AF">
              <w:rPr>
                <w:noProof/>
                <w:webHidden/>
              </w:rPr>
              <w:fldChar w:fldCharType="begin"/>
            </w:r>
            <w:r w:rsidR="005319AF">
              <w:rPr>
                <w:noProof/>
                <w:webHidden/>
              </w:rPr>
              <w:instrText xml:space="preserve"> PAGEREF _Toc109301837 \h </w:instrText>
            </w:r>
            <w:r w:rsidR="005319AF">
              <w:rPr>
                <w:noProof/>
                <w:webHidden/>
              </w:rPr>
            </w:r>
            <w:r w:rsidR="005319AF">
              <w:rPr>
                <w:noProof/>
                <w:webHidden/>
              </w:rPr>
              <w:fldChar w:fldCharType="separate"/>
            </w:r>
            <w:r w:rsidR="005319AF">
              <w:rPr>
                <w:noProof/>
                <w:webHidden/>
              </w:rPr>
              <w:t>6</w:t>
            </w:r>
            <w:r w:rsidR="005319AF">
              <w:rPr>
                <w:noProof/>
                <w:webHidden/>
              </w:rPr>
              <w:fldChar w:fldCharType="end"/>
            </w:r>
          </w:hyperlink>
        </w:p>
        <w:p w14:paraId="2F8F4625" w14:textId="64932808" w:rsidR="005319AF" w:rsidRDefault="006A2626">
          <w:pPr>
            <w:pStyle w:val="TOC2"/>
            <w:rPr>
              <w:rFonts w:asciiTheme="minorHAnsi" w:eastAsiaTheme="minorEastAsia" w:hAnsiTheme="minorHAnsi" w:cstheme="minorBidi"/>
              <w:b w:val="0"/>
              <w:noProof/>
              <w:sz w:val="22"/>
              <w:lang w:eastAsia="en-AU"/>
            </w:rPr>
          </w:pPr>
          <w:hyperlink w:anchor="_Toc109301838" w:history="1">
            <w:r w:rsidR="005319AF" w:rsidRPr="00DB303B">
              <w:rPr>
                <w:rStyle w:val="Hyperlink"/>
                <w:noProof/>
                <w:lang w:eastAsia="en-AU"/>
              </w:rPr>
              <w:t>Submission details</w:t>
            </w:r>
            <w:r w:rsidR="005319AF">
              <w:rPr>
                <w:noProof/>
                <w:webHidden/>
              </w:rPr>
              <w:tab/>
            </w:r>
            <w:r w:rsidR="005319AF">
              <w:rPr>
                <w:noProof/>
                <w:webHidden/>
              </w:rPr>
              <w:fldChar w:fldCharType="begin"/>
            </w:r>
            <w:r w:rsidR="005319AF">
              <w:rPr>
                <w:noProof/>
                <w:webHidden/>
              </w:rPr>
              <w:instrText xml:space="preserve"> PAGEREF _Toc109301838 \h </w:instrText>
            </w:r>
            <w:r w:rsidR="005319AF">
              <w:rPr>
                <w:noProof/>
                <w:webHidden/>
              </w:rPr>
            </w:r>
            <w:r w:rsidR="005319AF">
              <w:rPr>
                <w:noProof/>
                <w:webHidden/>
              </w:rPr>
              <w:fldChar w:fldCharType="separate"/>
            </w:r>
            <w:r w:rsidR="005319AF">
              <w:rPr>
                <w:noProof/>
                <w:webHidden/>
              </w:rPr>
              <w:t>6</w:t>
            </w:r>
            <w:r w:rsidR="005319AF">
              <w:rPr>
                <w:noProof/>
                <w:webHidden/>
              </w:rPr>
              <w:fldChar w:fldCharType="end"/>
            </w:r>
          </w:hyperlink>
        </w:p>
        <w:p w14:paraId="2682BEAD" w14:textId="323163CE" w:rsidR="005319AF" w:rsidRDefault="006A2626">
          <w:pPr>
            <w:pStyle w:val="TOC2"/>
            <w:rPr>
              <w:rFonts w:asciiTheme="minorHAnsi" w:eastAsiaTheme="minorEastAsia" w:hAnsiTheme="minorHAnsi" w:cstheme="minorBidi"/>
              <w:b w:val="0"/>
              <w:noProof/>
              <w:sz w:val="22"/>
              <w:lang w:eastAsia="en-AU"/>
            </w:rPr>
          </w:pPr>
          <w:hyperlink w:anchor="_Toc109301839" w:history="1">
            <w:r w:rsidR="005319AF" w:rsidRPr="00DB303B">
              <w:rPr>
                <w:rStyle w:val="Hyperlink"/>
                <w:noProof/>
              </w:rPr>
              <w:t>Product background</w:t>
            </w:r>
            <w:r w:rsidR="005319AF">
              <w:rPr>
                <w:noProof/>
                <w:webHidden/>
              </w:rPr>
              <w:tab/>
            </w:r>
            <w:r w:rsidR="005319AF">
              <w:rPr>
                <w:noProof/>
                <w:webHidden/>
              </w:rPr>
              <w:fldChar w:fldCharType="begin"/>
            </w:r>
            <w:r w:rsidR="005319AF">
              <w:rPr>
                <w:noProof/>
                <w:webHidden/>
              </w:rPr>
              <w:instrText xml:space="preserve"> PAGEREF _Toc109301839 \h </w:instrText>
            </w:r>
            <w:r w:rsidR="005319AF">
              <w:rPr>
                <w:noProof/>
                <w:webHidden/>
              </w:rPr>
            </w:r>
            <w:r w:rsidR="005319AF">
              <w:rPr>
                <w:noProof/>
                <w:webHidden/>
              </w:rPr>
              <w:fldChar w:fldCharType="separate"/>
            </w:r>
            <w:r w:rsidR="005319AF">
              <w:rPr>
                <w:noProof/>
                <w:webHidden/>
              </w:rPr>
              <w:t>8</w:t>
            </w:r>
            <w:r w:rsidR="005319AF">
              <w:rPr>
                <w:noProof/>
                <w:webHidden/>
              </w:rPr>
              <w:fldChar w:fldCharType="end"/>
            </w:r>
          </w:hyperlink>
        </w:p>
        <w:p w14:paraId="00D9C666" w14:textId="2A115135" w:rsidR="005319AF" w:rsidRDefault="006A2626">
          <w:pPr>
            <w:pStyle w:val="TOC2"/>
            <w:rPr>
              <w:rFonts w:asciiTheme="minorHAnsi" w:eastAsiaTheme="minorEastAsia" w:hAnsiTheme="minorHAnsi" w:cstheme="minorBidi"/>
              <w:b w:val="0"/>
              <w:noProof/>
              <w:sz w:val="22"/>
              <w:lang w:eastAsia="en-AU"/>
            </w:rPr>
          </w:pPr>
          <w:hyperlink w:anchor="_Toc109301840" w:history="1">
            <w:r w:rsidR="005319AF" w:rsidRPr="00DB303B">
              <w:rPr>
                <w:rStyle w:val="Hyperlink"/>
                <w:noProof/>
              </w:rPr>
              <w:t>Regulatory status</w:t>
            </w:r>
            <w:r w:rsidR="005319AF">
              <w:rPr>
                <w:noProof/>
                <w:webHidden/>
              </w:rPr>
              <w:tab/>
            </w:r>
            <w:r w:rsidR="005319AF">
              <w:rPr>
                <w:noProof/>
                <w:webHidden/>
              </w:rPr>
              <w:fldChar w:fldCharType="begin"/>
            </w:r>
            <w:r w:rsidR="005319AF">
              <w:rPr>
                <w:noProof/>
                <w:webHidden/>
              </w:rPr>
              <w:instrText xml:space="preserve"> PAGEREF _Toc109301840 \h </w:instrText>
            </w:r>
            <w:r w:rsidR="005319AF">
              <w:rPr>
                <w:noProof/>
                <w:webHidden/>
              </w:rPr>
            </w:r>
            <w:r w:rsidR="005319AF">
              <w:rPr>
                <w:noProof/>
                <w:webHidden/>
              </w:rPr>
              <w:fldChar w:fldCharType="separate"/>
            </w:r>
            <w:r w:rsidR="005319AF">
              <w:rPr>
                <w:noProof/>
                <w:webHidden/>
              </w:rPr>
              <w:t>10</w:t>
            </w:r>
            <w:r w:rsidR="005319AF">
              <w:rPr>
                <w:noProof/>
                <w:webHidden/>
              </w:rPr>
              <w:fldChar w:fldCharType="end"/>
            </w:r>
          </w:hyperlink>
        </w:p>
        <w:p w14:paraId="3D9CD879" w14:textId="3BD8755F" w:rsidR="005319AF" w:rsidRDefault="006A2626">
          <w:pPr>
            <w:pStyle w:val="TOC2"/>
            <w:rPr>
              <w:rFonts w:asciiTheme="minorHAnsi" w:eastAsiaTheme="minorEastAsia" w:hAnsiTheme="minorHAnsi" w:cstheme="minorBidi"/>
              <w:b w:val="0"/>
              <w:noProof/>
              <w:sz w:val="22"/>
              <w:lang w:eastAsia="en-AU"/>
            </w:rPr>
          </w:pPr>
          <w:hyperlink w:anchor="_Toc109301841" w:history="1">
            <w:r w:rsidR="005319AF" w:rsidRPr="00DB303B">
              <w:rPr>
                <w:rStyle w:val="Hyperlink"/>
                <w:noProof/>
              </w:rPr>
              <w:t>Product Information</w:t>
            </w:r>
            <w:r w:rsidR="005319AF">
              <w:rPr>
                <w:noProof/>
                <w:webHidden/>
              </w:rPr>
              <w:tab/>
            </w:r>
            <w:r w:rsidR="005319AF">
              <w:rPr>
                <w:noProof/>
                <w:webHidden/>
              </w:rPr>
              <w:fldChar w:fldCharType="begin"/>
            </w:r>
            <w:r w:rsidR="005319AF">
              <w:rPr>
                <w:noProof/>
                <w:webHidden/>
              </w:rPr>
              <w:instrText xml:space="preserve"> PAGEREF _Toc109301841 \h </w:instrText>
            </w:r>
            <w:r w:rsidR="005319AF">
              <w:rPr>
                <w:noProof/>
                <w:webHidden/>
              </w:rPr>
            </w:r>
            <w:r w:rsidR="005319AF">
              <w:rPr>
                <w:noProof/>
                <w:webHidden/>
              </w:rPr>
              <w:fldChar w:fldCharType="separate"/>
            </w:r>
            <w:r w:rsidR="005319AF">
              <w:rPr>
                <w:noProof/>
                <w:webHidden/>
              </w:rPr>
              <w:t>11</w:t>
            </w:r>
            <w:r w:rsidR="005319AF">
              <w:rPr>
                <w:noProof/>
                <w:webHidden/>
              </w:rPr>
              <w:fldChar w:fldCharType="end"/>
            </w:r>
          </w:hyperlink>
        </w:p>
        <w:p w14:paraId="4529743F" w14:textId="6ED5042F" w:rsidR="005319AF" w:rsidRDefault="006A2626">
          <w:pPr>
            <w:pStyle w:val="TOC1"/>
            <w:rPr>
              <w:rFonts w:asciiTheme="minorHAnsi" w:eastAsiaTheme="minorEastAsia" w:hAnsiTheme="minorHAnsi" w:cstheme="minorBidi"/>
              <w:b w:val="0"/>
              <w:noProof/>
              <w:sz w:val="22"/>
              <w:lang w:eastAsia="en-AU"/>
            </w:rPr>
          </w:pPr>
          <w:hyperlink w:anchor="_Toc109301842" w:history="1">
            <w:r w:rsidR="005319AF" w:rsidRPr="00DB303B">
              <w:rPr>
                <w:rStyle w:val="Hyperlink"/>
                <w:noProof/>
              </w:rPr>
              <w:t>Registration timeline</w:t>
            </w:r>
            <w:r w:rsidR="005319AF">
              <w:rPr>
                <w:noProof/>
                <w:webHidden/>
              </w:rPr>
              <w:tab/>
            </w:r>
            <w:r w:rsidR="005319AF">
              <w:rPr>
                <w:noProof/>
                <w:webHidden/>
              </w:rPr>
              <w:fldChar w:fldCharType="begin"/>
            </w:r>
            <w:r w:rsidR="005319AF">
              <w:rPr>
                <w:noProof/>
                <w:webHidden/>
              </w:rPr>
              <w:instrText xml:space="preserve"> PAGEREF _Toc109301842 \h </w:instrText>
            </w:r>
            <w:r w:rsidR="005319AF">
              <w:rPr>
                <w:noProof/>
                <w:webHidden/>
              </w:rPr>
            </w:r>
            <w:r w:rsidR="005319AF">
              <w:rPr>
                <w:noProof/>
                <w:webHidden/>
              </w:rPr>
              <w:fldChar w:fldCharType="separate"/>
            </w:r>
            <w:r w:rsidR="005319AF">
              <w:rPr>
                <w:noProof/>
                <w:webHidden/>
              </w:rPr>
              <w:t>11</w:t>
            </w:r>
            <w:r w:rsidR="005319AF">
              <w:rPr>
                <w:noProof/>
                <w:webHidden/>
              </w:rPr>
              <w:fldChar w:fldCharType="end"/>
            </w:r>
          </w:hyperlink>
        </w:p>
        <w:p w14:paraId="625D7578" w14:textId="1CF78077" w:rsidR="005319AF" w:rsidRDefault="006A2626">
          <w:pPr>
            <w:pStyle w:val="TOC1"/>
            <w:rPr>
              <w:rFonts w:asciiTheme="minorHAnsi" w:eastAsiaTheme="minorEastAsia" w:hAnsiTheme="minorHAnsi" w:cstheme="minorBidi"/>
              <w:b w:val="0"/>
              <w:noProof/>
              <w:sz w:val="22"/>
              <w:lang w:eastAsia="en-AU"/>
            </w:rPr>
          </w:pPr>
          <w:hyperlink w:anchor="_Toc109301843" w:history="1">
            <w:r w:rsidR="005319AF" w:rsidRPr="00DB303B">
              <w:rPr>
                <w:rStyle w:val="Hyperlink"/>
                <w:noProof/>
              </w:rPr>
              <w:t>Submission overview and risk/benefit assessment</w:t>
            </w:r>
            <w:r w:rsidR="005319AF">
              <w:rPr>
                <w:noProof/>
                <w:webHidden/>
              </w:rPr>
              <w:tab/>
            </w:r>
            <w:r w:rsidR="005319AF">
              <w:rPr>
                <w:noProof/>
                <w:webHidden/>
              </w:rPr>
              <w:fldChar w:fldCharType="begin"/>
            </w:r>
            <w:r w:rsidR="005319AF">
              <w:rPr>
                <w:noProof/>
                <w:webHidden/>
              </w:rPr>
              <w:instrText xml:space="preserve"> PAGEREF _Toc109301843 \h </w:instrText>
            </w:r>
            <w:r w:rsidR="005319AF">
              <w:rPr>
                <w:noProof/>
                <w:webHidden/>
              </w:rPr>
            </w:r>
            <w:r w:rsidR="005319AF">
              <w:rPr>
                <w:noProof/>
                <w:webHidden/>
              </w:rPr>
              <w:fldChar w:fldCharType="separate"/>
            </w:r>
            <w:r w:rsidR="005319AF">
              <w:rPr>
                <w:noProof/>
                <w:webHidden/>
              </w:rPr>
              <w:t>12</w:t>
            </w:r>
            <w:r w:rsidR="005319AF">
              <w:rPr>
                <w:noProof/>
                <w:webHidden/>
              </w:rPr>
              <w:fldChar w:fldCharType="end"/>
            </w:r>
          </w:hyperlink>
        </w:p>
        <w:p w14:paraId="36705B9B" w14:textId="3A23D9CD" w:rsidR="005319AF" w:rsidRDefault="006A2626">
          <w:pPr>
            <w:pStyle w:val="TOC2"/>
            <w:rPr>
              <w:rFonts w:asciiTheme="minorHAnsi" w:eastAsiaTheme="minorEastAsia" w:hAnsiTheme="minorHAnsi" w:cstheme="minorBidi"/>
              <w:b w:val="0"/>
              <w:noProof/>
              <w:sz w:val="22"/>
              <w:lang w:eastAsia="en-AU"/>
            </w:rPr>
          </w:pPr>
          <w:hyperlink w:anchor="_Toc109301844" w:history="1">
            <w:r w:rsidR="005319AF" w:rsidRPr="00DB303B">
              <w:rPr>
                <w:rStyle w:val="Hyperlink"/>
                <w:noProof/>
              </w:rPr>
              <w:t>Quality</w:t>
            </w:r>
            <w:r w:rsidR="005319AF">
              <w:rPr>
                <w:noProof/>
                <w:webHidden/>
              </w:rPr>
              <w:tab/>
            </w:r>
            <w:r w:rsidR="005319AF">
              <w:rPr>
                <w:noProof/>
                <w:webHidden/>
              </w:rPr>
              <w:fldChar w:fldCharType="begin"/>
            </w:r>
            <w:r w:rsidR="005319AF">
              <w:rPr>
                <w:noProof/>
                <w:webHidden/>
              </w:rPr>
              <w:instrText xml:space="preserve"> PAGEREF _Toc109301844 \h </w:instrText>
            </w:r>
            <w:r w:rsidR="005319AF">
              <w:rPr>
                <w:noProof/>
                <w:webHidden/>
              </w:rPr>
            </w:r>
            <w:r w:rsidR="005319AF">
              <w:rPr>
                <w:noProof/>
                <w:webHidden/>
              </w:rPr>
              <w:fldChar w:fldCharType="separate"/>
            </w:r>
            <w:r w:rsidR="005319AF">
              <w:rPr>
                <w:noProof/>
                <w:webHidden/>
              </w:rPr>
              <w:t>12</w:t>
            </w:r>
            <w:r w:rsidR="005319AF">
              <w:rPr>
                <w:noProof/>
                <w:webHidden/>
              </w:rPr>
              <w:fldChar w:fldCharType="end"/>
            </w:r>
          </w:hyperlink>
        </w:p>
        <w:p w14:paraId="0F770913" w14:textId="2F2B552C" w:rsidR="005319AF" w:rsidRDefault="006A2626">
          <w:pPr>
            <w:pStyle w:val="TOC2"/>
            <w:rPr>
              <w:rFonts w:asciiTheme="minorHAnsi" w:eastAsiaTheme="minorEastAsia" w:hAnsiTheme="minorHAnsi" w:cstheme="minorBidi"/>
              <w:b w:val="0"/>
              <w:noProof/>
              <w:sz w:val="22"/>
              <w:lang w:eastAsia="en-AU"/>
            </w:rPr>
          </w:pPr>
          <w:hyperlink w:anchor="_Toc109301845" w:history="1">
            <w:r w:rsidR="005319AF" w:rsidRPr="00DB303B">
              <w:rPr>
                <w:rStyle w:val="Hyperlink"/>
                <w:noProof/>
              </w:rPr>
              <w:t>Nonclinical</w:t>
            </w:r>
            <w:r w:rsidR="005319AF">
              <w:rPr>
                <w:noProof/>
                <w:webHidden/>
              </w:rPr>
              <w:tab/>
            </w:r>
            <w:r w:rsidR="005319AF">
              <w:rPr>
                <w:noProof/>
                <w:webHidden/>
              </w:rPr>
              <w:fldChar w:fldCharType="begin"/>
            </w:r>
            <w:r w:rsidR="005319AF">
              <w:rPr>
                <w:noProof/>
                <w:webHidden/>
              </w:rPr>
              <w:instrText xml:space="preserve"> PAGEREF _Toc109301845 \h </w:instrText>
            </w:r>
            <w:r w:rsidR="005319AF">
              <w:rPr>
                <w:noProof/>
                <w:webHidden/>
              </w:rPr>
            </w:r>
            <w:r w:rsidR="005319AF">
              <w:rPr>
                <w:noProof/>
                <w:webHidden/>
              </w:rPr>
              <w:fldChar w:fldCharType="separate"/>
            </w:r>
            <w:r w:rsidR="005319AF">
              <w:rPr>
                <w:noProof/>
                <w:webHidden/>
              </w:rPr>
              <w:t>13</w:t>
            </w:r>
            <w:r w:rsidR="005319AF">
              <w:rPr>
                <w:noProof/>
                <w:webHidden/>
              </w:rPr>
              <w:fldChar w:fldCharType="end"/>
            </w:r>
          </w:hyperlink>
        </w:p>
        <w:p w14:paraId="64A3E77B" w14:textId="2041B013" w:rsidR="005319AF" w:rsidRDefault="006A2626">
          <w:pPr>
            <w:pStyle w:val="TOC2"/>
            <w:rPr>
              <w:rFonts w:asciiTheme="minorHAnsi" w:eastAsiaTheme="minorEastAsia" w:hAnsiTheme="minorHAnsi" w:cstheme="minorBidi"/>
              <w:b w:val="0"/>
              <w:noProof/>
              <w:sz w:val="22"/>
              <w:lang w:eastAsia="en-AU"/>
            </w:rPr>
          </w:pPr>
          <w:hyperlink w:anchor="_Toc109301846" w:history="1">
            <w:r w:rsidR="005319AF" w:rsidRPr="00DB303B">
              <w:rPr>
                <w:rStyle w:val="Hyperlink"/>
                <w:noProof/>
              </w:rPr>
              <w:t>Clinical</w:t>
            </w:r>
            <w:r w:rsidR="005319AF">
              <w:rPr>
                <w:noProof/>
                <w:webHidden/>
              </w:rPr>
              <w:tab/>
            </w:r>
            <w:r w:rsidR="005319AF">
              <w:rPr>
                <w:noProof/>
                <w:webHidden/>
              </w:rPr>
              <w:fldChar w:fldCharType="begin"/>
            </w:r>
            <w:r w:rsidR="005319AF">
              <w:rPr>
                <w:noProof/>
                <w:webHidden/>
              </w:rPr>
              <w:instrText xml:space="preserve"> PAGEREF _Toc109301846 \h </w:instrText>
            </w:r>
            <w:r w:rsidR="005319AF">
              <w:rPr>
                <w:noProof/>
                <w:webHidden/>
              </w:rPr>
            </w:r>
            <w:r w:rsidR="005319AF">
              <w:rPr>
                <w:noProof/>
                <w:webHidden/>
              </w:rPr>
              <w:fldChar w:fldCharType="separate"/>
            </w:r>
            <w:r w:rsidR="005319AF">
              <w:rPr>
                <w:noProof/>
                <w:webHidden/>
              </w:rPr>
              <w:t>14</w:t>
            </w:r>
            <w:r w:rsidR="005319AF">
              <w:rPr>
                <w:noProof/>
                <w:webHidden/>
              </w:rPr>
              <w:fldChar w:fldCharType="end"/>
            </w:r>
          </w:hyperlink>
        </w:p>
        <w:p w14:paraId="7EF441C1" w14:textId="53BEE65C" w:rsidR="005319AF" w:rsidRDefault="006A2626">
          <w:pPr>
            <w:pStyle w:val="TOC2"/>
            <w:rPr>
              <w:rFonts w:asciiTheme="minorHAnsi" w:eastAsiaTheme="minorEastAsia" w:hAnsiTheme="minorHAnsi" w:cstheme="minorBidi"/>
              <w:b w:val="0"/>
              <w:noProof/>
              <w:sz w:val="22"/>
              <w:lang w:eastAsia="en-AU"/>
            </w:rPr>
          </w:pPr>
          <w:hyperlink w:anchor="_Toc109301847" w:history="1">
            <w:r w:rsidR="005319AF" w:rsidRPr="00DB303B">
              <w:rPr>
                <w:rStyle w:val="Hyperlink"/>
                <w:noProof/>
                <w:lang w:eastAsia="en-AU"/>
              </w:rPr>
              <w:t>Risk management plan</w:t>
            </w:r>
            <w:r w:rsidR="005319AF">
              <w:rPr>
                <w:noProof/>
                <w:webHidden/>
              </w:rPr>
              <w:tab/>
            </w:r>
            <w:r w:rsidR="005319AF">
              <w:rPr>
                <w:noProof/>
                <w:webHidden/>
              </w:rPr>
              <w:fldChar w:fldCharType="begin"/>
            </w:r>
            <w:r w:rsidR="005319AF">
              <w:rPr>
                <w:noProof/>
                <w:webHidden/>
              </w:rPr>
              <w:instrText xml:space="preserve"> PAGEREF _Toc109301847 \h </w:instrText>
            </w:r>
            <w:r w:rsidR="005319AF">
              <w:rPr>
                <w:noProof/>
                <w:webHidden/>
              </w:rPr>
            </w:r>
            <w:r w:rsidR="005319AF">
              <w:rPr>
                <w:noProof/>
                <w:webHidden/>
              </w:rPr>
              <w:fldChar w:fldCharType="separate"/>
            </w:r>
            <w:r w:rsidR="005319AF">
              <w:rPr>
                <w:noProof/>
                <w:webHidden/>
              </w:rPr>
              <w:t>36</w:t>
            </w:r>
            <w:r w:rsidR="005319AF">
              <w:rPr>
                <w:noProof/>
                <w:webHidden/>
              </w:rPr>
              <w:fldChar w:fldCharType="end"/>
            </w:r>
          </w:hyperlink>
        </w:p>
        <w:p w14:paraId="7B8B94C7" w14:textId="683766B6" w:rsidR="005319AF" w:rsidRDefault="006A2626">
          <w:pPr>
            <w:pStyle w:val="TOC2"/>
            <w:rPr>
              <w:rFonts w:asciiTheme="minorHAnsi" w:eastAsiaTheme="minorEastAsia" w:hAnsiTheme="minorHAnsi" w:cstheme="minorBidi"/>
              <w:b w:val="0"/>
              <w:noProof/>
              <w:sz w:val="22"/>
              <w:lang w:eastAsia="en-AU"/>
            </w:rPr>
          </w:pPr>
          <w:hyperlink w:anchor="_Toc109301848" w:history="1">
            <w:r w:rsidR="005319AF" w:rsidRPr="00DB303B">
              <w:rPr>
                <w:rStyle w:val="Hyperlink"/>
                <w:noProof/>
              </w:rPr>
              <w:t>Risk-benefit analysis</w:t>
            </w:r>
            <w:r w:rsidR="005319AF">
              <w:rPr>
                <w:noProof/>
                <w:webHidden/>
              </w:rPr>
              <w:tab/>
            </w:r>
            <w:r w:rsidR="005319AF">
              <w:rPr>
                <w:noProof/>
                <w:webHidden/>
              </w:rPr>
              <w:fldChar w:fldCharType="begin"/>
            </w:r>
            <w:r w:rsidR="005319AF">
              <w:rPr>
                <w:noProof/>
                <w:webHidden/>
              </w:rPr>
              <w:instrText xml:space="preserve"> PAGEREF _Toc109301848 \h </w:instrText>
            </w:r>
            <w:r w:rsidR="005319AF">
              <w:rPr>
                <w:noProof/>
                <w:webHidden/>
              </w:rPr>
            </w:r>
            <w:r w:rsidR="005319AF">
              <w:rPr>
                <w:noProof/>
                <w:webHidden/>
              </w:rPr>
              <w:fldChar w:fldCharType="separate"/>
            </w:r>
            <w:r w:rsidR="005319AF">
              <w:rPr>
                <w:noProof/>
                <w:webHidden/>
              </w:rPr>
              <w:t>37</w:t>
            </w:r>
            <w:r w:rsidR="005319AF">
              <w:rPr>
                <w:noProof/>
                <w:webHidden/>
              </w:rPr>
              <w:fldChar w:fldCharType="end"/>
            </w:r>
          </w:hyperlink>
        </w:p>
        <w:p w14:paraId="34D78650" w14:textId="0F1A15B5" w:rsidR="005319AF" w:rsidRDefault="006A2626">
          <w:pPr>
            <w:pStyle w:val="TOC1"/>
            <w:rPr>
              <w:rFonts w:asciiTheme="minorHAnsi" w:eastAsiaTheme="minorEastAsia" w:hAnsiTheme="minorHAnsi" w:cstheme="minorBidi"/>
              <w:b w:val="0"/>
              <w:noProof/>
              <w:sz w:val="22"/>
              <w:lang w:eastAsia="en-AU"/>
            </w:rPr>
          </w:pPr>
          <w:hyperlink w:anchor="_Toc109301849" w:history="1">
            <w:r w:rsidR="005319AF" w:rsidRPr="00DB303B">
              <w:rPr>
                <w:rStyle w:val="Hyperlink"/>
                <w:noProof/>
              </w:rPr>
              <w:t>Outcome</w:t>
            </w:r>
            <w:r w:rsidR="005319AF">
              <w:rPr>
                <w:noProof/>
                <w:webHidden/>
              </w:rPr>
              <w:tab/>
            </w:r>
            <w:r w:rsidR="005319AF">
              <w:rPr>
                <w:noProof/>
                <w:webHidden/>
              </w:rPr>
              <w:fldChar w:fldCharType="begin"/>
            </w:r>
            <w:r w:rsidR="005319AF">
              <w:rPr>
                <w:noProof/>
                <w:webHidden/>
              </w:rPr>
              <w:instrText xml:space="preserve"> PAGEREF _Toc109301849 \h </w:instrText>
            </w:r>
            <w:r w:rsidR="005319AF">
              <w:rPr>
                <w:noProof/>
                <w:webHidden/>
              </w:rPr>
            </w:r>
            <w:r w:rsidR="005319AF">
              <w:rPr>
                <w:noProof/>
                <w:webHidden/>
              </w:rPr>
              <w:fldChar w:fldCharType="separate"/>
            </w:r>
            <w:r w:rsidR="005319AF">
              <w:rPr>
                <w:noProof/>
                <w:webHidden/>
              </w:rPr>
              <w:t>41</w:t>
            </w:r>
            <w:r w:rsidR="005319AF">
              <w:rPr>
                <w:noProof/>
                <w:webHidden/>
              </w:rPr>
              <w:fldChar w:fldCharType="end"/>
            </w:r>
          </w:hyperlink>
        </w:p>
        <w:p w14:paraId="4B4873D1" w14:textId="03DCFC24" w:rsidR="005319AF" w:rsidRDefault="006A2626">
          <w:pPr>
            <w:pStyle w:val="TOC2"/>
            <w:rPr>
              <w:rFonts w:asciiTheme="minorHAnsi" w:eastAsiaTheme="minorEastAsia" w:hAnsiTheme="minorHAnsi" w:cstheme="minorBidi"/>
              <w:b w:val="0"/>
              <w:noProof/>
              <w:sz w:val="22"/>
              <w:lang w:eastAsia="en-AU"/>
            </w:rPr>
          </w:pPr>
          <w:hyperlink w:anchor="_Toc109301850" w:history="1">
            <w:r w:rsidR="005319AF" w:rsidRPr="00DB303B">
              <w:rPr>
                <w:rStyle w:val="Hyperlink"/>
                <w:noProof/>
              </w:rPr>
              <w:t>Specific conditions of registration applying to these goods</w:t>
            </w:r>
            <w:r w:rsidR="005319AF">
              <w:rPr>
                <w:noProof/>
                <w:webHidden/>
              </w:rPr>
              <w:tab/>
            </w:r>
            <w:r w:rsidR="005319AF">
              <w:rPr>
                <w:noProof/>
                <w:webHidden/>
              </w:rPr>
              <w:fldChar w:fldCharType="begin"/>
            </w:r>
            <w:r w:rsidR="005319AF">
              <w:rPr>
                <w:noProof/>
                <w:webHidden/>
              </w:rPr>
              <w:instrText xml:space="preserve"> PAGEREF _Toc109301850 \h </w:instrText>
            </w:r>
            <w:r w:rsidR="005319AF">
              <w:rPr>
                <w:noProof/>
                <w:webHidden/>
              </w:rPr>
            </w:r>
            <w:r w:rsidR="005319AF">
              <w:rPr>
                <w:noProof/>
                <w:webHidden/>
              </w:rPr>
              <w:fldChar w:fldCharType="separate"/>
            </w:r>
            <w:r w:rsidR="005319AF">
              <w:rPr>
                <w:noProof/>
                <w:webHidden/>
              </w:rPr>
              <w:t>41</w:t>
            </w:r>
            <w:r w:rsidR="005319AF">
              <w:rPr>
                <w:noProof/>
                <w:webHidden/>
              </w:rPr>
              <w:fldChar w:fldCharType="end"/>
            </w:r>
          </w:hyperlink>
        </w:p>
        <w:p w14:paraId="35900114" w14:textId="35BF01F5" w:rsidR="005319AF" w:rsidRDefault="006A2626">
          <w:pPr>
            <w:pStyle w:val="TOC1"/>
            <w:rPr>
              <w:rFonts w:asciiTheme="minorHAnsi" w:eastAsiaTheme="minorEastAsia" w:hAnsiTheme="minorHAnsi" w:cstheme="minorBidi"/>
              <w:b w:val="0"/>
              <w:noProof/>
              <w:sz w:val="22"/>
              <w:lang w:eastAsia="en-AU"/>
            </w:rPr>
          </w:pPr>
          <w:hyperlink w:anchor="_Toc109301851" w:history="1">
            <w:r w:rsidR="005319AF" w:rsidRPr="00DB303B">
              <w:rPr>
                <w:rStyle w:val="Hyperlink"/>
                <w:noProof/>
              </w:rPr>
              <w:t>Attachment 1. Product Information</w:t>
            </w:r>
            <w:r w:rsidR="005319AF">
              <w:rPr>
                <w:noProof/>
                <w:webHidden/>
              </w:rPr>
              <w:tab/>
            </w:r>
            <w:r w:rsidR="005319AF">
              <w:rPr>
                <w:noProof/>
                <w:webHidden/>
              </w:rPr>
              <w:fldChar w:fldCharType="begin"/>
            </w:r>
            <w:r w:rsidR="005319AF">
              <w:rPr>
                <w:noProof/>
                <w:webHidden/>
              </w:rPr>
              <w:instrText xml:space="preserve"> PAGEREF _Toc109301851 \h </w:instrText>
            </w:r>
            <w:r w:rsidR="005319AF">
              <w:rPr>
                <w:noProof/>
                <w:webHidden/>
              </w:rPr>
            </w:r>
            <w:r w:rsidR="005319AF">
              <w:rPr>
                <w:noProof/>
                <w:webHidden/>
              </w:rPr>
              <w:fldChar w:fldCharType="separate"/>
            </w:r>
            <w:r w:rsidR="005319AF">
              <w:rPr>
                <w:noProof/>
                <w:webHidden/>
              </w:rPr>
              <w:t>42</w:t>
            </w:r>
            <w:r w:rsidR="005319AF">
              <w:rPr>
                <w:noProof/>
                <w:webHidden/>
              </w:rPr>
              <w:fldChar w:fldCharType="end"/>
            </w:r>
          </w:hyperlink>
        </w:p>
        <w:p w14:paraId="4CB3E7B5" w14:textId="7086222C" w:rsidR="003A7F6C" w:rsidRPr="00D23308" w:rsidRDefault="00C525A2" w:rsidP="00EB36D6">
          <w:r w:rsidRPr="00D23308">
            <w:rPr>
              <w:color w:val="2B579A"/>
              <w:shd w:val="clear" w:color="auto" w:fill="E6E6E6"/>
            </w:rPr>
            <w:fldChar w:fldCharType="end"/>
          </w:r>
        </w:p>
      </w:sdtContent>
    </w:sdt>
    <w:bookmarkStart w:id="2" w:name="_Toc314842482" w:displacedByCustomXml="prev"/>
    <w:p w14:paraId="2CCCEAD0" w14:textId="77777777" w:rsidR="00FD119B" w:rsidRPr="00D23308" w:rsidRDefault="00FD119B">
      <w:pPr>
        <w:spacing w:before="0" w:after="200" w:line="0" w:lineRule="auto"/>
      </w:pPr>
      <w:r w:rsidRPr="00D23308">
        <w:br w:type="page"/>
      </w:r>
    </w:p>
    <w:p w14:paraId="4C590228" w14:textId="77777777" w:rsidR="00AF2313" w:rsidRPr="00D23308" w:rsidRDefault="00AF2313" w:rsidP="00AF2313">
      <w:pPr>
        <w:pStyle w:val="Heading2"/>
      </w:pPr>
      <w:bookmarkStart w:id="3" w:name="_Toc98931917"/>
      <w:bookmarkStart w:id="4" w:name="_Toc109301836"/>
      <w:r w:rsidRPr="00D23308">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D23308" w14:paraId="518F30B0"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42BD493D" w14:textId="77777777" w:rsidR="00AF2313" w:rsidRPr="00D23308" w:rsidRDefault="00AF2313">
            <w:pPr>
              <w:rPr>
                <w:color w:val="FFFFFF"/>
              </w:rPr>
            </w:pPr>
            <w:r w:rsidRPr="00D23308">
              <w:t>Abbreviation</w:t>
            </w:r>
          </w:p>
        </w:tc>
        <w:tc>
          <w:tcPr>
            <w:tcW w:w="3282" w:type="pct"/>
            <w:hideMark/>
          </w:tcPr>
          <w:p w14:paraId="72AF7E5A" w14:textId="77777777" w:rsidR="00AF2313" w:rsidRPr="00D23308" w:rsidRDefault="00AF2313">
            <w:r w:rsidRPr="00D23308">
              <w:t>Meaning</w:t>
            </w:r>
          </w:p>
        </w:tc>
      </w:tr>
      <w:tr w:rsidR="00D23308" w:rsidRPr="00D23308" w14:paraId="42FF47F8" w14:textId="77777777" w:rsidTr="00D23308">
        <w:trPr>
          <w:cantSplit/>
        </w:trPr>
        <w:tc>
          <w:tcPr>
            <w:tcW w:w="1013" w:type="pct"/>
            <w:tcBorders>
              <w:top w:val="single" w:sz="8" w:space="0" w:color="002C47"/>
              <w:left w:val="single" w:sz="8" w:space="0" w:color="002C47"/>
              <w:bottom w:val="single" w:sz="8" w:space="0" w:color="002C47"/>
              <w:right w:val="single" w:sz="8" w:space="0" w:color="002C47"/>
            </w:tcBorders>
          </w:tcPr>
          <w:p w14:paraId="56B90E91" w14:textId="28F27F0C" w:rsidR="00D23308" w:rsidRPr="00D23308" w:rsidRDefault="00D23308" w:rsidP="00D23308">
            <w:r w:rsidRPr="00D23308">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1470B5E8" w14:textId="7A00BE1B" w:rsidR="00D23308" w:rsidRPr="00D23308" w:rsidRDefault="00D23308" w:rsidP="00D23308">
            <w:r w:rsidRPr="00D23308">
              <w:t>Advisory Committee on Medicines</w:t>
            </w:r>
          </w:p>
        </w:tc>
      </w:tr>
      <w:tr w:rsidR="00D23308" w:rsidRPr="00D23308" w14:paraId="06EA808E" w14:textId="77777777" w:rsidTr="00D23308">
        <w:trPr>
          <w:cantSplit/>
        </w:trPr>
        <w:tc>
          <w:tcPr>
            <w:tcW w:w="1013" w:type="pct"/>
            <w:tcBorders>
              <w:top w:val="single" w:sz="8" w:space="0" w:color="002C47"/>
              <w:left w:val="single" w:sz="8" w:space="0" w:color="002C47"/>
              <w:bottom w:val="single" w:sz="8" w:space="0" w:color="002C47"/>
              <w:right w:val="single" w:sz="8" w:space="0" w:color="002C47"/>
            </w:tcBorders>
          </w:tcPr>
          <w:p w14:paraId="5678C1E5" w14:textId="098A0E58" w:rsidR="00D23308" w:rsidRPr="00D23308" w:rsidRDefault="00D23308" w:rsidP="00D23308">
            <w:r w:rsidRPr="00D23308">
              <w:t>AE</w:t>
            </w:r>
          </w:p>
        </w:tc>
        <w:tc>
          <w:tcPr>
            <w:tcW w:w="3987" w:type="pct"/>
            <w:gridSpan w:val="2"/>
            <w:tcBorders>
              <w:top w:val="single" w:sz="8" w:space="0" w:color="002C47"/>
              <w:left w:val="single" w:sz="8" w:space="0" w:color="002C47"/>
              <w:bottom w:val="single" w:sz="8" w:space="0" w:color="002C47"/>
              <w:right w:val="single" w:sz="8" w:space="0" w:color="002C47"/>
            </w:tcBorders>
          </w:tcPr>
          <w:p w14:paraId="71B34EFF" w14:textId="1054F540" w:rsidR="00D23308" w:rsidRPr="00D23308" w:rsidRDefault="00D23308" w:rsidP="00D23308">
            <w:r w:rsidRPr="00D23308">
              <w:t>Adverse event</w:t>
            </w:r>
          </w:p>
        </w:tc>
      </w:tr>
      <w:tr w:rsidR="00D23308" w:rsidRPr="00D23308" w14:paraId="3161FC96" w14:textId="77777777" w:rsidTr="00D23308">
        <w:trPr>
          <w:cantSplit/>
        </w:trPr>
        <w:tc>
          <w:tcPr>
            <w:tcW w:w="1013" w:type="pct"/>
            <w:tcBorders>
              <w:top w:val="single" w:sz="8" w:space="0" w:color="002C47"/>
              <w:left w:val="single" w:sz="8" w:space="0" w:color="002C47"/>
              <w:bottom w:val="single" w:sz="8" w:space="0" w:color="002C47"/>
              <w:right w:val="single" w:sz="8" w:space="0" w:color="002C47"/>
            </w:tcBorders>
          </w:tcPr>
          <w:p w14:paraId="6D527B0F" w14:textId="26516354" w:rsidR="00D23308" w:rsidRPr="00D23308" w:rsidRDefault="00D23308" w:rsidP="00D23308">
            <w:r w:rsidRPr="00D23308">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1047E67D" w14:textId="1B5C6782" w:rsidR="00D23308" w:rsidRPr="00D23308" w:rsidRDefault="00D23308" w:rsidP="00D23308">
            <w:r w:rsidRPr="00D23308">
              <w:t>Australian Register of Therapeutic Goods</w:t>
            </w:r>
          </w:p>
        </w:tc>
      </w:tr>
      <w:tr w:rsidR="00D23308" w:rsidRPr="00D23308" w14:paraId="60904339" w14:textId="77777777" w:rsidTr="00D23308">
        <w:trPr>
          <w:cantSplit/>
        </w:trPr>
        <w:tc>
          <w:tcPr>
            <w:tcW w:w="1013" w:type="pct"/>
            <w:tcBorders>
              <w:top w:val="single" w:sz="8" w:space="0" w:color="002C47"/>
              <w:left w:val="single" w:sz="8" w:space="0" w:color="002C47"/>
              <w:bottom w:val="single" w:sz="8" w:space="0" w:color="002C47"/>
              <w:right w:val="single" w:sz="8" w:space="0" w:color="002C47"/>
            </w:tcBorders>
          </w:tcPr>
          <w:p w14:paraId="1723E2A8" w14:textId="42FB9F79" w:rsidR="00D23308" w:rsidRPr="00D23308" w:rsidRDefault="00D23308" w:rsidP="00D23308">
            <w:r w:rsidRPr="00D23308">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56BB0A8A" w14:textId="4A21B61B" w:rsidR="00D23308" w:rsidRPr="00D23308" w:rsidRDefault="00D23308" w:rsidP="00D23308">
            <w:r w:rsidRPr="00D23308">
              <w:t>Australia specific annex</w:t>
            </w:r>
          </w:p>
        </w:tc>
      </w:tr>
      <w:tr w:rsidR="00D23308" w:rsidRPr="00D23308" w14:paraId="757929CB" w14:textId="77777777" w:rsidTr="00D23308">
        <w:trPr>
          <w:cantSplit/>
        </w:trPr>
        <w:tc>
          <w:tcPr>
            <w:tcW w:w="1013" w:type="pct"/>
            <w:tcBorders>
              <w:top w:val="single" w:sz="8" w:space="0" w:color="002C47"/>
              <w:left w:val="single" w:sz="8" w:space="0" w:color="002C47"/>
              <w:bottom w:val="single" w:sz="8" w:space="0" w:color="002C47"/>
              <w:right w:val="single" w:sz="8" w:space="0" w:color="002C47"/>
            </w:tcBorders>
          </w:tcPr>
          <w:p w14:paraId="196FBB8C" w14:textId="0A53F8C9" w:rsidR="00D23308" w:rsidRPr="00D23308" w:rsidRDefault="00D23308" w:rsidP="00D23308">
            <w:r w:rsidRPr="00D23308">
              <w:t>ATE</w:t>
            </w:r>
          </w:p>
        </w:tc>
        <w:tc>
          <w:tcPr>
            <w:tcW w:w="3987" w:type="pct"/>
            <w:gridSpan w:val="2"/>
            <w:tcBorders>
              <w:top w:val="single" w:sz="8" w:space="0" w:color="002C47"/>
              <w:left w:val="single" w:sz="8" w:space="0" w:color="002C47"/>
              <w:bottom w:val="single" w:sz="8" w:space="0" w:color="002C47"/>
              <w:right w:val="single" w:sz="8" w:space="0" w:color="002C47"/>
            </w:tcBorders>
          </w:tcPr>
          <w:p w14:paraId="6E7ABB87" w14:textId="527BFBBA" w:rsidR="00D23308" w:rsidRPr="00D23308" w:rsidRDefault="00D23308" w:rsidP="00D23308">
            <w:r w:rsidRPr="00D23308">
              <w:t>Arterial thromboembolism</w:t>
            </w:r>
          </w:p>
        </w:tc>
      </w:tr>
      <w:tr w:rsidR="00D23308" w:rsidRPr="00D23308" w14:paraId="6AF8AF6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4454569" w14:textId="7974FE0F" w:rsidR="00D23308" w:rsidRPr="00D23308" w:rsidRDefault="00D23308" w:rsidP="00D23308">
            <w:pPr>
              <w:rPr>
                <w:color w:val="000000"/>
              </w:rPr>
            </w:pPr>
            <w:r w:rsidRPr="00D23308">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30849FF1" w14:textId="64986F5F" w:rsidR="00D23308" w:rsidRPr="00D23308" w:rsidRDefault="00D23308" w:rsidP="00D23308">
            <w:pPr>
              <w:rPr>
                <w:color w:val="000000"/>
              </w:rPr>
            </w:pPr>
            <w:r w:rsidRPr="00D23308">
              <w:t>Area under the concentration</w:t>
            </w:r>
            <w:r w:rsidR="00CC74F8">
              <w:t>-</w:t>
            </w:r>
            <w:r w:rsidRPr="00D23308">
              <w:t>time curve</w:t>
            </w:r>
          </w:p>
        </w:tc>
      </w:tr>
      <w:tr w:rsidR="00D23308" w:rsidRPr="00D23308" w14:paraId="1538FCAE"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06CD74FE" w14:textId="55C1D71A" w:rsidR="00D23308" w:rsidRPr="00D23308" w:rsidRDefault="00D23308" w:rsidP="00D23308">
            <w:pPr>
              <w:rPr>
                <w:color w:val="000000"/>
              </w:rPr>
            </w:pPr>
            <w:r w:rsidRPr="00D23308">
              <w:t>BMI</w:t>
            </w:r>
          </w:p>
        </w:tc>
        <w:tc>
          <w:tcPr>
            <w:tcW w:w="3987" w:type="pct"/>
            <w:gridSpan w:val="2"/>
            <w:tcBorders>
              <w:top w:val="single" w:sz="8" w:space="0" w:color="002C47"/>
              <w:left w:val="single" w:sz="8" w:space="0" w:color="002C47"/>
              <w:bottom w:val="single" w:sz="8" w:space="0" w:color="002C47"/>
              <w:right w:val="single" w:sz="8" w:space="0" w:color="002C47"/>
            </w:tcBorders>
          </w:tcPr>
          <w:p w14:paraId="130DD88B" w14:textId="0865D21F" w:rsidR="00D23308" w:rsidRPr="00D23308" w:rsidRDefault="00D23308" w:rsidP="00D23308">
            <w:r w:rsidRPr="00D23308">
              <w:t>Body mass index</w:t>
            </w:r>
          </w:p>
        </w:tc>
      </w:tr>
      <w:tr w:rsidR="00D23308" w:rsidRPr="00D23308" w14:paraId="030B09A9"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016060EE" w14:textId="1DB595DB" w:rsidR="00D23308" w:rsidRPr="00D23308" w:rsidRDefault="00001DFF" w:rsidP="00D23308">
            <w:r>
              <w:t>[</w:t>
            </w:r>
            <w:r w:rsidR="00D23308" w:rsidRPr="00D23308">
              <w:rPr>
                <w:vertAlign w:val="superscript"/>
              </w:rPr>
              <w:t>14</w:t>
            </w:r>
            <w:r w:rsidR="00D23308" w:rsidRPr="00D23308">
              <w:t>C</w:t>
            </w:r>
            <w:r>
              <w:t>]</w:t>
            </w:r>
          </w:p>
        </w:tc>
        <w:tc>
          <w:tcPr>
            <w:tcW w:w="3987" w:type="pct"/>
            <w:gridSpan w:val="2"/>
            <w:tcBorders>
              <w:top w:val="single" w:sz="8" w:space="0" w:color="002C47"/>
              <w:left w:val="single" w:sz="8" w:space="0" w:color="002C47"/>
              <w:bottom w:val="single" w:sz="8" w:space="0" w:color="002C47"/>
              <w:right w:val="single" w:sz="8" w:space="0" w:color="002C47"/>
            </w:tcBorders>
          </w:tcPr>
          <w:p w14:paraId="69733026" w14:textId="5D7F1831" w:rsidR="00D23308" w:rsidRPr="00D23308" w:rsidRDefault="00D23308" w:rsidP="00D23308">
            <w:r w:rsidRPr="00D23308">
              <w:t>Carbon-14</w:t>
            </w:r>
          </w:p>
        </w:tc>
      </w:tr>
      <w:tr w:rsidR="00D23308" w:rsidRPr="00D23308" w14:paraId="7047FF41"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5BEAC4D" w14:textId="1518514F" w:rsidR="00D23308" w:rsidRPr="00D23308" w:rsidRDefault="00D23308" w:rsidP="00D23308">
            <w:pPr>
              <w:rPr>
                <w:vertAlign w:val="superscript"/>
              </w:rPr>
            </w:pPr>
            <w:r w:rsidRPr="00D23308">
              <w:t>CDER</w:t>
            </w:r>
          </w:p>
        </w:tc>
        <w:tc>
          <w:tcPr>
            <w:tcW w:w="3987" w:type="pct"/>
            <w:gridSpan w:val="2"/>
            <w:tcBorders>
              <w:top w:val="single" w:sz="8" w:space="0" w:color="002C47"/>
              <w:left w:val="single" w:sz="8" w:space="0" w:color="002C47"/>
              <w:bottom w:val="single" w:sz="8" w:space="0" w:color="002C47"/>
              <w:right w:val="single" w:sz="8" w:space="0" w:color="002C47"/>
            </w:tcBorders>
          </w:tcPr>
          <w:p w14:paraId="3EE4F2EB" w14:textId="7FDE3C46" w:rsidR="00D23308" w:rsidRPr="00D23308" w:rsidRDefault="00D23308" w:rsidP="00D23308">
            <w:proofErr w:type="spellStart"/>
            <w:r w:rsidRPr="00D23308">
              <w:t>Cente</w:t>
            </w:r>
            <w:r w:rsidR="00001DFF">
              <w:t>r</w:t>
            </w:r>
            <w:proofErr w:type="spellEnd"/>
            <w:r w:rsidRPr="00D23308">
              <w:t xml:space="preserve"> for Drug Evaluation and Research (</w:t>
            </w:r>
            <w:r w:rsidR="00001DFF">
              <w:t xml:space="preserve">Food and Drug Administration, </w:t>
            </w:r>
            <w:r w:rsidRPr="00D23308">
              <w:t>United States of America)</w:t>
            </w:r>
          </w:p>
        </w:tc>
      </w:tr>
      <w:tr w:rsidR="00D23308" w:rsidRPr="00D23308" w14:paraId="5CABECAF" w14:textId="11043B2E"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66C14AF1" w14:textId="305C024A" w:rsidR="00D23308" w:rsidRPr="00D23308" w:rsidRDefault="00D23308" w:rsidP="00D23308">
            <w:r w:rsidRPr="00D23308">
              <w:t>CHC</w:t>
            </w:r>
          </w:p>
        </w:tc>
        <w:tc>
          <w:tcPr>
            <w:tcW w:w="3987" w:type="pct"/>
            <w:gridSpan w:val="2"/>
            <w:tcBorders>
              <w:top w:val="single" w:sz="8" w:space="0" w:color="002C47"/>
              <w:left w:val="single" w:sz="8" w:space="0" w:color="002C47"/>
              <w:bottom w:val="single" w:sz="8" w:space="0" w:color="002C47"/>
              <w:right w:val="single" w:sz="8" w:space="0" w:color="002C47"/>
            </w:tcBorders>
          </w:tcPr>
          <w:p w14:paraId="2064F8DD" w14:textId="6049F9E2" w:rsidR="00D23308" w:rsidRPr="00D23308" w:rsidRDefault="00D23308" w:rsidP="00D23308">
            <w:r w:rsidRPr="00D23308">
              <w:t>Combined hormonal contraceptive</w:t>
            </w:r>
          </w:p>
        </w:tc>
      </w:tr>
      <w:tr w:rsidR="00D23308" w:rsidRPr="00D23308" w14:paraId="0D10DF68"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54CC3E2" w14:textId="5B575240" w:rsidR="00D23308" w:rsidRPr="00D23308" w:rsidRDefault="00D23308" w:rsidP="00D23308">
            <w:r w:rsidRPr="00D23308">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7D03924F" w14:textId="3FFB474D" w:rsidR="00D23308" w:rsidRPr="00D23308" w:rsidRDefault="00D23308" w:rsidP="00D23308">
            <w:r w:rsidRPr="00D23308">
              <w:t>Committee for Medicinal Products for Human Use (European Union)</w:t>
            </w:r>
          </w:p>
        </w:tc>
      </w:tr>
      <w:tr w:rsidR="00D23308" w:rsidRPr="00D23308" w14:paraId="3215270C"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3DCB6C1A" w14:textId="7087D6AA" w:rsidR="00D23308" w:rsidRPr="00D23308" w:rsidRDefault="00D23308" w:rsidP="00D23308">
            <w:r w:rsidRPr="00D23308">
              <w:t>CI</w:t>
            </w:r>
          </w:p>
        </w:tc>
        <w:tc>
          <w:tcPr>
            <w:tcW w:w="3987" w:type="pct"/>
            <w:gridSpan w:val="2"/>
            <w:tcBorders>
              <w:top w:val="single" w:sz="8" w:space="0" w:color="002C47"/>
              <w:left w:val="single" w:sz="8" w:space="0" w:color="002C47"/>
              <w:bottom w:val="single" w:sz="8" w:space="0" w:color="002C47"/>
              <w:right w:val="single" w:sz="8" w:space="0" w:color="002C47"/>
            </w:tcBorders>
          </w:tcPr>
          <w:p w14:paraId="3FFEEE9F" w14:textId="264339C3" w:rsidR="00D23308" w:rsidRPr="00D23308" w:rsidRDefault="00D23308" w:rsidP="00D23308">
            <w:r w:rsidRPr="00D23308">
              <w:t>Confidence interval</w:t>
            </w:r>
          </w:p>
        </w:tc>
      </w:tr>
      <w:tr w:rsidR="00D23308" w:rsidRPr="00D23308" w14:paraId="52A75CCD"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E65724F" w14:textId="79A00607" w:rsidR="00D23308" w:rsidRPr="00D23308" w:rsidRDefault="00D23308" w:rsidP="00D23308">
            <w:proofErr w:type="spellStart"/>
            <w:r w:rsidRPr="00D23308">
              <w:t>C</w:t>
            </w:r>
            <w:r w:rsidRPr="00D23308">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4DF3956" w14:textId="0B14276B" w:rsidR="00D23308" w:rsidRPr="00D23308" w:rsidRDefault="00D23308" w:rsidP="00D23308">
            <w:r w:rsidRPr="00D23308">
              <w:t>Maximum plasma concentration</w:t>
            </w:r>
          </w:p>
        </w:tc>
      </w:tr>
      <w:tr w:rsidR="00D23308" w:rsidRPr="00D23308" w14:paraId="769E0555"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6422EE8" w14:textId="273F8FF5" w:rsidR="00D23308" w:rsidRPr="00D23308" w:rsidRDefault="00D23308" w:rsidP="00D23308">
            <w:r w:rsidRPr="00D23308">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440E60A2" w14:textId="4C826A11" w:rsidR="00D23308" w:rsidRPr="00D23308" w:rsidRDefault="00D23308" w:rsidP="00D23308">
            <w:r w:rsidRPr="00D23308">
              <w:t>Consumer Medicines Information</w:t>
            </w:r>
          </w:p>
        </w:tc>
      </w:tr>
      <w:tr w:rsidR="00103742" w:rsidRPr="00D23308" w14:paraId="0A627E44"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192C1085" w14:textId="36C64D1B" w:rsidR="00103742" w:rsidRPr="00D23308" w:rsidRDefault="00103742" w:rsidP="00D23308">
            <w:r w:rsidRPr="00103742">
              <w:t>COC</w:t>
            </w:r>
          </w:p>
        </w:tc>
        <w:tc>
          <w:tcPr>
            <w:tcW w:w="3987" w:type="pct"/>
            <w:gridSpan w:val="2"/>
            <w:tcBorders>
              <w:top w:val="single" w:sz="8" w:space="0" w:color="002C47"/>
              <w:left w:val="single" w:sz="8" w:space="0" w:color="002C47"/>
              <w:bottom w:val="single" w:sz="8" w:space="0" w:color="002C47"/>
              <w:right w:val="single" w:sz="8" w:space="0" w:color="002C47"/>
            </w:tcBorders>
          </w:tcPr>
          <w:p w14:paraId="4A8278D6" w14:textId="3BCDF332" w:rsidR="00103742" w:rsidRPr="00D23308" w:rsidRDefault="00103742" w:rsidP="00D23308">
            <w:r>
              <w:t>C</w:t>
            </w:r>
            <w:r w:rsidRPr="00103742">
              <w:t>ombined oral contraceptive</w:t>
            </w:r>
          </w:p>
        </w:tc>
      </w:tr>
      <w:tr w:rsidR="00D23308" w:rsidRPr="00D23308" w14:paraId="150A17C3"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2491CC78" w14:textId="3F3E4345" w:rsidR="00D23308" w:rsidRPr="00D23308" w:rsidRDefault="00D23308" w:rsidP="00D23308">
            <w:r w:rsidRPr="00D23308">
              <w:t>CYP</w:t>
            </w:r>
          </w:p>
        </w:tc>
        <w:tc>
          <w:tcPr>
            <w:tcW w:w="3987" w:type="pct"/>
            <w:gridSpan w:val="2"/>
            <w:tcBorders>
              <w:top w:val="single" w:sz="8" w:space="0" w:color="002C47"/>
              <w:left w:val="single" w:sz="8" w:space="0" w:color="002C47"/>
              <w:bottom w:val="single" w:sz="8" w:space="0" w:color="002C47"/>
              <w:right w:val="single" w:sz="8" w:space="0" w:color="002C47"/>
            </w:tcBorders>
          </w:tcPr>
          <w:p w14:paraId="085DE440" w14:textId="52A78715" w:rsidR="00D23308" w:rsidRPr="00D23308" w:rsidRDefault="00D23308" w:rsidP="00D23308">
            <w:r w:rsidRPr="00D23308">
              <w:t>Cytochrome P450</w:t>
            </w:r>
          </w:p>
        </w:tc>
      </w:tr>
      <w:tr w:rsidR="00D23308" w:rsidRPr="00D23308" w14:paraId="721B1A98"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1590B10E" w14:textId="14D82CB0" w:rsidR="00D23308" w:rsidRPr="00D23308" w:rsidRDefault="00D23308" w:rsidP="00D23308">
            <w:r w:rsidRPr="00D23308">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6AE519C9" w14:textId="44370BF7" w:rsidR="00D23308" w:rsidRPr="00D23308" w:rsidRDefault="00D23308" w:rsidP="00D23308">
            <w:r w:rsidRPr="00D23308">
              <w:t>Data lock point</w:t>
            </w:r>
          </w:p>
        </w:tc>
      </w:tr>
      <w:tr w:rsidR="00A22375" w:rsidRPr="00D23308" w14:paraId="06BA878E" w14:textId="2541458E"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497596F" w14:textId="127077E7" w:rsidR="00A22375" w:rsidRPr="0013307A" w:rsidRDefault="00A22375" w:rsidP="00D23308">
            <w:r w:rsidRPr="00A22375">
              <w:t>DNG</w:t>
            </w:r>
          </w:p>
        </w:tc>
        <w:tc>
          <w:tcPr>
            <w:tcW w:w="3987" w:type="pct"/>
            <w:gridSpan w:val="2"/>
            <w:tcBorders>
              <w:top w:val="single" w:sz="8" w:space="0" w:color="002C47"/>
              <w:left w:val="single" w:sz="8" w:space="0" w:color="002C47"/>
              <w:bottom w:val="single" w:sz="8" w:space="0" w:color="002C47"/>
              <w:right w:val="single" w:sz="8" w:space="0" w:color="002C47"/>
            </w:tcBorders>
          </w:tcPr>
          <w:p w14:paraId="6D4EE52B" w14:textId="5348A726" w:rsidR="00A22375" w:rsidRDefault="00A22375" w:rsidP="00D23308">
            <w:proofErr w:type="spellStart"/>
            <w:r>
              <w:t>D</w:t>
            </w:r>
            <w:r w:rsidRPr="00A22375">
              <w:t>ienoges</w:t>
            </w:r>
            <w:r>
              <w:t>t</w:t>
            </w:r>
            <w:proofErr w:type="spellEnd"/>
          </w:p>
        </w:tc>
      </w:tr>
      <w:tr w:rsidR="00A22375" w:rsidRPr="00D23308" w14:paraId="1563EB4D"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60DDD29" w14:textId="2085F264" w:rsidR="00A22375" w:rsidRPr="00A22375" w:rsidRDefault="00A22375" w:rsidP="00D23308">
            <w:r w:rsidRPr="00A22375">
              <w:t>E4</w:t>
            </w:r>
          </w:p>
        </w:tc>
        <w:tc>
          <w:tcPr>
            <w:tcW w:w="3987" w:type="pct"/>
            <w:gridSpan w:val="2"/>
            <w:tcBorders>
              <w:top w:val="single" w:sz="8" w:space="0" w:color="002C47"/>
              <w:left w:val="single" w:sz="8" w:space="0" w:color="002C47"/>
              <w:bottom w:val="single" w:sz="8" w:space="0" w:color="002C47"/>
              <w:right w:val="single" w:sz="8" w:space="0" w:color="002C47"/>
            </w:tcBorders>
          </w:tcPr>
          <w:p w14:paraId="0CEA58F8" w14:textId="1127A729" w:rsidR="00A22375" w:rsidRDefault="00A22375" w:rsidP="00D23308">
            <w:r>
              <w:t>E</w:t>
            </w:r>
            <w:r w:rsidRPr="00A22375">
              <w:t>stetrol</w:t>
            </w:r>
          </w:p>
        </w:tc>
      </w:tr>
      <w:tr w:rsidR="00A22375" w:rsidRPr="00D23308" w14:paraId="583BF8C0"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25131907" w14:textId="6DADBE2A" w:rsidR="00A22375" w:rsidRPr="00363C76" w:rsidRDefault="00A22375" w:rsidP="00D23308">
            <w:r w:rsidRPr="00A22375">
              <w:t>ER</w:t>
            </w:r>
          </w:p>
        </w:tc>
        <w:tc>
          <w:tcPr>
            <w:tcW w:w="3987" w:type="pct"/>
            <w:gridSpan w:val="2"/>
            <w:tcBorders>
              <w:top w:val="single" w:sz="8" w:space="0" w:color="002C47"/>
              <w:left w:val="single" w:sz="8" w:space="0" w:color="002C47"/>
              <w:bottom w:val="single" w:sz="8" w:space="0" w:color="002C47"/>
              <w:right w:val="single" w:sz="8" w:space="0" w:color="002C47"/>
            </w:tcBorders>
          </w:tcPr>
          <w:p w14:paraId="68B3E3ED" w14:textId="66ED1EB4" w:rsidR="00A22375" w:rsidRDefault="00A22375" w:rsidP="00D23308">
            <w:r>
              <w:t>E</w:t>
            </w:r>
            <w:r w:rsidRPr="00A22375">
              <w:t>strogen receptor</w:t>
            </w:r>
          </w:p>
        </w:tc>
      </w:tr>
      <w:tr w:rsidR="00A22375" w:rsidRPr="00D23308" w14:paraId="3CB1E02F" w14:textId="68879DD4"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1F5291E7" w14:textId="65CFBF9A" w:rsidR="00A22375" w:rsidRPr="00363C76" w:rsidRDefault="00A22375" w:rsidP="00D23308">
            <w:r w:rsidRPr="00A22375">
              <w:t>E2V</w:t>
            </w:r>
          </w:p>
        </w:tc>
        <w:tc>
          <w:tcPr>
            <w:tcW w:w="3987" w:type="pct"/>
            <w:gridSpan w:val="2"/>
            <w:tcBorders>
              <w:top w:val="single" w:sz="8" w:space="0" w:color="002C47"/>
              <w:left w:val="single" w:sz="8" w:space="0" w:color="002C47"/>
              <w:bottom w:val="single" w:sz="8" w:space="0" w:color="002C47"/>
              <w:right w:val="single" w:sz="8" w:space="0" w:color="002C47"/>
            </w:tcBorders>
          </w:tcPr>
          <w:p w14:paraId="3DB3FB06" w14:textId="208D51CB" w:rsidR="00A22375" w:rsidRDefault="00A22375" w:rsidP="00D23308">
            <w:r>
              <w:t>E</w:t>
            </w:r>
            <w:r w:rsidRPr="00A22375">
              <w:t>stradiol valerate</w:t>
            </w:r>
          </w:p>
        </w:tc>
      </w:tr>
      <w:tr w:rsidR="00D23308" w:rsidRPr="00D23308" w14:paraId="55530C71"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3F2EF58" w14:textId="00C6A26D" w:rsidR="00E5062A" w:rsidRPr="00E5062A" w:rsidRDefault="00D23308" w:rsidP="002B7EFF">
            <w:r w:rsidRPr="00D23308">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59D4D743" w14:textId="226514A4" w:rsidR="00D23308" w:rsidRPr="00D23308" w:rsidRDefault="00D23308" w:rsidP="00D23308">
            <w:r w:rsidRPr="00D23308">
              <w:t>European Medicines Agency (European Union)</w:t>
            </w:r>
          </w:p>
        </w:tc>
      </w:tr>
      <w:tr w:rsidR="00D23308" w:rsidRPr="00D23308" w14:paraId="5E968C4E" w14:textId="0A2DF6CF"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91D10D0" w14:textId="60C0E142" w:rsidR="00E5062A" w:rsidRPr="00E5062A" w:rsidRDefault="00D23308" w:rsidP="002B7EFF">
            <w:r w:rsidRPr="00D23308">
              <w:t>EMEA</w:t>
            </w:r>
          </w:p>
        </w:tc>
        <w:tc>
          <w:tcPr>
            <w:tcW w:w="3987" w:type="pct"/>
            <w:gridSpan w:val="2"/>
            <w:tcBorders>
              <w:top w:val="single" w:sz="8" w:space="0" w:color="002C47"/>
              <w:left w:val="single" w:sz="8" w:space="0" w:color="002C47"/>
              <w:bottom w:val="single" w:sz="8" w:space="0" w:color="002C47"/>
              <w:right w:val="single" w:sz="8" w:space="0" w:color="002C47"/>
            </w:tcBorders>
          </w:tcPr>
          <w:p w14:paraId="4B1ACF7B" w14:textId="62BD107A" w:rsidR="00D23308" w:rsidRPr="00D23308" w:rsidRDefault="00D23308" w:rsidP="00D23308">
            <w:r w:rsidRPr="00D23308">
              <w:t>European Medicines Evaluation Agency (European Union)</w:t>
            </w:r>
          </w:p>
        </w:tc>
      </w:tr>
      <w:tr w:rsidR="00D23308" w:rsidRPr="00D23308" w14:paraId="41D86023"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1C1DF89" w14:textId="628E920B" w:rsidR="00E5062A" w:rsidRPr="00E5062A" w:rsidRDefault="00D23308" w:rsidP="002B7EFF">
            <w:r w:rsidRPr="00D23308">
              <w:t>EU</w:t>
            </w:r>
          </w:p>
        </w:tc>
        <w:tc>
          <w:tcPr>
            <w:tcW w:w="3987" w:type="pct"/>
            <w:gridSpan w:val="2"/>
            <w:tcBorders>
              <w:top w:val="single" w:sz="8" w:space="0" w:color="002C47"/>
              <w:left w:val="single" w:sz="8" w:space="0" w:color="002C47"/>
              <w:bottom w:val="single" w:sz="8" w:space="0" w:color="002C47"/>
              <w:right w:val="single" w:sz="8" w:space="0" w:color="002C47"/>
            </w:tcBorders>
          </w:tcPr>
          <w:p w14:paraId="35A97ACA" w14:textId="342D388F" w:rsidR="00D23308" w:rsidRPr="00D23308" w:rsidRDefault="00D23308" w:rsidP="00D23308">
            <w:r w:rsidRPr="00D23308">
              <w:t>European Union</w:t>
            </w:r>
          </w:p>
        </w:tc>
      </w:tr>
      <w:tr w:rsidR="00D23308" w:rsidRPr="00D23308" w14:paraId="6F2C0B9D"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388D0C1B" w14:textId="07C6675F" w:rsidR="00D23308" w:rsidRPr="00D23308" w:rsidRDefault="00D23308" w:rsidP="00D23308">
            <w:r w:rsidRPr="00D23308">
              <w:lastRenderedPageBreak/>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16164399" w14:textId="61785930" w:rsidR="00D23308" w:rsidRPr="00D23308" w:rsidRDefault="00D23308" w:rsidP="00D23308">
            <w:r w:rsidRPr="00D23308">
              <w:t>Food and Drug Administration (United States of America)</w:t>
            </w:r>
          </w:p>
        </w:tc>
      </w:tr>
      <w:tr w:rsidR="00D23308" w:rsidRPr="00D23308" w14:paraId="47F9B779"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FFC25AD" w14:textId="5200773F" w:rsidR="00D23308" w:rsidRPr="00D23308" w:rsidRDefault="00D23308" w:rsidP="00D23308">
            <w:r w:rsidRPr="00D23308">
              <w:t>FSH</w:t>
            </w:r>
          </w:p>
        </w:tc>
        <w:tc>
          <w:tcPr>
            <w:tcW w:w="3987" w:type="pct"/>
            <w:gridSpan w:val="2"/>
            <w:tcBorders>
              <w:top w:val="single" w:sz="8" w:space="0" w:color="002C47"/>
              <w:left w:val="single" w:sz="8" w:space="0" w:color="002C47"/>
              <w:bottom w:val="single" w:sz="8" w:space="0" w:color="002C47"/>
              <w:right w:val="single" w:sz="8" w:space="0" w:color="002C47"/>
            </w:tcBorders>
          </w:tcPr>
          <w:p w14:paraId="173E3165" w14:textId="76EB8101" w:rsidR="00D23308" w:rsidRPr="00D23308" w:rsidRDefault="00D23308" w:rsidP="00D23308">
            <w:r w:rsidRPr="00D23308">
              <w:t>Follicle stimulating hormone</w:t>
            </w:r>
          </w:p>
        </w:tc>
      </w:tr>
      <w:tr w:rsidR="00D23308" w:rsidRPr="00D23308" w14:paraId="3C29334C"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9C94B54" w14:textId="13A1C50D" w:rsidR="00D23308" w:rsidRPr="00D23308" w:rsidRDefault="00D23308" w:rsidP="00D23308">
            <w:r w:rsidRPr="00D23308">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4A5BBB31" w14:textId="4011406A" w:rsidR="00D23308" w:rsidRPr="00D23308" w:rsidRDefault="00D23308" w:rsidP="00D23308">
            <w:r w:rsidRPr="00D23308">
              <w:t>Good Pharmacovigilance Practices</w:t>
            </w:r>
          </w:p>
        </w:tc>
      </w:tr>
      <w:tr w:rsidR="00D23308" w:rsidRPr="00D23308" w14:paraId="12A1BFB7"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0256B08A" w14:textId="62447983" w:rsidR="00D23308" w:rsidRPr="00D23308" w:rsidRDefault="00D23308" w:rsidP="00D23308">
            <w:r w:rsidRPr="00D23308">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52BF5EB9" w14:textId="77F692F8" w:rsidR="00D23308" w:rsidRPr="00D23308" w:rsidRDefault="00D23308" w:rsidP="00D23308">
            <w:r w:rsidRPr="00D23308">
              <w:t>Intention-to-treat</w:t>
            </w:r>
          </w:p>
        </w:tc>
      </w:tr>
      <w:tr w:rsidR="00D23308" w:rsidRPr="00D23308" w14:paraId="23499EFD"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8ECAB17" w14:textId="5A65216E" w:rsidR="00D23308" w:rsidRPr="00D23308" w:rsidRDefault="00D23308" w:rsidP="00D23308">
            <w:r w:rsidRPr="00D23308">
              <w:t>LH</w:t>
            </w:r>
          </w:p>
        </w:tc>
        <w:tc>
          <w:tcPr>
            <w:tcW w:w="3987" w:type="pct"/>
            <w:gridSpan w:val="2"/>
            <w:tcBorders>
              <w:top w:val="single" w:sz="8" w:space="0" w:color="002C47"/>
              <w:left w:val="single" w:sz="8" w:space="0" w:color="002C47"/>
              <w:bottom w:val="single" w:sz="8" w:space="0" w:color="002C47"/>
              <w:right w:val="single" w:sz="8" w:space="0" w:color="002C47"/>
            </w:tcBorders>
          </w:tcPr>
          <w:p w14:paraId="2A6C9980" w14:textId="74C06AC6" w:rsidR="00D23308" w:rsidRPr="00D23308" w:rsidRDefault="00D23308" w:rsidP="00D23308">
            <w:r w:rsidRPr="00D23308">
              <w:t>Luteinising hormone</w:t>
            </w:r>
          </w:p>
        </w:tc>
      </w:tr>
      <w:tr w:rsidR="00D23308" w:rsidRPr="00D23308" w14:paraId="0AF96B43"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900023B" w14:textId="1D948E6F" w:rsidR="00D23308" w:rsidRPr="00D23308" w:rsidRDefault="00D23308" w:rsidP="00D23308">
            <w:r w:rsidRPr="00D23308">
              <w:t>HbA1c</w:t>
            </w:r>
          </w:p>
        </w:tc>
        <w:tc>
          <w:tcPr>
            <w:tcW w:w="3987" w:type="pct"/>
            <w:gridSpan w:val="2"/>
            <w:tcBorders>
              <w:top w:val="single" w:sz="8" w:space="0" w:color="002C47"/>
              <w:left w:val="single" w:sz="8" w:space="0" w:color="002C47"/>
              <w:bottom w:val="single" w:sz="8" w:space="0" w:color="002C47"/>
              <w:right w:val="single" w:sz="8" w:space="0" w:color="002C47"/>
            </w:tcBorders>
          </w:tcPr>
          <w:p w14:paraId="70626CEB" w14:textId="6728E86D" w:rsidR="00D23308" w:rsidRPr="00D23308" w:rsidRDefault="00D23308" w:rsidP="00D23308">
            <w:r w:rsidRPr="00D23308">
              <w:t>Haemoglobin A1c</w:t>
            </w:r>
          </w:p>
        </w:tc>
      </w:tr>
      <w:tr w:rsidR="00D23308" w:rsidRPr="00D23308" w14:paraId="03C50B01"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33BEE57B" w14:textId="3943D851" w:rsidR="00D23308" w:rsidRPr="00D23308" w:rsidRDefault="00D23308" w:rsidP="00D23308">
            <w:r w:rsidRPr="00D23308">
              <w:t>MDQ</w:t>
            </w:r>
          </w:p>
        </w:tc>
        <w:tc>
          <w:tcPr>
            <w:tcW w:w="3987" w:type="pct"/>
            <w:gridSpan w:val="2"/>
            <w:tcBorders>
              <w:top w:val="single" w:sz="8" w:space="0" w:color="002C47"/>
              <w:left w:val="single" w:sz="8" w:space="0" w:color="002C47"/>
              <w:bottom w:val="single" w:sz="8" w:space="0" w:color="002C47"/>
              <w:right w:val="single" w:sz="8" w:space="0" w:color="002C47"/>
            </w:tcBorders>
          </w:tcPr>
          <w:p w14:paraId="3D767075" w14:textId="7ACE62AE" w:rsidR="00D23308" w:rsidRPr="00D23308" w:rsidRDefault="00D23308" w:rsidP="00D23308">
            <w:r w:rsidRPr="00D23308">
              <w:t>Menstrual Distress Questionnaire</w:t>
            </w:r>
          </w:p>
        </w:tc>
      </w:tr>
      <w:tr w:rsidR="00D23308" w:rsidRPr="00D23308" w14:paraId="3DE750EC"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27FC98CE" w14:textId="6E1836C9" w:rsidR="00D23308" w:rsidRPr="00D23308" w:rsidRDefault="00D23308" w:rsidP="00D23308">
            <w:r w:rsidRPr="00D23308">
              <w:t>PI</w:t>
            </w:r>
          </w:p>
        </w:tc>
        <w:tc>
          <w:tcPr>
            <w:tcW w:w="3987" w:type="pct"/>
            <w:gridSpan w:val="2"/>
            <w:tcBorders>
              <w:top w:val="single" w:sz="8" w:space="0" w:color="002C47"/>
              <w:left w:val="single" w:sz="8" w:space="0" w:color="002C47"/>
              <w:bottom w:val="single" w:sz="8" w:space="0" w:color="002C47"/>
              <w:right w:val="single" w:sz="8" w:space="0" w:color="002C47"/>
            </w:tcBorders>
          </w:tcPr>
          <w:p w14:paraId="207EDCBF" w14:textId="31FAC10B" w:rsidR="00D23308" w:rsidRPr="00D23308" w:rsidRDefault="00D23308" w:rsidP="00D23308">
            <w:r w:rsidRPr="00D23308">
              <w:t>Product Information</w:t>
            </w:r>
          </w:p>
        </w:tc>
      </w:tr>
      <w:tr w:rsidR="00D23308" w:rsidRPr="00D23308" w14:paraId="3161B565"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AA343FC" w14:textId="0C78AACD" w:rsidR="00D23308" w:rsidRPr="00D23308" w:rsidRDefault="00D23308" w:rsidP="00D23308">
            <w:r w:rsidRPr="00D23308">
              <w:t>PK</w:t>
            </w:r>
          </w:p>
        </w:tc>
        <w:tc>
          <w:tcPr>
            <w:tcW w:w="3987" w:type="pct"/>
            <w:gridSpan w:val="2"/>
            <w:tcBorders>
              <w:top w:val="single" w:sz="8" w:space="0" w:color="002C47"/>
              <w:left w:val="single" w:sz="8" w:space="0" w:color="002C47"/>
              <w:bottom w:val="single" w:sz="8" w:space="0" w:color="002C47"/>
              <w:right w:val="single" w:sz="8" w:space="0" w:color="002C47"/>
            </w:tcBorders>
          </w:tcPr>
          <w:p w14:paraId="44740146" w14:textId="0C3D3C6A" w:rsidR="00D23308" w:rsidRPr="00D23308" w:rsidRDefault="00D23308" w:rsidP="00D23308">
            <w:r w:rsidRPr="00D23308">
              <w:t>Pharmacokinetic(s)</w:t>
            </w:r>
          </w:p>
        </w:tc>
      </w:tr>
      <w:tr w:rsidR="00D23308" w:rsidRPr="00D23308" w14:paraId="230063EA"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1F16707C" w14:textId="6105D2C9" w:rsidR="00D23308" w:rsidRPr="00D23308" w:rsidRDefault="00D23308" w:rsidP="00D23308">
            <w:proofErr w:type="spellStart"/>
            <w:r w:rsidRPr="00D23308">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AE5F54D" w14:textId="37744D80" w:rsidR="00D23308" w:rsidRPr="00D23308" w:rsidRDefault="00D23308" w:rsidP="00D23308">
            <w:r w:rsidRPr="00D23308">
              <w:t>Population pharmacokinetic(s)</w:t>
            </w:r>
          </w:p>
        </w:tc>
      </w:tr>
      <w:tr w:rsidR="00D23308" w:rsidRPr="00D23308" w14:paraId="0B588778"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F56E6B0" w14:textId="5E51C588" w:rsidR="00D23308" w:rsidRPr="00D23308" w:rsidRDefault="00D23308" w:rsidP="00D23308">
            <w:r w:rsidRPr="00D23308">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43DCDEB4" w14:textId="0213E26E" w:rsidR="00D23308" w:rsidRPr="00D23308" w:rsidRDefault="00D23308" w:rsidP="00D23308">
            <w:r w:rsidRPr="00D23308">
              <w:t>Periodic safety update report</w:t>
            </w:r>
          </w:p>
        </w:tc>
      </w:tr>
      <w:tr w:rsidR="00D23308" w:rsidRPr="00D23308" w14:paraId="1A2EA839"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744B43D9" w14:textId="0AF8461D" w:rsidR="00D23308" w:rsidRPr="00D23308" w:rsidRDefault="00D23308" w:rsidP="00D23308">
            <w:r w:rsidRPr="00D23308">
              <w:t>PT</w:t>
            </w:r>
          </w:p>
        </w:tc>
        <w:tc>
          <w:tcPr>
            <w:tcW w:w="3987" w:type="pct"/>
            <w:gridSpan w:val="2"/>
            <w:tcBorders>
              <w:top w:val="single" w:sz="8" w:space="0" w:color="002C47"/>
              <w:left w:val="single" w:sz="8" w:space="0" w:color="002C47"/>
              <w:bottom w:val="single" w:sz="8" w:space="0" w:color="002C47"/>
              <w:right w:val="single" w:sz="8" w:space="0" w:color="002C47"/>
            </w:tcBorders>
          </w:tcPr>
          <w:p w14:paraId="0676E4A8" w14:textId="71A66ADF" w:rsidR="00D23308" w:rsidRPr="00D23308" w:rsidRDefault="00D23308" w:rsidP="00D23308">
            <w:r w:rsidRPr="00D23308">
              <w:t>Preferred Term</w:t>
            </w:r>
          </w:p>
        </w:tc>
      </w:tr>
      <w:tr w:rsidR="00D23308" w:rsidRPr="00D23308" w14:paraId="666E52AE"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3801ACB3" w14:textId="3166C357" w:rsidR="00D23308" w:rsidRPr="00D23308" w:rsidRDefault="00D23308" w:rsidP="00D23308">
            <w:r w:rsidRPr="00D23308">
              <w:t>QTc</w:t>
            </w:r>
          </w:p>
        </w:tc>
        <w:tc>
          <w:tcPr>
            <w:tcW w:w="3987" w:type="pct"/>
            <w:gridSpan w:val="2"/>
            <w:tcBorders>
              <w:top w:val="single" w:sz="8" w:space="0" w:color="002C47"/>
              <w:left w:val="single" w:sz="8" w:space="0" w:color="002C47"/>
              <w:bottom w:val="single" w:sz="8" w:space="0" w:color="002C47"/>
              <w:right w:val="single" w:sz="8" w:space="0" w:color="002C47"/>
            </w:tcBorders>
          </w:tcPr>
          <w:p w14:paraId="334B2F9C" w14:textId="4E60AA2F" w:rsidR="00D23308" w:rsidRPr="00D23308" w:rsidRDefault="00D23308" w:rsidP="00D23308">
            <w:r w:rsidRPr="00D23308">
              <w:t>Corrected QT interval</w:t>
            </w:r>
          </w:p>
        </w:tc>
      </w:tr>
      <w:tr w:rsidR="00D23308" w:rsidRPr="00D23308" w14:paraId="42A191D9"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27FFF3D4" w14:textId="4B64FBDC" w:rsidR="00D23308" w:rsidRPr="00D23308" w:rsidRDefault="00D23308" w:rsidP="00D23308">
            <w:proofErr w:type="spellStart"/>
            <w:r w:rsidRPr="00D23308">
              <w:t>QTcF</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139D4B3" w14:textId="7C1F1271" w:rsidR="00D23308" w:rsidRPr="00D23308" w:rsidRDefault="00D23308" w:rsidP="00D23308">
            <w:r w:rsidRPr="00D23308">
              <w:t>QT interval corrected for heart rate</w:t>
            </w:r>
          </w:p>
        </w:tc>
      </w:tr>
      <w:tr w:rsidR="00D23308" w:rsidRPr="00D23308" w14:paraId="67B10FB1"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FEE6CCE" w14:textId="0EB3F0BD" w:rsidR="00D23308" w:rsidRPr="00D23308" w:rsidRDefault="00D23308" w:rsidP="00D23308">
            <w:r w:rsidRPr="00D23308">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58D1121F" w14:textId="28274AAB" w:rsidR="00D23308" w:rsidRPr="00D23308" w:rsidRDefault="00D23308" w:rsidP="00D23308">
            <w:r w:rsidRPr="00D23308">
              <w:t>Risk management plan</w:t>
            </w:r>
          </w:p>
        </w:tc>
      </w:tr>
      <w:tr w:rsidR="00D23308" w:rsidRPr="00D23308" w14:paraId="01A863C7"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0BC379D8" w14:textId="34086BFC" w:rsidR="00D23308" w:rsidRPr="00D23308" w:rsidRDefault="00D23308" w:rsidP="00D23308">
            <w:r w:rsidRPr="00D23308">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65261960" w14:textId="218A609F" w:rsidR="00D23308" w:rsidRPr="00D23308" w:rsidRDefault="00371B73" w:rsidP="00D23308">
            <w:r>
              <w:t>T</w:t>
            </w:r>
            <w:r w:rsidR="00D23308" w:rsidRPr="00D23308">
              <w:t>reatment</w:t>
            </w:r>
            <w:r w:rsidR="004D11AC">
              <w:t>-</w:t>
            </w:r>
            <w:r w:rsidR="00D23308" w:rsidRPr="00D23308">
              <w:t>emergent adverse event</w:t>
            </w:r>
          </w:p>
        </w:tc>
      </w:tr>
      <w:tr w:rsidR="00D23308" w:rsidRPr="00D23308" w14:paraId="7D4F7020"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B12EA07" w14:textId="6B8D6F9D" w:rsidR="00D23308" w:rsidRPr="00D23308" w:rsidRDefault="00D23308" w:rsidP="00D23308">
            <w:r w:rsidRPr="00D23308">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2FA8E46A" w14:textId="2BFFBAC5" w:rsidR="00D23308" w:rsidRPr="00D23308" w:rsidRDefault="00D23308" w:rsidP="00D23308">
            <w:r w:rsidRPr="00D23308">
              <w:t>Therapeutic Goods Administration</w:t>
            </w:r>
          </w:p>
        </w:tc>
      </w:tr>
      <w:tr w:rsidR="00D23308" w:rsidRPr="00D23308" w14:paraId="0ECEDE25"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5605FB85" w14:textId="312CEA3D" w:rsidR="00D23308" w:rsidRPr="00D23308" w:rsidRDefault="00D23308" w:rsidP="00D23308">
            <w:proofErr w:type="spellStart"/>
            <w:r w:rsidRPr="00D23308">
              <w:t>T</w:t>
            </w:r>
            <w:r w:rsidRPr="00D23308">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E8EFEB9" w14:textId="2322F3DD" w:rsidR="00D23308" w:rsidRPr="00D23308" w:rsidRDefault="00D23308" w:rsidP="00D23308">
            <w:r w:rsidRPr="00D23308">
              <w:t>Time to maximum plasma concentration</w:t>
            </w:r>
          </w:p>
        </w:tc>
      </w:tr>
      <w:tr w:rsidR="00D23308" w:rsidRPr="00D23308" w14:paraId="48125DE7"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47917AC0" w14:textId="03A94302" w:rsidR="00D23308" w:rsidRPr="00D23308" w:rsidRDefault="00D23308" w:rsidP="00D23308">
            <w:r w:rsidRPr="00D23308">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331F0512" w14:textId="0F7C6046" w:rsidR="00D23308" w:rsidRPr="00D23308" w:rsidRDefault="00D23308" w:rsidP="00D23308">
            <w:r w:rsidRPr="00D23308">
              <w:t>United States (of America)</w:t>
            </w:r>
          </w:p>
        </w:tc>
      </w:tr>
      <w:tr w:rsidR="00D23308" w:rsidRPr="00D23308" w14:paraId="35335FB2" w14:textId="77777777" w:rsidTr="00A222AE">
        <w:trPr>
          <w:cantSplit/>
        </w:trPr>
        <w:tc>
          <w:tcPr>
            <w:tcW w:w="1013" w:type="pct"/>
            <w:tcBorders>
              <w:top w:val="single" w:sz="8" w:space="0" w:color="002C47"/>
              <w:left w:val="single" w:sz="8" w:space="0" w:color="002C47"/>
              <w:bottom w:val="single" w:sz="8" w:space="0" w:color="002C47"/>
              <w:right w:val="single" w:sz="8" w:space="0" w:color="002C47"/>
            </w:tcBorders>
          </w:tcPr>
          <w:p w14:paraId="26A97827" w14:textId="0EEB08E8" w:rsidR="00D23308" w:rsidRPr="00D23308" w:rsidRDefault="00D23308" w:rsidP="00D23308">
            <w:r w:rsidRPr="00D23308">
              <w:rPr>
                <w:color w:val="000000"/>
              </w:rPr>
              <w:t>VTE</w:t>
            </w:r>
          </w:p>
        </w:tc>
        <w:tc>
          <w:tcPr>
            <w:tcW w:w="3987" w:type="pct"/>
            <w:gridSpan w:val="2"/>
            <w:tcBorders>
              <w:top w:val="single" w:sz="8" w:space="0" w:color="002C47"/>
              <w:left w:val="single" w:sz="8" w:space="0" w:color="002C47"/>
              <w:bottom w:val="single" w:sz="8" w:space="0" w:color="002C47"/>
              <w:right w:val="single" w:sz="8" w:space="0" w:color="002C47"/>
            </w:tcBorders>
          </w:tcPr>
          <w:p w14:paraId="4E7337E0" w14:textId="69C16C91" w:rsidR="00D23308" w:rsidRPr="00D23308" w:rsidRDefault="00D23308" w:rsidP="00D23308">
            <w:r w:rsidRPr="00D23308">
              <w:rPr>
                <w:color w:val="000000"/>
              </w:rPr>
              <w:t>Venous thromboembolism</w:t>
            </w:r>
          </w:p>
        </w:tc>
      </w:tr>
    </w:tbl>
    <w:p w14:paraId="46424AD2" w14:textId="77777777" w:rsidR="00FD119B" w:rsidRPr="00D23308" w:rsidRDefault="00FD119B" w:rsidP="00FD119B">
      <w:pPr>
        <w:spacing w:before="0" w:after="200" w:line="0" w:lineRule="auto"/>
        <w:rPr>
          <w:b/>
          <w:i/>
          <w:sz w:val="24"/>
          <w:szCs w:val="24"/>
        </w:rPr>
      </w:pPr>
      <w:r w:rsidRPr="00D23308">
        <w:rPr>
          <w:b/>
          <w:i/>
          <w:sz w:val="24"/>
          <w:szCs w:val="24"/>
        </w:rPr>
        <w:br w:type="page"/>
      </w:r>
    </w:p>
    <w:p w14:paraId="12D573C0" w14:textId="77777777" w:rsidR="008E7846" w:rsidRPr="00D23308" w:rsidRDefault="009F2673" w:rsidP="008E7846">
      <w:pPr>
        <w:pStyle w:val="Heading2"/>
      </w:pPr>
      <w:bookmarkStart w:id="5" w:name="_Toc109301837"/>
      <w:r w:rsidRPr="00D23308">
        <w:lastRenderedPageBreak/>
        <w:t>Pr</w:t>
      </w:r>
      <w:r w:rsidR="008E7846" w:rsidRPr="00D23308">
        <w:t>oduct submission</w:t>
      </w:r>
      <w:bookmarkEnd w:id="5"/>
      <w:bookmarkEnd w:id="2"/>
      <w:bookmarkEnd w:id="0"/>
    </w:p>
    <w:p w14:paraId="4F2A50C4" w14:textId="77777777" w:rsidR="008E7846" w:rsidRPr="00D23308" w:rsidRDefault="008E7846" w:rsidP="009E5A87">
      <w:pPr>
        <w:pStyle w:val="Heading3"/>
        <w:rPr>
          <w:lang w:eastAsia="en-AU"/>
        </w:rPr>
      </w:pPr>
      <w:bookmarkStart w:id="6" w:name="_Toc247691502"/>
      <w:bookmarkStart w:id="7" w:name="_Toc314842483"/>
      <w:bookmarkStart w:id="8" w:name="_Toc109301838"/>
      <w:r w:rsidRPr="00D23308">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D23308" w14:paraId="249B0457" w14:textId="77777777" w:rsidTr="00D81AA8">
        <w:tc>
          <w:tcPr>
            <w:tcW w:w="1577" w:type="pct"/>
          </w:tcPr>
          <w:p w14:paraId="25694B38" w14:textId="77777777" w:rsidR="009F2673" w:rsidRPr="00D23308" w:rsidRDefault="009F2673" w:rsidP="009E5A87">
            <w:pPr>
              <w:rPr>
                <w:i/>
              </w:rPr>
            </w:pPr>
            <w:r w:rsidRPr="00D23308">
              <w:rPr>
                <w:i/>
              </w:rPr>
              <w:t>Type of submission:</w:t>
            </w:r>
          </w:p>
        </w:tc>
        <w:tc>
          <w:tcPr>
            <w:tcW w:w="3423" w:type="pct"/>
          </w:tcPr>
          <w:p w14:paraId="537758EB" w14:textId="0EE28D4D" w:rsidR="009F2673" w:rsidRPr="00D23308" w:rsidRDefault="00A222AE" w:rsidP="009E5A87">
            <w:bookmarkStart w:id="9" w:name="_Hlk111013657"/>
            <w:r w:rsidRPr="00D23308">
              <w:t>New chemical entity</w:t>
            </w:r>
            <w:bookmarkEnd w:id="9"/>
          </w:p>
        </w:tc>
      </w:tr>
      <w:tr w:rsidR="009F2673" w:rsidRPr="00D23308" w14:paraId="75883C79" w14:textId="77777777" w:rsidTr="00D81AA8">
        <w:tc>
          <w:tcPr>
            <w:tcW w:w="1577" w:type="pct"/>
          </w:tcPr>
          <w:p w14:paraId="6A0256B1" w14:textId="27DB2BAB" w:rsidR="009F2673" w:rsidRPr="00D23308" w:rsidRDefault="009F2673" w:rsidP="009E5A87">
            <w:pPr>
              <w:rPr>
                <w:i/>
              </w:rPr>
            </w:pPr>
            <w:r w:rsidRPr="00D23308">
              <w:rPr>
                <w:i/>
              </w:rPr>
              <w:t>Product name:</w:t>
            </w:r>
          </w:p>
        </w:tc>
        <w:tc>
          <w:tcPr>
            <w:tcW w:w="3423" w:type="pct"/>
          </w:tcPr>
          <w:p w14:paraId="76C4C360" w14:textId="06F57C29" w:rsidR="009F2673" w:rsidRPr="00D23308" w:rsidRDefault="00D81AA8" w:rsidP="009E5A87">
            <w:r w:rsidRPr="00D23308">
              <w:t>Nextstellis</w:t>
            </w:r>
          </w:p>
        </w:tc>
      </w:tr>
      <w:tr w:rsidR="009F2673" w:rsidRPr="00D23308" w14:paraId="35854E3E" w14:textId="77777777" w:rsidTr="00D81AA8">
        <w:tc>
          <w:tcPr>
            <w:tcW w:w="1577" w:type="pct"/>
          </w:tcPr>
          <w:p w14:paraId="0684DEE1" w14:textId="5963502A" w:rsidR="009F2673" w:rsidRPr="00D23308" w:rsidRDefault="009F2673" w:rsidP="009E5A87">
            <w:pPr>
              <w:rPr>
                <w:i/>
              </w:rPr>
            </w:pPr>
            <w:r w:rsidRPr="00D23308">
              <w:rPr>
                <w:i/>
              </w:rPr>
              <w:t>Active ingredients:</w:t>
            </w:r>
          </w:p>
        </w:tc>
        <w:tc>
          <w:tcPr>
            <w:tcW w:w="3423" w:type="pct"/>
          </w:tcPr>
          <w:p w14:paraId="32670706" w14:textId="3B6A662E" w:rsidR="009F2673" w:rsidRPr="00D23308" w:rsidRDefault="00D81AA8" w:rsidP="009E5A87">
            <w:r w:rsidRPr="00D23308">
              <w:t>Estetrol monohydrate/drospirenone</w:t>
            </w:r>
          </w:p>
        </w:tc>
      </w:tr>
      <w:tr w:rsidR="009F2673" w:rsidRPr="00D23308" w14:paraId="2354136B" w14:textId="77777777" w:rsidTr="00D81AA8">
        <w:tc>
          <w:tcPr>
            <w:tcW w:w="1577" w:type="pct"/>
          </w:tcPr>
          <w:p w14:paraId="56176AED" w14:textId="77777777" w:rsidR="009F2673" w:rsidRPr="00D23308" w:rsidRDefault="009F2673" w:rsidP="009E5A87">
            <w:pPr>
              <w:rPr>
                <w:i/>
              </w:rPr>
            </w:pPr>
            <w:r w:rsidRPr="00D23308">
              <w:rPr>
                <w:i/>
              </w:rPr>
              <w:t>Decision:</w:t>
            </w:r>
          </w:p>
        </w:tc>
        <w:tc>
          <w:tcPr>
            <w:tcW w:w="3423" w:type="pct"/>
          </w:tcPr>
          <w:p w14:paraId="5B6DEE19" w14:textId="7627E289" w:rsidR="009F2673" w:rsidRPr="00D23308" w:rsidRDefault="009F2673" w:rsidP="009E5A87">
            <w:r w:rsidRPr="00D23308">
              <w:t>Approved</w:t>
            </w:r>
          </w:p>
        </w:tc>
      </w:tr>
      <w:tr w:rsidR="009F2673" w:rsidRPr="00D23308" w14:paraId="54E0B273" w14:textId="77777777" w:rsidTr="00D81AA8">
        <w:tc>
          <w:tcPr>
            <w:tcW w:w="1577" w:type="pct"/>
          </w:tcPr>
          <w:p w14:paraId="6B79BDA5" w14:textId="77777777" w:rsidR="009F2673" w:rsidRPr="00D23308" w:rsidRDefault="009F2673" w:rsidP="009E5A87">
            <w:pPr>
              <w:rPr>
                <w:i/>
              </w:rPr>
            </w:pPr>
            <w:r w:rsidRPr="00D23308">
              <w:rPr>
                <w:i/>
              </w:rPr>
              <w:t>Date of decision:</w:t>
            </w:r>
          </w:p>
        </w:tc>
        <w:tc>
          <w:tcPr>
            <w:tcW w:w="3423" w:type="pct"/>
          </w:tcPr>
          <w:p w14:paraId="386D519C" w14:textId="681D5644" w:rsidR="009F2673" w:rsidRPr="00D23308" w:rsidRDefault="00A222AE" w:rsidP="009E5A87">
            <w:r w:rsidRPr="00D23308">
              <w:t>10 November 2021</w:t>
            </w:r>
          </w:p>
        </w:tc>
      </w:tr>
      <w:tr w:rsidR="009F2673" w:rsidRPr="00D23308" w14:paraId="17ED96C4" w14:textId="77777777" w:rsidTr="00D81AA8">
        <w:tc>
          <w:tcPr>
            <w:tcW w:w="1577" w:type="pct"/>
          </w:tcPr>
          <w:p w14:paraId="4B2ACB61" w14:textId="77777777" w:rsidR="009F2673" w:rsidRPr="00D23308" w:rsidRDefault="009F2673" w:rsidP="009E5A87">
            <w:pPr>
              <w:rPr>
                <w:i/>
              </w:rPr>
            </w:pPr>
            <w:r w:rsidRPr="00D23308">
              <w:rPr>
                <w:i/>
              </w:rPr>
              <w:t>Date of entry onto ARTG:</w:t>
            </w:r>
          </w:p>
        </w:tc>
        <w:tc>
          <w:tcPr>
            <w:tcW w:w="3423" w:type="pct"/>
          </w:tcPr>
          <w:p w14:paraId="43C92DC4" w14:textId="24BF5C91" w:rsidR="009F2673" w:rsidRPr="00D23308" w:rsidRDefault="00A222AE" w:rsidP="009E5A87">
            <w:r w:rsidRPr="00D23308">
              <w:rPr>
                <w:color w:val="000000"/>
              </w:rPr>
              <w:t>26 November 2021</w:t>
            </w:r>
          </w:p>
        </w:tc>
      </w:tr>
      <w:tr w:rsidR="009F2673" w:rsidRPr="00D23308" w14:paraId="1AC26A98" w14:textId="77777777" w:rsidTr="00D81AA8">
        <w:tc>
          <w:tcPr>
            <w:tcW w:w="1577" w:type="pct"/>
          </w:tcPr>
          <w:p w14:paraId="10BD9986" w14:textId="673F2231" w:rsidR="009F2673" w:rsidRPr="00D23308" w:rsidRDefault="009F2673" w:rsidP="009E5A87">
            <w:pPr>
              <w:rPr>
                <w:i/>
              </w:rPr>
            </w:pPr>
            <w:r w:rsidRPr="00D23308">
              <w:rPr>
                <w:i/>
              </w:rPr>
              <w:t>ARTG number:</w:t>
            </w:r>
          </w:p>
        </w:tc>
        <w:tc>
          <w:tcPr>
            <w:tcW w:w="3423" w:type="pct"/>
          </w:tcPr>
          <w:p w14:paraId="54B7659F" w14:textId="29655CE2" w:rsidR="009F2673" w:rsidRPr="00D23308" w:rsidRDefault="00A222AE" w:rsidP="009E5A87">
            <w:r w:rsidRPr="00D23308">
              <w:rPr>
                <w:color w:val="000000"/>
              </w:rPr>
              <w:t>341876</w:t>
            </w:r>
          </w:p>
        </w:tc>
      </w:tr>
      <w:tr w:rsidR="009F2673" w:rsidRPr="00D23308" w14:paraId="00A85DDF" w14:textId="77777777" w:rsidTr="00D81AA8">
        <w:tc>
          <w:tcPr>
            <w:tcW w:w="1577" w:type="pct"/>
          </w:tcPr>
          <w:p w14:paraId="2F7FF6ED" w14:textId="71C9B938" w:rsidR="009F2673" w:rsidRPr="00D23308" w:rsidRDefault="001B1DA4" w:rsidP="009E5A87">
            <w:pPr>
              <w:rPr>
                <w:i/>
              </w:rPr>
            </w:pPr>
            <w:r w:rsidRPr="00D23308">
              <w:rPr>
                <w:rFonts w:ascii="Wingdings 3" w:hAnsi="Wingdings 3"/>
                <w:sz w:val="34"/>
                <w:szCs w:val="34"/>
                <w:lang w:eastAsia="en-AU"/>
              </w:rPr>
              <w:t></w:t>
            </w:r>
            <w:hyperlink r:id="rId17" w:history="1">
              <w:r w:rsidR="009F2673" w:rsidRPr="00D23308">
                <w:rPr>
                  <w:rStyle w:val="Hyperlink"/>
                  <w:i/>
                </w:rPr>
                <w:t>Black Triangle Scheme</w:t>
              </w:r>
            </w:hyperlink>
            <w:r w:rsidR="009F2673" w:rsidRPr="00D23308">
              <w:rPr>
                <w:i/>
              </w:rPr>
              <w:t>:</w:t>
            </w:r>
          </w:p>
        </w:tc>
        <w:tc>
          <w:tcPr>
            <w:tcW w:w="3423" w:type="pct"/>
          </w:tcPr>
          <w:p w14:paraId="5B30B44B" w14:textId="4E9B1728" w:rsidR="009F2673" w:rsidRPr="00D23308" w:rsidRDefault="009F2673" w:rsidP="009E5A87">
            <w:r w:rsidRPr="00D23308">
              <w:t>Yes</w:t>
            </w:r>
          </w:p>
          <w:p w14:paraId="075C72AF" w14:textId="5395CE4B" w:rsidR="009F2673" w:rsidRPr="00D23308" w:rsidRDefault="009F2673" w:rsidP="00A222AE">
            <w:r w:rsidRPr="00D23308">
              <w:t>This product will remain in the scheme for 5 years, starting on the date the product is first supplied in Australia</w:t>
            </w:r>
            <w:r w:rsidR="006256DF" w:rsidRPr="00D23308">
              <w:t>.</w:t>
            </w:r>
          </w:p>
        </w:tc>
      </w:tr>
      <w:tr w:rsidR="009F2673" w:rsidRPr="00D23308" w14:paraId="6550A4C5" w14:textId="77777777" w:rsidTr="00D81AA8">
        <w:tc>
          <w:tcPr>
            <w:tcW w:w="1577" w:type="pct"/>
          </w:tcPr>
          <w:p w14:paraId="5625F3A0" w14:textId="77777777" w:rsidR="009F2673" w:rsidRPr="00D23308" w:rsidRDefault="009F2673" w:rsidP="009E5A87">
            <w:pPr>
              <w:rPr>
                <w:i/>
              </w:rPr>
            </w:pPr>
            <w:r w:rsidRPr="00D23308">
              <w:rPr>
                <w:i/>
              </w:rPr>
              <w:t>Sponsor’s name and address:</w:t>
            </w:r>
          </w:p>
        </w:tc>
        <w:tc>
          <w:tcPr>
            <w:tcW w:w="3423" w:type="pct"/>
          </w:tcPr>
          <w:p w14:paraId="02427580" w14:textId="77777777" w:rsidR="009F2673" w:rsidRPr="00D23308" w:rsidRDefault="00D81AA8" w:rsidP="009E5A87">
            <w:r w:rsidRPr="00D23308">
              <w:t>Mayne Pharma International Pty Ltd</w:t>
            </w:r>
          </w:p>
          <w:p w14:paraId="16CBA472" w14:textId="77777777" w:rsidR="00D81AA8" w:rsidRPr="00D23308" w:rsidRDefault="00D81AA8" w:rsidP="00D81AA8">
            <w:r w:rsidRPr="00D23308">
              <w:t>1538 Main North Road</w:t>
            </w:r>
          </w:p>
          <w:p w14:paraId="09002323" w14:textId="1D707266" w:rsidR="00D81AA8" w:rsidRPr="00D23308" w:rsidRDefault="00D81AA8" w:rsidP="00D81AA8">
            <w:r w:rsidRPr="00D23308">
              <w:t>Salisbury South, SA 5106</w:t>
            </w:r>
          </w:p>
        </w:tc>
      </w:tr>
      <w:tr w:rsidR="009F2673" w:rsidRPr="00D23308" w14:paraId="51BB5598" w14:textId="77777777" w:rsidTr="00D81AA8">
        <w:tc>
          <w:tcPr>
            <w:tcW w:w="1577" w:type="pct"/>
          </w:tcPr>
          <w:p w14:paraId="61CDF61A" w14:textId="75A6BFED" w:rsidR="009F2673" w:rsidRPr="00D23308" w:rsidRDefault="009F2673" w:rsidP="009E5A87">
            <w:pPr>
              <w:rPr>
                <w:i/>
              </w:rPr>
            </w:pPr>
            <w:r w:rsidRPr="00D23308">
              <w:rPr>
                <w:i/>
              </w:rPr>
              <w:t>Dose form:</w:t>
            </w:r>
          </w:p>
        </w:tc>
        <w:tc>
          <w:tcPr>
            <w:tcW w:w="3423" w:type="pct"/>
          </w:tcPr>
          <w:p w14:paraId="356729CC" w14:textId="6DF383FD" w:rsidR="009F2673" w:rsidRPr="00D23308" w:rsidRDefault="00A222AE" w:rsidP="009E5A87">
            <w:r w:rsidRPr="00D23308">
              <w:t>Film coated tablet</w:t>
            </w:r>
          </w:p>
        </w:tc>
      </w:tr>
      <w:tr w:rsidR="009F2673" w:rsidRPr="00D23308" w14:paraId="2ED814EB" w14:textId="77777777" w:rsidTr="00D81AA8">
        <w:tc>
          <w:tcPr>
            <w:tcW w:w="1577" w:type="pct"/>
          </w:tcPr>
          <w:p w14:paraId="1ACF83EF" w14:textId="2AB54CEE" w:rsidR="009F2673" w:rsidRPr="00D23308" w:rsidRDefault="009F2673" w:rsidP="009E5A87">
            <w:pPr>
              <w:rPr>
                <w:i/>
              </w:rPr>
            </w:pPr>
            <w:r w:rsidRPr="00D23308">
              <w:rPr>
                <w:i/>
              </w:rPr>
              <w:t>Strengths:</w:t>
            </w:r>
          </w:p>
        </w:tc>
        <w:tc>
          <w:tcPr>
            <w:tcW w:w="3423" w:type="pct"/>
          </w:tcPr>
          <w:p w14:paraId="260527E4" w14:textId="6FD73790" w:rsidR="009F2673" w:rsidRPr="00D23308" w:rsidRDefault="00A222AE" w:rsidP="009E5A87">
            <w:r w:rsidRPr="00D23308">
              <w:t>14.2</w:t>
            </w:r>
            <w:r w:rsidRPr="00D23308" w:rsidDel="00CD3ABA">
              <w:t xml:space="preserve"> </w:t>
            </w:r>
            <w:r w:rsidRPr="00D23308">
              <w:t>mg estetrol and 3 mg drospirenone</w:t>
            </w:r>
          </w:p>
        </w:tc>
      </w:tr>
      <w:tr w:rsidR="009F2673" w:rsidRPr="00D23308" w14:paraId="5A28E98D" w14:textId="77777777" w:rsidTr="00D81AA8">
        <w:tc>
          <w:tcPr>
            <w:tcW w:w="1577" w:type="pct"/>
          </w:tcPr>
          <w:p w14:paraId="32A752F7" w14:textId="37120E0E" w:rsidR="009F2673" w:rsidRPr="00D23308" w:rsidRDefault="009F2673" w:rsidP="009E5A87">
            <w:pPr>
              <w:rPr>
                <w:i/>
              </w:rPr>
            </w:pPr>
            <w:r w:rsidRPr="00D23308">
              <w:rPr>
                <w:i/>
              </w:rPr>
              <w:t>Container:</w:t>
            </w:r>
          </w:p>
        </w:tc>
        <w:tc>
          <w:tcPr>
            <w:tcW w:w="3423" w:type="pct"/>
          </w:tcPr>
          <w:p w14:paraId="58268E2B" w14:textId="5E6BDB56" w:rsidR="009F2673" w:rsidRPr="00D23308" w:rsidRDefault="00A222AE" w:rsidP="009E5A87">
            <w:r w:rsidRPr="00D23308">
              <w:t>Blister pack</w:t>
            </w:r>
          </w:p>
        </w:tc>
      </w:tr>
      <w:tr w:rsidR="009F2673" w:rsidRPr="00D23308" w14:paraId="4991A8E1" w14:textId="77777777" w:rsidTr="00D81AA8">
        <w:tc>
          <w:tcPr>
            <w:tcW w:w="1577" w:type="pct"/>
          </w:tcPr>
          <w:p w14:paraId="6E94AF92" w14:textId="27306A42" w:rsidR="009F2673" w:rsidRPr="00D23308" w:rsidRDefault="009F2673" w:rsidP="009E5A87">
            <w:pPr>
              <w:rPr>
                <w:i/>
              </w:rPr>
            </w:pPr>
            <w:r w:rsidRPr="00D23308">
              <w:rPr>
                <w:i/>
              </w:rPr>
              <w:t>Pack sizes:</w:t>
            </w:r>
          </w:p>
        </w:tc>
        <w:tc>
          <w:tcPr>
            <w:tcW w:w="3423" w:type="pct"/>
          </w:tcPr>
          <w:p w14:paraId="4E8B1DBA" w14:textId="77777777" w:rsidR="00A222AE" w:rsidRPr="00D23308" w:rsidRDefault="00A222AE" w:rsidP="00A222AE">
            <w:r w:rsidRPr="00D23308">
              <w:t>1 x 28 tablets (24 active and 4 placebo tablets)</w:t>
            </w:r>
          </w:p>
          <w:p w14:paraId="4A003692" w14:textId="77777777" w:rsidR="00A222AE" w:rsidRPr="00D23308" w:rsidRDefault="00A222AE" w:rsidP="00A222AE">
            <w:r w:rsidRPr="00D23308">
              <w:t>3 x 28 tablets (72 active and 12 placebo tablets)</w:t>
            </w:r>
          </w:p>
          <w:p w14:paraId="59205CB6" w14:textId="053A5C41" w:rsidR="009F2673" w:rsidRPr="00D23308" w:rsidRDefault="00A222AE" w:rsidP="00A222AE">
            <w:r w:rsidRPr="00D23308">
              <w:t>6 x 28 tablets (144 active and 24 placebo tablets)</w:t>
            </w:r>
          </w:p>
        </w:tc>
      </w:tr>
      <w:tr w:rsidR="009F2673" w:rsidRPr="00D23308" w14:paraId="4B5C4DBA" w14:textId="77777777" w:rsidTr="00D81AA8">
        <w:tc>
          <w:tcPr>
            <w:tcW w:w="1577" w:type="pct"/>
          </w:tcPr>
          <w:p w14:paraId="740895C1" w14:textId="77777777" w:rsidR="009F2673" w:rsidRPr="00D23308" w:rsidRDefault="009F2673" w:rsidP="009E5A87">
            <w:pPr>
              <w:rPr>
                <w:i/>
              </w:rPr>
            </w:pPr>
            <w:r w:rsidRPr="00D23308">
              <w:rPr>
                <w:i/>
              </w:rPr>
              <w:t>Approved therapeutic use:</w:t>
            </w:r>
          </w:p>
        </w:tc>
        <w:tc>
          <w:tcPr>
            <w:tcW w:w="3423" w:type="pct"/>
          </w:tcPr>
          <w:p w14:paraId="0865FB09" w14:textId="6B26ACC6" w:rsidR="009F2673" w:rsidRPr="00D23308" w:rsidRDefault="00A222AE" w:rsidP="009E5A87">
            <w:pPr>
              <w:rPr>
                <w:i/>
                <w:iCs/>
              </w:rPr>
            </w:pPr>
            <w:r w:rsidRPr="00D23308">
              <w:rPr>
                <w:i/>
                <w:iCs/>
              </w:rPr>
              <w:t>Nextstellis is indicated for use by women of reproductive potential to prevent pregnancy.</w:t>
            </w:r>
          </w:p>
        </w:tc>
      </w:tr>
      <w:tr w:rsidR="009F2673" w:rsidRPr="00D23308" w14:paraId="279FCEFF" w14:textId="77777777" w:rsidTr="00D81AA8">
        <w:tc>
          <w:tcPr>
            <w:tcW w:w="1577" w:type="pct"/>
          </w:tcPr>
          <w:p w14:paraId="2F1EC106" w14:textId="21438C41" w:rsidR="009F2673" w:rsidRPr="00D23308" w:rsidRDefault="009F2673" w:rsidP="009E5A87">
            <w:pPr>
              <w:rPr>
                <w:i/>
              </w:rPr>
            </w:pPr>
            <w:r w:rsidRPr="00D23308">
              <w:rPr>
                <w:i/>
              </w:rPr>
              <w:t>Route of administration:</w:t>
            </w:r>
          </w:p>
        </w:tc>
        <w:tc>
          <w:tcPr>
            <w:tcW w:w="3423" w:type="pct"/>
          </w:tcPr>
          <w:p w14:paraId="49DFBE99" w14:textId="1D24460A" w:rsidR="009F2673" w:rsidRPr="00D23308" w:rsidRDefault="00A222AE" w:rsidP="009E5A87">
            <w:r w:rsidRPr="00D23308">
              <w:t>Oral</w:t>
            </w:r>
          </w:p>
        </w:tc>
      </w:tr>
      <w:tr w:rsidR="009F2673" w:rsidRPr="00D23308" w14:paraId="5423229E" w14:textId="77777777" w:rsidTr="00D81AA8">
        <w:tc>
          <w:tcPr>
            <w:tcW w:w="1577" w:type="pct"/>
          </w:tcPr>
          <w:p w14:paraId="38D4D731" w14:textId="77777777" w:rsidR="009F2673" w:rsidRPr="00D23308" w:rsidRDefault="009F2673" w:rsidP="009E5A87">
            <w:pPr>
              <w:rPr>
                <w:i/>
              </w:rPr>
            </w:pPr>
            <w:r w:rsidRPr="00D23308">
              <w:rPr>
                <w:i/>
              </w:rPr>
              <w:t>Dosage:</w:t>
            </w:r>
          </w:p>
        </w:tc>
        <w:tc>
          <w:tcPr>
            <w:tcW w:w="3423" w:type="pct"/>
          </w:tcPr>
          <w:p w14:paraId="1E8AA7A6" w14:textId="64C6D5C4" w:rsidR="00CD44AB" w:rsidRPr="00863854" w:rsidRDefault="00CD44AB" w:rsidP="00A222AE">
            <w:pPr>
              <w:rPr>
                <w:i/>
              </w:rPr>
            </w:pPr>
            <w:r w:rsidRPr="00863854">
              <w:rPr>
                <w:i/>
              </w:rPr>
              <w:t>Method of administration</w:t>
            </w:r>
          </w:p>
          <w:p w14:paraId="76394D57" w14:textId="78D62645" w:rsidR="00F3094B" w:rsidRDefault="00F3094B" w:rsidP="00A222AE">
            <w:r w:rsidRPr="00D23308">
              <w:t>Nextstellis (pink active and white inactive tablets) is swallowed whole once a da</w:t>
            </w:r>
            <w:r w:rsidR="00890307">
              <w:t>y. Take one tablet daily for 28 </w:t>
            </w:r>
            <w:r w:rsidRPr="00D23308">
              <w:t>consecutive days. Once established on Nextstellis, the administration cycle will involve 24 active pink tablets taken consecutively followed by 4 inactive white tablets. This may be across different blister packs. Tablets must be taken every day at about the same time of the day so that the interval between c</w:t>
            </w:r>
            <w:r>
              <w:t>onsecutive tablets is the same.</w:t>
            </w:r>
          </w:p>
          <w:p w14:paraId="4A870C8B" w14:textId="0E463354" w:rsidR="00CD44AB" w:rsidRPr="00863854" w:rsidRDefault="00CD44AB" w:rsidP="00A222AE">
            <w:pPr>
              <w:rPr>
                <w:i/>
              </w:rPr>
            </w:pPr>
            <w:r w:rsidRPr="00863854">
              <w:rPr>
                <w:i/>
              </w:rPr>
              <w:t>Missed doses</w:t>
            </w:r>
          </w:p>
          <w:p w14:paraId="362BD437" w14:textId="336C866F" w:rsidR="00CD44AB" w:rsidRDefault="00C27645" w:rsidP="00A222AE">
            <w:r>
              <w:lastRenderedPageBreak/>
              <w:t>Instructions for ho</w:t>
            </w:r>
            <w:r w:rsidR="000451AA">
              <w:t xml:space="preserve">w to take Nextstellis when doses are </w:t>
            </w:r>
            <w:r>
              <w:t>missed</w:t>
            </w:r>
            <w:r w:rsidR="000451AA">
              <w:t xml:space="preserve"> or how to take Nextstellis in case of gastrointestinal disturbance vary</w:t>
            </w:r>
            <w:r>
              <w:t xml:space="preserve">. See Section 4.2 Dosage and </w:t>
            </w:r>
            <w:r w:rsidR="0009456A">
              <w:t>a</w:t>
            </w:r>
            <w:r>
              <w:t>dministration of the Product Information for further details.</w:t>
            </w:r>
          </w:p>
          <w:p w14:paraId="5793ADAC" w14:textId="22BFE7AB" w:rsidR="008E57F9" w:rsidRDefault="008E57F9" w:rsidP="00A222AE">
            <w:pPr>
              <w:rPr>
                <w:i/>
              </w:rPr>
            </w:pPr>
            <w:r w:rsidRPr="00863854">
              <w:rPr>
                <w:i/>
              </w:rPr>
              <w:t>Starting Nextstellis with no current use of hormonal contraception</w:t>
            </w:r>
          </w:p>
          <w:p w14:paraId="3BB68738" w14:textId="126C4A0F" w:rsidR="008E57F9" w:rsidRDefault="008E57F9" w:rsidP="00A222AE">
            <w:r>
              <w:t xml:space="preserve">Consider the possibility of pregnancy prior to initiation of this product. Tablet-taking </w:t>
            </w:r>
            <w:proofErr w:type="gramStart"/>
            <w:r>
              <w:t>has to</w:t>
            </w:r>
            <w:proofErr w:type="gramEnd"/>
            <w:r>
              <w:t xml:space="preserve"> start on Day 1 of the woman’s natural cycle (</w:t>
            </w:r>
            <w:r w:rsidR="00863854">
              <w:t>that is,</w:t>
            </w:r>
            <w:r>
              <w:t xml:space="preserve"> the first day of her menstrual bleeding). If not starting on the first day of menses for any reason, use a non-hormonal contraceptive (condom) as back-up until </w:t>
            </w:r>
            <w:r w:rsidR="00F3094B">
              <w:t xml:space="preserve">active (pink) </w:t>
            </w:r>
            <w:r w:rsidR="00890307">
              <w:t>tablets have been taken for 7 </w:t>
            </w:r>
            <w:r>
              <w:t>days in a row.</w:t>
            </w:r>
          </w:p>
          <w:p w14:paraId="750D84FC" w14:textId="4B941E9D" w:rsidR="00890307" w:rsidRDefault="00890307" w:rsidP="00A222AE">
            <w:r>
              <w:t xml:space="preserve">See Section 4.2 Dosage and </w:t>
            </w:r>
            <w:r w:rsidR="0009456A">
              <w:t>a</w:t>
            </w:r>
            <w:r>
              <w:t>dministration of the Product Information for further details.</w:t>
            </w:r>
          </w:p>
          <w:p w14:paraId="6915117B" w14:textId="427026C4" w:rsidR="008E57F9" w:rsidRDefault="008E57F9" w:rsidP="00A222AE">
            <w:pPr>
              <w:rPr>
                <w:i/>
              </w:rPr>
            </w:pPr>
            <w:r w:rsidRPr="00863854">
              <w:rPr>
                <w:i/>
              </w:rPr>
              <w:t>Switching from another hormonal contraceptive method to Nextstellis</w:t>
            </w:r>
          </w:p>
          <w:p w14:paraId="638BFF06" w14:textId="1CBC82C2" w:rsidR="00890307" w:rsidRPr="00863854" w:rsidRDefault="00890307" w:rsidP="00A222AE">
            <w:r>
              <w:t xml:space="preserve">Instructions for switching to Nextstellis vary depending on the current hormonal contraceptive method in use. See Section 4.2 Dosage and </w:t>
            </w:r>
            <w:r w:rsidR="0009456A">
              <w:t>a</w:t>
            </w:r>
            <w:r>
              <w:t>dministration of the Product Information for further details.</w:t>
            </w:r>
          </w:p>
          <w:p w14:paraId="60208238" w14:textId="339B9573" w:rsidR="00183F4F" w:rsidRPr="00863854" w:rsidRDefault="00183F4F" w:rsidP="00A222AE">
            <w:pPr>
              <w:rPr>
                <w:i/>
              </w:rPr>
            </w:pPr>
            <w:r w:rsidRPr="00863854">
              <w:rPr>
                <w:i/>
              </w:rPr>
              <w:t>Starting Nextstellis after abortion or miscarriage</w:t>
            </w:r>
          </w:p>
          <w:p w14:paraId="33C626D4" w14:textId="23608742" w:rsidR="00890307" w:rsidRDefault="00183F4F" w:rsidP="00A222AE">
            <w:r>
              <w:t>Starting instructions vary depending on first or second trimester abortion or misc</w:t>
            </w:r>
            <w:r w:rsidR="00890307">
              <w:t>arriage.</w:t>
            </w:r>
          </w:p>
          <w:p w14:paraId="4931AAB2" w14:textId="5DB488EB" w:rsidR="00890307" w:rsidRDefault="00890307" w:rsidP="00A222AE">
            <w:r>
              <w:t>Do not start until 4 weeks after a second-trimester abortion or miscarriage.</w:t>
            </w:r>
          </w:p>
          <w:p w14:paraId="72C12887" w14:textId="7B804C8D" w:rsidR="00183F4F" w:rsidRDefault="00183F4F" w:rsidP="00A222AE">
            <w:r>
              <w:t xml:space="preserve">See </w:t>
            </w:r>
            <w:r w:rsidR="00F3094B">
              <w:t>S</w:t>
            </w:r>
            <w:r>
              <w:t>ection</w:t>
            </w:r>
            <w:r w:rsidR="00F3094B">
              <w:t>s</w:t>
            </w:r>
            <w:r>
              <w:t xml:space="preserve"> </w:t>
            </w:r>
            <w:r w:rsidR="00F3094B">
              <w:t xml:space="preserve">4.2 Dosage and </w:t>
            </w:r>
            <w:r w:rsidR="0009456A">
              <w:t>a</w:t>
            </w:r>
            <w:r w:rsidR="00F3094B">
              <w:t xml:space="preserve">dministration; 4.3 Contraindications; and </w:t>
            </w:r>
            <w:r>
              <w:t xml:space="preserve">4.4 Special </w:t>
            </w:r>
            <w:r w:rsidR="0009456A">
              <w:t xml:space="preserve">warnings and precautions for use </w:t>
            </w:r>
            <w:r w:rsidR="00F3094B">
              <w:t>of the Product Information for further details</w:t>
            </w:r>
            <w:r>
              <w:t>.</w:t>
            </w:r>
          </w:p>
          <w:p w14:paraId="78A81651" w14:textId="1E60F85B" w:rsidR="00F3094B" w:rsidRPr="00863854" w:rsidRDefault="00F3094B" w:rsidP="00A222AE">
            <w:pPr>
              <w:rPr>
                <w:i/>
              </w:rPr>
            </w:pPr>
            <w:r w:rsidRPr="00863854">
              <w:rPr>
                <w:i/>
              </w:rPr>
              <w:t>Starting Nextstellis after childbirth</w:t>
            </w:r>
          </w:p>
          <w:p w14:paraId="4BA6311E" w14:textId="5C776E7F" w:rsidR="00F3094B" w:rsidRDefault="00F3094B" w:rsidP="00A222AE">
            <w:r>
              <w:t>Do not start until 4 weeks after delivery. Start Nextstellis after having ruled out pregnancy. Use of a non-hormonal contraceptive (condom) is recommended until active (pink) tablets have been taken for 7 days in a row.</w:t>
            </w:r>
          </w:p>
          <w:p w14:paraId="12E07575" w14:textId="0C6752A4" w:rsidR="00F3094B" w:rsidRDefault="00F3094B" w:rsidP="00A222AE">
            <w:r>
              <w:t>If breastfeeding the use of a non-hormonal contraceptive is recommended until discontinuation of breastfeeding.</w:t>
            </w:r>
          </w:p>
          <w:p w14:paraId="0924707C" w14:textId="6C26C5FF" w:rsidR="00F3094B" w:rsidRPr="008E57F9" w:rsidRDefault="00F3094B" w:rsidP="00A222AE">
            <w:r>
              <w:t xml:space="preserve">See Sections 4.2 Dosage and </w:t>
            </w:r>
            <w:r w:rsidR="0009456A">
              <w:t>a</w:t>
            </w:r>
            <w:r>
              <w:t xml:space="preserve">dministration; 4.3 Contraindications; 4.4 Special </w:t>
            </w:r>
            <w:r w:rsidR="0009456A">
              <w:t>warnings and precautions for use</w:t>
            </w:r>
            <w:r>
              <w:t xml:space="preserve">; and 4.6 Fertility, </w:t>
            </w:r>
            <w:proofErr w:type="gramStart"/>
            <w:r w:rsidR="0009456A">
              <w:t>pregnancy</w:t>
            </w:r>
            <w:proofErr w:type="gramEnd"/>
            <w:r w:rsidR="0009456A">
              <w:t xml:space="preserve"> and lactation of t</w:t>
            </w:r>
            <w:r>
              <w:t>he Product Information for further details.</w:t>
            </w:r>
          </w:p>
          <w:p w14:paraId="1A0F32F8" w14:textId="6659C3F8" w:rsidR="009F2673" w:rsidRPr="00D23308" w:rsidRDefault="009F2673" w:rsidP="00A222AE">
            <w:r w:rsidRPr="00D23308">
              <w:t>For further information regarding dosage, refer to the Product Information.</w:t>
            </w:r>
          </w:p>
        </w:tc>
      </w:tr>
      <w:tr w:rsidR="009F2673" w:rsidRPr="00D23308" w14:paraId="1440B3A0" w14:textId="77777777" w:rsidTr="00D81AA8">
        <w:tc>
          <w:tcPr>
            <w:tcW w:w="1577" w:type="pct"/>
          </w:tcPr>
          <w:p w14:paraId="62F3EF06" w14:textId="77777777" w:rsidR="009F2673" w:rsidRPr="00D23308" w:rsidRDefault="009F2673" w:rsidP="009E5A87">
            <w:pPr>
              <w:rPr>
                <w:i/>
              </w:rPr>
            </w:pPr>
            <w:r w:rsidRPr="00D23308">
              <w:rPr>
                <w:i/>
              </w:rPr>
              <w:lastRenderedPageBreak/>
              <w:t>Pregnancy category:</w:t>
            </w:r>
          </w:p>
        </w:tc>
        <w:tc>
          <w:tcPr>
            <w:tcW w:w="3423" w:type="pct"/>
          </w:tcPr>
          <w:p w14:paraId="32FDD9C7" w14:textId="77777777" w:rsidR="00A222AE" w:rsidRPr="00D23308" w:rsidRDefault="00A222AE" w:rsidP="00A222AE">
            <w:r w:rsidRPr="00D23308">
              <w:t>B3</w:t>
            </w:r>
          </w:p>
          <w:p w14:paraId="4F987990" w14:textId="77777777" w:rsidR="00A222AE" w:rsidRPr="00D23308" w:rsidRDefault="00A222AE" w:rsidP="00A222AE">
            <w:r w:rsidRPr="00D23308">
              <w:lastRenderedPageBreak/>
              <w:t>Drugs which have been taken by only a limited number of pregnant women and women of childbearing age, without an increase in the frequency of malformation or other direct or indirect harmful effects on the human fetus having been observed.</w:t>
            </w:r>
          </w:p>
          <w:p w14:paraId="42F4ACC9" w14:textId="77777777" w:rsidR="00A222AE" w:rsidRPr="00D23308" w:rsidRDefault="00A222AE" w:rsidP="00A222AE">
            <w:r w:rsidRPr="00D23308">
              <w:t>Studies in animals have shown evidence of an increased occurrence of fetal damage, the significance of which is considered uncertain in humans.</w:t>
            </w:r>
          </w:p>
          <w:p w14:paraId="30825D43" w14:textId="6326F3CD" w:rsidR="009F2673" w:rsidRPr="00D23308" w:rsidRDefault="009F2673" w:rsidP="009E5A87">
            <w:r w:rsidRPr="00D23308">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137C444" w14:textId="77777777" w:rsidR="008E7846" w:rsidRPr="00D23308" w:rsidRDefault="008E7846" w:rsidP="008E7846">
      <w:pPr>
        <w:pStyle w:val="Heading3"/>
      </w:pPr>
      <w:bookmarkStart w:id="10" w:name="_Toc247691503"/>
      <w:bookmarkStart w:id="11" w:name="_Toc314842484"/>
      <w:bookmarkStart w:id="12" w:name="_Toc109301839"/>
      <w:r w:rsidRPr="00D23308">
        <w:lastRenderedPageBreak/>
        <w:t>Product background</w:t>
      </w:r>
      <w:bookmarkEnd w:id="10"/>
      <w:bookmarkEnd w:id="11"/>
      <w:bookmarkEnd w:id="12"/>
    </w:p>
    <w:p w14:paraId="23710E97" w14:textId="1D61031B" w:rsidR="009F2673" w:rsidRPr="00D23308" w:rsidRDefault="009F2673" w:rsidP="009F2673">
      <w:r w:rsidRPr="00D23308">
        <w:t xml:space="preserve">This AusPAR describes the </w:t>
      </w:r>
      <w:r w:rsidR="001E359E" w:rsidRPr="00D23308">
        <w:t>submission</w:t>
      </w:r>
      <w:r w:rsidRPr="00D23308">
        <w:t xml:space="preserve"> by </w:t>
      </w:r>
      <w:r w:rsidR="00D81AA8" w:rsidRPr="00D23308">
        <w:t>Mayne Pharma International Pty Ltd</w:t>
      </w:r>
      <w:r w:rsidRPr="00D23308">
        <w:t xml:space="preserve"> (the sponsor) to register </w:t>
      </w:r>
      <w:r w:rsidR="00D81AA8" w:rsidRPr="00D23308">
        <w:t xml:space="preserve">Nextstellis </w:t>
      </w:r>
      <w:r w:rsidRPr="00D23308">
        <w:t>(</w:t>
      </w:r>
      <w:r w:rsidR="00A222AE" w:rsidRPr="00D23308">
        <w:t>estetrol monohydrate</w:t>
      </w:r>
      <w:r w:rsidR="00CE0095" w:rsidRPr="00D23308">
        <w:t xml:space="preserve"> </w:t>
      </w:r>
      <w:r w:rsidR="00A222AE" w:rsidRPr="00D23308">
        <w:t>/</w:t>
      </w:r>
      <w:r w:rsidR="00CE0095" w:rsidRPr="00D23308">
        <w:t xml:space="preserve"> </w:t>
      </w:r>
      <w:r w:rsidR="00A222AE" w:rsidRPr="00D23308">
        <w:t>drospirenone</w:t>
      </w:r>
      <w:r w:rsidRPr="00D23308">
        <w:t xml:space="preserve">) </w:t>
      </w:r>
      <w:r w:rsidR="00CD44AB">
        <w:t xml:space="preserve">film-coated tablets containing </w:t>
      </w:r>
      <w:r w:rsidR="0033574A" w:rsidRPr="00D23308">
        <w:t>14.2 mg estetrol</w:t>
      </w:r>
      <w:r w:rsidR="00CD44AB">
        <w:t xml:space="preserve"> and</w:t>
      </w:r>
      <w:r w:rsidR="0033574A" w:rsidRPr="00D23308">
        <w:t xml:space="preserve"> 3 mg </w:t>
      </w:r>
      <w:proofErr w:type="gramStart"/>
      <w:r w:rsidR="0033574A" w:rsidRPr="00D23308">
        <w:t>drospirenone</w:t>
      </w:r>
      <w:r w:rsidR="00CD44AB">
        <w:t>;</w:t>
      </w:r>
      <w:proofErr w:type="gramEnd"/>
      <w:r w:rsidR="00CD44AB">
        <w:rPr>
          <w:rStyle w:val="FootnoteReference"/>
        </w:rPr>
        <w:footnoteReference w:id="2"/>
      </w:r>
      <w:r w:rsidR="00CD44AB">
        <w:t xml:space="preserve"> </w:t>
      </w:r>
      <w:r w:rsidRPr="00D23308">
        <w:t>for the following proposed indication:</w:t>
      </w:r>
    </w:p>
    <w:p w14:paraId="1282A2F5" w14:textId="7D5DC4E0" w:rsidR="000566F2" w:rsidRPr="00D23308" w:rsidRDefault="000566F2" w:rsidP="000566F2">
      <w:pPr>
        <w:ind w:left="720"/>
        <w:rPr>
          <w:i/>
          <w:iCs/>
        </w:rPr>
      </w:pPr>
      <w:r w:rsidRPr="00D23308">
        <w:rPr>
          <w:i/>
          <w:iCs/>
        </w:rPr>
        <w:t>For use by women of reproductive potential to prevent pregnancy.</w:t>
      </w:r>
    </w:p>
    <w:p w14:paraId="4AA6FC56" w14:textId="20A8405A" w:rsidR="000566F2" w:rsidRPr="00D23308" w:rsidRDefault="000566F2" w:rsidP="000566F2">
      <w:r w:rsidRPr="00D23308">
        <w:t>Combined oral contraceptives are oral medications that include a progestin and an estrogen. The progestin prevents pregnancy by decreasing luteini</w:t>
      </w:r>
      <w:r w:rsidR="00E72922" w:rsidRPr="00D23308">
        <w:t>s</w:t>
      </w:r>
      <w:r w:rsidRPr="00D23308">
        <w:t>ing hormone</w:t>
      </w:r>
      <w:r w:rsidR="00CC74F8">
        <w:t xml:space="preserve"> (LH)</w:t>
      </w:r>
      <w:r w:rsidRPr="00D23308">
        <w:t xml:space="preserve"> secretion by the pituitary gland which results in ovulation inhibition, and by making cervical mucus inhospitable to sperm, decreasing the likelihood that sperm will reach the upper reproductive tract. The estrogen component contributes to contraceptive activity by inhibiting follicle</w:t>
      </w:r>
      <w:r w:rsidR="00E72922" w:rsidRPr="00D23308">
        <w:t xml:space="preserve"> </w:t>
      </w:r>
      <w:r w:rsidRPr="00D23308">
        <w:t>stimulating hormone</w:t>
      </w:r>
      <w:r w:rsidR="00AD40F0" w:rsidRPr="00D23308">
        <w:t xml:space="preserve"> (FSH)</w:t>
      </w:r>
      <w:r w:rsidRPr="00D23308">
        <w:t xml:space="preserve"> secretion, thereby impacting ovarian follicle development; however, its major function is to provide stability to the endometrium (in balance with the progestin) and consequently to provide acceptable cycle control and bleeding pattern. </w:t>
      </w:r>
      <w:r w:rsidR="00FC7B0A" w:rsidRPr="00D23308">
        <w:t xml:space="preserve">Combined oral contraceptives </w:t>
      </w:r>
      <w:r w:rsidRPr="00D23308">
        <w:t>have been demonstrated to be an effective method of pregnancy prevention and are widely used.</w:t>
      </w:r>
    </w:p>
    <w:p w14:paraId="032B58E5" w14:textId="4245B0B9" w:rsidR="000566F2" w:rsidRPr="00D23308" w:rsidRDefault="000566F2" w:rsidP="000566F2">
      <w:r w:rsidRPr="00D23308">
        <w:t xml:space="preserve">Access to contraceptive choice is important for women and their partners to control number and spacing of their children. Nearly 70% of Australian women of reproductive age </w:t>
      </w:r>
      <w:r w:rsidR="00F75441">
        <w:t xml:space="preserve">are </w:t>
      </w:r>
      <w:r w:rsidRPr="00D23308">
        <w:t>using a contraceptive method consistent with studies</w:t>
      </w:r>
      <w:r w:rsidR="00F75441">
        <w:t xml:space="preserve"> in this submission conducted in</w:t>
      </w:r>
      <w:r w:rsidRPr="00D23308">
        <w:t xml:space="preserve"> North America and Europe.</w:t>
      </w:r>
      <w:r w:rsidR="00FC35BD">
        <w:rPr>
          <w:rStyle w:val="FootnoteReference"/>
        </w:rPr>
        <w:footnoteReference w:id="3"/>
      </w:r>
      <w:r w:rsidRPr="00D23308">
        <w:t xml:space="preserve"> The </w:t>
      </w:r>
      <w:r w:rsidR="00FC7B0A">
        <w:t>combined</w:t>
      </w:r>
      <w:r w:rsidR="00FC7B0A" w:rsidRPr="00D23308">
        <w:t xml:space="preserve"> </w:t>
      </w:r>
      <w:r w:rsidR="00E72922" w:rsidRPr="00D23308">
        <w:t>pill</w:t>
      </w:r>
      <w:r w:rsidRPr="00D23308">
        <w:t xml:space="preserve"> remains the most commonly used method by Australian women with prescribing rates ranging between 63</w:t>
      </w:r>
      <w:r w:rsidR="00E72922" w:rsidRPr="00D23308">
        <w:t xml:space="preserve"> to </w:t>
      </w:r>
      <w:r w:rsidRPr="00D23308">
        <w:t>70%</w:t>
      </w:r>
      <w:r w:rsidR="00DE13E9" w:rsidRPr="00DE13E9">
        <w:t>.</w:t>
      </w:r>
      <w:r w:rsidR="00DE13E9">
        <w:rPr>
          <w:rStyle w:val="FootnoteReference"/>
        </w:rPr>
        <w:footnoteReference w:id="4"/>
      </w:r>
      <w:r w:rsidRPr="00D23308">
        <w:t xml:space="preserve"> This is despite availability of the long</w:t>
      </w:r>
      <w:r w:rsidR="00FC7B0A">
        <w:noBreakHyphen/>
      </w:r>
      <w:r w:rsidRPr="00D23308">
        <w:t xml:space="preserve">acting reversible contraception methods, namely implants, intrauterine methods and depot injections, which may offer highly effective and cost-effective pregnancy prevention across the reproductive lifespan. Reasons for the relatively high use of the </w:t>
      </w:r>
      <w:r w:rsidR="00FC7B0A">
        <w:t>combined oral contraceptives</w:t>
      </w:r>
      <w:r w:rsidR="00FC7B0A" w:rsidRPr="00D23308">
        <w:t xml:space="preserve"> </w:t>
      </w:r>
      <w:r w:rsidRPr="00D23308">
        <w:t xml:space="preserve">and low use of </w:t>
      </w:r>
      <w:proofErr w:type="gramStart"/>
      <w:r w:rsidR="00E72922" w:rsidRPr="00D23308">
        <w:t>long acting</w:t>
      </w:r>
      <w:proofErr w:type="gramEnd"/>
      <w:r w:rsidR="00E72922" w:rsidRPr="00D23308">
        <w:t xml:space="preserve"> reversible contraception</w:t>
      </w:r>
      <w:r w:rsidRPr="00D23308">
        <w:t xml:space="preserve">, compared to similar developed countries appear to include lack of awareness and misconceptions by women and their healthcare providers, habitual </w:t>
      </w:r>
      <w:r w:rsidRPr="00D23308">
        <w:lastRenderedPageBreak/>
        <w:t xml:space="preserve">prescribing by </w:t>
      </w:r>
      <w:r w:rsidR="00E72922" w:rsidRPr="00D23308">
        <w:t xml:space="preserve">general practitioners </w:t>
      </w:r>
      <w:r w:rsidRPr="00D23308">
        <w:t xml:space="preserve">and an ability to stop and start </w:t>
      </w:r>
      <w:r w:rsidR="00FC7B0A">
        <w:t>use</w:t>
      </w:r>
      <w:r w:rsidRPr="00D23308">
        <w:t xml:space="preserve"> without medical intervention. Additional non-contraceptive benefits of the </w:t>
      </w:r>
      <w:r w:rsidR="00FC7B0A">
        <w:t>combined oral contraceptive</w:t>
      </w:r>
      <w:r w:rsidRPr="00D23308">
        <w:t>, including acne control and an ability to manipulate bleeding patterns, can be attractive attributes for some women.</w:t>
      </w:r>
      <w:r w:rsidR="00FC35BD">
        <w:rPr>
          <w:rStyle w:val="FootnoteReference"/>
        </w:rPr>
        <w:footnoteReference w:id="5"/>
      </w:r>
    </w:p>
    <w:p w14:paraId="355779B8" w14:textId="5BEC2170" w:rsidR="000566F2" w:rsidRPr="00D23308" w:rsidRDefault="000566F2" w:rsidP="000566F2">
      <w:r w:rsidRPr="00D23308">
        <w:t xml:space="preserve">Combined hormonal contraceptives, available as </w:t>
      </w:r>
      <w:r w:rsidR="00FC7B0A">
        <w:t>the combined oral pill</w:t>
      </w:r>
      <w:r w:rsidR="005A1CC0" w:rsidRPr="00D23308">
        <w:t xml:space="preserve"> </w:t>
      </w:r>
      <w:r w:rsidRPr="00D23308">
        <w:t xml:space="preserve">and the vaginal ring, are preparations of an estrogen and a progestogen. </w:t>
      </w:r>
      <w:r w:rsidR="00FC7B0A">
        <w:t>These</w:t>
      </w:r>
      <w:r w:rsidR="00FC7B0A" w:rsidRPr="00D23308">
        <w:t xml:space="preserve"> </w:t>
      </w:r>
      <w:r w:rsidRPr="00D23308">
        <w:t xml:space="preserve">contain </w:t>
      </w:r>
      <w:r w:rsidR="00E72922" w:rsidRPr="00D23308">
        <w:t>ethinylestradiol</w:t>
      </w:r>
      <w:r w:rsidRPr="00D23308">
        <w:t xml:space="preserve">, estradiol valerate, or estradiol and one of a range of progestogens. There are </w:t>
      </w:r>
      <w:proofErr w:type="gramStart"/>
      <w:r w:rsidRPr="00D23308">
        <w:t>a number of</w:t>
      </w:r>
      <w:proofErr w:type="gramEnd"/>
      <w:r w:rsidRPr="00D23308">
        <w:t xml:space="preserve"> different </w:t>
      </w:r>
      <w:r w:rsidR="00001DFF">
        <w:t>combined oral contraceptive</w:t>
      </w:r>
      <w:r w:rsidR="00001DFF" w:rsidRPr="00D23308">
        <w:t xml:space="preserve"> </w:t>
      </w:r>
      <w:r w:rsidRPr="00D23308">
        <w:t>formulations and brands. Packaging regimens for pills consist of a minimum of 21 days of hormone pills followed by up to 7 days of placebo.</w:t>
      </w:r>
    </w:p>
    <w:p w14:paraId="319CF964" w14:textId="17112E5E" w:rsidR="000566F2" w:rsidRPr="00D23308" w:rsidRDefault="00E72922" w:rsidP="000566F2">
      <w:r w:rsidRPr="00D23308">
        <w:t>Combined oral contraceptive</w:t>
      </w:r>
      <w:r w:rsidR="005A1CC0" w:rsidRPr="00D23308">
        <w:t xml:space="preserve"> </w:t>
      </w:r>
      <w:r w:rsidR="00FC7B0A">
        <w:t>pill</w:t>
      </w:r>
      <w:r w:rsidRPr="00D23308">
        <w:t xml:space="preserve"> </w:t>
      </w:r>
      <w:r w:rsidR="000566F2" w:rsidRPr="00D23308">
        <w:t xml:space="preserve">formulations are either </w:t>
      </w:r>
      <w:r w:rsidRPr="00D23308">
        <w:t>monophasic (a</w:t>
      </w:r>
      <w:r w:rsidR="000566F2" w:rsidRPr="00D23308">
        <w:t>ll active tablets have an identical formulation</w:t>
      </w:r>
      <w:r w:rsidRPr="00D23308">
        <w:t>) or multiphasic (t</w:t>
      </w:r>
      <w:r w:rsidR="000566F2" w:rsidRPr="00D23308">
        <w:t>here are two or more formulations within the active pills</w:t>
      </w:r>
      <w:r w:rsidRPr="00D23308">
        <w:t>)</w:t>
      </w:r>
      <w:r w:rsidR="000566F2" w:rsidRPr="00D23308">
        <w:t>.</w:t>
      </w:r>
    </w:p>
    <w:p w14:paraId="6E1843F9" w14:textId="60D22C47" w:rsidR="000566F2" w:rsidRPr="00D23308" w:rsidRDefault="000566F2" w:rsidP="000566F2">
      <w:r w:rsidRPr="00D23308">
        <w:t xml:space="preserve">The pills available in Australia are mostly in </w:t>
      </w:r>
      <w:r w:rsidR="00AB76A4" w:rsidRPr="00D23308">
        <w:t>28-day</w:t>
      </w:r>
      <w:r w:rsidRPr="00D23308">
        <w:t xml:space="preserve"> packs with 21 active and </w:t>
      </w:r>
      <w:r w:rsidR="000451AA" w:rsidRPr="00D23308">
        <w:t>seven</w:t>
      </w:r>
      <w:r w:rsidR="00A05679" w:rsidRPr="00D23308">
        <w:t> </w:t>
      </w:r>
      <w:r w:rsidRPr="00D23308">
        <w:t xml:space="preserve">inactive pills, </w:t>
      </w:r>
      <w:r w:rsidR="00323F35">
        <w:t xml:space="preserve">for use as a 21/7-day regimen </w:t>
      </w:r>
      <w:r w:rsidRPr="00D23308">
        <w:t xml:space="preserve">to mimic the menstrual cycle. Some formulations contain 24 active and </w:t>
      </w:r>
      <w:r w:rsidR="000451AA" w:rsidRPr="00D23308">
        <w:t>four</w:t>
      </w:r>
      <w:r w:rsidRPr="00D23308">
        <w:t xml:space="preserve"> inactive pills </w:t>
      </w:r>
      <w:r w:rsidR="005465BA" w:rsidRPr="00D23308">
        <w:t>(24/4</w:t>
      </w:r>
      <w:r w:rsidR="00323F35">
        <w:t>-</w:t>
      </w:r>
      <w:r w:rsidR="00AB76A4">
        <w:t xml:space="preserve">day </w:t>
      </w:r>
      <w:r w:rsidR="005465BA" w:rsidRPr="00D23308">
        <w:t>regim</w:t>
      </w:r>
      <w:r w:rsidR="00323F35">
        <w:t>en</w:t>
      </w:r>
      <w:r w:rsidR="005465BA" w:rsidRPr="00D23308">
        <w:t xml:space="preserve">) </w:t>
      </w:r>
      <w:r w:rsidRPr="00D23308">
        <w:t>which may reduce the chance of contraceptive failure and breakthrough ovulation.</w:t>
      </w:r>
    </w:p>
    <w:p w14:paraId="33F48EB6" w14:textId="2EFE4F40" w:rsidR="000566F2" w:rsidRPr="00D23308" w:rsidRDefault="000566F2" w:rsidP="000566F2">
      <w:r w:rsidRPr="00D23308">
        <w:t xml:space="preserve">Until </w:t>
      </w:r>
      <w:r w:rsidR="00AB76A4" w:rsidRPr="00D23308">
        <w:t>recently,</w:t>
      </w:r>
      <w:r w:rsidRPr="00D23308">
        <w:t xml:space="preserve"> the only estrogen used in Australian </w:t>
      </w:r>
      <w:r w:rsidR="00AB76A4">
        <w:t>combined hormonal contraceptives</w:t>
      </w:r>
      <w:r w:rsidR="00AB76A4" w:rsidRPr="00D23308">
        <w:t xml:space="preserve"> </w:t>
      </w:r>
      <w:r w:rsidRPr="00D23308">
        <w:t xml:space="preserve">was ethinylestradiol. The active estrogen in the recent estradiol and estradiol valerate pills is structurally identical to the estradiol produced by the ovaries. Newer progestogens, cyproterone acetate, </w:t>
      </w:r>
      <w:proofErr w:type="spellStart"/>
      <w:r w:rsidRPr="00D23308">
        <w:t>etonogestrel</w:t>
      </w:r>
      <w:proofErr w:type="spellEnd"/>
      <w:r w:rsidRPr="00D23308">
        <w:t xml:space="preserve">, </w:t>
      </w:r>
      <w:proofErr w:type="spellStart"/>
      <w:r w:rsidRPr="00D23308">
        <w:t>drospirenone</w:t>
      </w:r>
      <w:proofErr w:type="spellEnd"/>
      <w:r w:rsidRPr="00D23308">
        <w:t xml:space="preserve">, </w:t>
      </w:r>
      <w:proofErr w:type="spellStart"/>
      <w:r w:rsidRPr="00D23308">
        <w:t>dienogest</w:t>
      </w:r>
      <w:proofErr w:type="spellEnd"/>
      <w:r w:rsidRPr="00D23308">
        <w:t xml:space="preserve"> and </w:t>
      </w:r>
      <w:proofErr w:type="spellStart"/>
      <w:r w:rsidRPr="00D23308">
        <w:t>nomogestrel</w:t>
      </w:r>
      <w:proofErr w:type="spellEnd"/>
      <w:r w:rsidRPr="00D23308">
        <w:t xml:space="preserve"> acetate, have been developed over recent decades to avoid androgenic side effects and to have a minimal negative impact on </w:t>
      </w:r>
      <w:r w:rsidR="00AB76A4" w:rsidRPr="00D23308">
        <w:t>ethinylestradiol-induced</w:t>
      </w:r>
      <w:r w:rsidRPr="00D23308">
        <w:t xml:space="preserve"> changes to lipids.</w:t>
      </w:r>
      <w:r w:rsidR="00DE13E9">
        <w:rPr>
          <w:rStyle w:val="FootnoteReference"/>
        </w:rPr>
        <w:footnoteReference w:id="6"/>
      </w:r>
      <w:r w:rsidRPr="00D23308">
        <w:t xml:space="preserve"> For women with a pre-existing condition such as acne, pre-menstrual dysphoric </w:t>
      </w:r>
      <w:r w:rsidR="00A05679" w:rsidRPr="00D23308">
        <w:t>disorder,</w:t>
      </w:r>
      <w:r w:rsidRPr="00D23308">
        <w:t xml:space="preserve"> or heavy menstrual bleeding, selecting a progestogen type other than levonorgestrel or norethisterone may be</w:t>
      </w:r>
      <w:r w:rsidR="00507F23">
        <w:t xml:space="preserve"> </w:t>
      </w:r>
      <w:r w:rsidR="005827ED">
        <w:t>considered</w:t>
      </w:r>
      <w:r w:rsidRPr="00D23308">
        <w:t>.</w:t>
      </w:r>
    </w:p>
    <w:p w14:paraId="0386A934" w14:textId="0FC87B96" w:rsidR="000566F2" w:rsidRPr="00D23308" w:rsidRDefault="000566F2" w:rsidP="000566F2">
      <w:r w:rsidRPr="00D23308">
        <w:t>The clinical rationale as stated by the sponsor was:</w:t>
      </w:r>
    </w:p>
    <w:p w14:paraId="6015EF5A" w14:textId="5FA79C2E" w:rsidR="000566F2" w:rsidRPr="00103742" w:rsidRDefault="00AB76A4" w:rsidP="00103742">
      <w:pPr>
        <w:ind w:left="720"/>
        <w:rPr>
          <w:iCs/>
        </w:rPr>
      </w:pPr>
      <w:r>
        <w:t>‘</w:t>
      </w:r>
      <w:r w:rsidR="000566F2" w:rsidRPr="00103742">
        <w:rPr>
          <w:iCs/>
        </w:rPr>
        <w:t xml:space="preserve">Early contraceptive preparations contained high doses of synthetic estrogen 17-α </w:t>
      </w:r>
      <w:r w:rsidR="00E72922" w:rsidRPr="00103742">
        <w:rPr>
          <w:iCs/>
        </w:rPr>
        <w:t>ethinylestradiol</w:t>
      </w:r>
      <w:r w:rsidR="000566F2" w:rsidRPr="00103742">
        <w:rPr>
          <w:iCs/>
        </w:rPr>
        <w:t xml:space="preserve"> or mestranol (the pro-drug for </w:t>
      </w:r>
      <w:r w:rsidR="00E72922" w:rsidRPr="00103742">
        <w:rPr>
          <w:iCs/>
        </w:rPr>
        <w:t>ethinylestradiol</w:t>
      </w:r>
      <w:r w:rsidR="000566F2" w:rsidRPr="00103742">
        <w:rPr>
          <w:iCs/>
        </w:rPr>
        <w:t xml:space="preserve">) with increased oral bioavailability, in combination with a high dose of a 19-nortestosterone derived progestin. Due to </w:t>
      </w:r>
      <w:r w:rsidRPr="00AB76A4">
        <w:rPr>
          <w:iCs/>
        </w:rPr>
        <w:t>side effects</w:t>
      </w:r>
      <w:r w:rsidR="000566F2" w:rsidRPr="00103742">
        <w:rPr>
          <w:iCs/>
        </w:rPr>
        <w:t xml:space="preserve"> including some rare but serious venous thrombotic effects associated with the high </w:t>
      </w:r>
      <w:r w:rsidR="00E72922" w:rsidRPr="00103742">
        <w:rPr>
          <w:iCs/>
        </w:rPr>
        <w:t>ethinylestradiol</w:t>
      </w:r>
      <w:r w:rsidR="000566F2" w:rsidRPr="00103742">
        <w:rPr>
          <w:iCs/>
        </w:rPr>
        <w:t xml:space="preserve">-dose oral contraceptives, the </w:t>
      </w:r>
      <w:r w:rsidR="00E72922" w:rsidRPr="00103742">
        <w:rPr>
          <w:iCs/>
        </w:rPr>
        <w:t>ethinylestradiol</w:t>
      </w:r>
      <w:r w:rsidR="000566F2" w:rsidRPr="00103742">
        <w:rPr>
          <w:iCs/>
        </w:rPr>
        <w:t xml:space="preserve"> dose was reduced and more selective progestins developed. The newer CHCs </w:t>
      </w:r>
      <w:r>
        <w:rPr>
          <w:iCs/>
        </w:rPr>
        <w:t xml:space="preserve">[combined hormonal contraceptives] </w:t>
      </w:r>
      <w:r w:rsidR="000566F2" w:rsidRPr="00103742">
        <w:rPr>
          <w:iCs/>
        </w:rPr>
        <w:t xml:space="preserve">used more natural hormones including 17β-estradiol (-valerate) (E2V) and either </w:t>
      </w:r>
      <w:proofErr w:type="spellStart"/>
      <w:r w:rsidR="000566F2" w:rsidRPr="00103742">
        <w:rPr>
          <w:iCs/>
        </w:rPr>
        <w:t>nomegestrol</w:t>
      </w:r>
      <w:proofErr w:type="spellEnd"/>
      <w:r w:rsidR="000566F2" w:rsidRPr="00103742">
        <w:rPr>
          <w:iCs/>
        </w:rPr>
        <w:t xml:space="preserve"> acetate or </w:t>
      </w:r>
      <w:proofErr w:type="spellStart"/>
      <w:r w:rsidR="000566F2" w:rsidRPr="00103742">
        <w:rPr>
          <w:iCs/>
        </w:rPr>
        <w:t>dienogest</w:t>
      </w:r>
      <w:proofErr w:type="spellEnd"/>
      <w:r w:rsidR="000566F2" w:rsidRPr="00103742">
        <w:rPr>
          <w:iCs/>
        </w:rPr>
        <w:t xml:space="preserve"> (DNG) which potentially reduced adverse effects on h</w:t>
      </w:r>
      <w:r w:rsidR="001361FB" w:rsidRPr="00103742">
        <w:rPr>
          <w:iCs/>
        </w:rPr>
        <w:t>a</w:t>
      </w:r>
      <w:r w:rsidR="000566F2" w:rsidRPr="00103742">
        <w:rPr>
          <w:iCs/>
        </w:rPr>
        <w:t>emostasis, lipid and carbohydrate metabolism compared to their synthetic analogues</w:t>
      </w:r>
      <w:r w:rsidR="007B1F3D" w:rsidRPr="00103742">
        <w:rPr>
          <w:iCs/>
        </w:rPr>
        <w:t>.</w:t>
      </w:r>
      <w:r w:rsidR="007B1F3D" w:rsidRPr="00103742">
        <w:rPr>
          <w:rStyle w:val="FootnoteReference"/>
          <w:iCs/>
        </w:rPr>
        <w:footnoteReference w:id="7"/>
      </w:r>
      <w:r w:rsidR="007B1F3D" w:rsidRPr="00103742">
        <w:rPr>
          <w:iCs/>
          <w:vertAlign w:val="superscript"/>
        </w:rPr>
        <w:t>,</w:t>
      </w:r>
      <w:r w:rsidR="007B1F3D" w:rsidRPr="00103742">
        <w:rPr>
          <w:rStyle w:val="FootnoteReference"/>
          <w:iCs/>
        </w:rPr>
        <w:footnoteReference w:id="8"/>
      </w:r>
    </w:p>
    <w:p w14:paraId="448C4A21" w14:textId="4A498B69" w:rsidR="000566F2" w:rsidRPr="00EB0EAC" w:rsidRDefault="000566F2" w:rsidP="00103742">
      <w:pPr>
        <w:ind w:left="720"/>
        <w:rPr>
          <w:iCs/>
        </w:rPr>
      </w:pPr>
      <w:r w:rsidRPr="00103742">
        <w:rPr>
          <w:iCs/>
        </w:rPr>
        <w:t xml:space="preserve">Another natural hormone, estetrol (E4), is produced by the human fetal liver. It is produced only during human pregnancy and reaches the maternal circulation through the placenta. E4 binds very specifically to estrogen receptors (ER) α and β, with a 4- to 5-fold preference for ERα, and displays a variety of estrogenic </w:t>
      </w:r>
      <w:r w:rsidRPr="00103742">
        <w:rPr>
          <w:iCs/>
        </w:rPr>
        <w:lastRenderedPageBreak/>
        <w:t>activities</w:t>
      </w:r>
      <w:r w:rsidR="006C1259" w:rsidRPr="00103742">
        <w:rPr>
          <w:iCs/>
        </w:rPr>
        <w:t>.</w:t>
      </w:r>
      <w:r w:rsidR="006C1259" w:rsidRPr="00103742">
        <w:rPr>
          <w:rStyle w:val="FootnoteReference"/>
          <w:iCs/>
        </w:rPr>
        <w:footnoteReference w:id="9"/>
      </w:r>
      <w:r w:rsidR="006C1259" w:rsidRPr="00103742">
        <w:rPr>
          <w:iCs/>
          <w:vertAlign w:val="superscript"/>
        </w:rPr>
        <w:t>,</w:t>
      </w:r>
      <w:bookmarkStart w:id="13" w:name="_Ref106627138"/>
      <w:r w:rsidR="006C1259" w:rsidRPr="00103742">
        <w:rPr>
          <w:rStyle w:val="FootnoteReference"/>
          <w:iCs/>
        </w:rPr>
        <w:footnoteReference w:id="10"/>
      </w:r>
      <w:bookmarkEnd w:id="13"/>
      <w:r w:rsidRPr="00103742">
        <w:rPr>
          <w:iCs/>
        </w:rPr>
        <w:t>. Human maternal plasma levels increase during pregnancy to achieve a plasma concentration ranging from 0.4 to 1.2 ng/mL towards the end of gestation, while fetal plasma levels have been reported to be over 10 times higher than maternal plasma levels at parturition.</w:t>
      </w:r>
      <w:r w:rsidR="00A22375" w:rsidRPr="00103742">
        <w:rPr>
          <w:iCs/>
          <w:color w:val="2B579A"/>
          <w:shd w:val="clear" w:color="auto" w:fill="E6E6E6"/>
          <w:vertAlign w:val="superscript"/>
        </w:rPr>
        <w:fldChar w:fldCharType="begin"/>
      </w:r>
      <w:r w:rsidR="00A22375" w:rsidRPr="00103742">
        <w:rPr>
          <w:iCs/>
          <w:vertAlign w:val="superscript"/>
        </w:rPr>
        <w:instrText xml:space="preserve"> NOTEREF _Ref106627138 \h  \* MERGEFORMAT </w:instrText>
      </w:r>
      <w:r w:rsidR="00A22375" w:rsidRPr="00103742">
        <w:rPr>
          <w:iCs/>
          <w:color w:val="2B579A"/>
          <w:shd w:val="clear" w:color="auto" w:fill="E6E6E6"/>
          <w:vertAlign w:val="superscript"/>
        </w:rPr>
      </w:r>
      <w:r w:rsidR="00A22375" w:rsidRPr="00103742">
        <w:rPr>
          <w:iCs/>
          <w:color w:val="2B579A"/>
          <w:shd w:val="clear" w:color="auto" w:fill="E6E6E6"/>
          <w:vertAlign w:val="superscript"/>
        </w:rPr>
        <w:fldChar w:fldCharType="separate"/>
      </w:r>
      <w:r w:rsidR="005319AF">
        <w:rPr>
          <w:iCs/>
          <w:vertAlign w:val="superscript"/>
        </w:rPr>
        <w:t>9</w:t>
      </w:r>
      <w:r w:rsidR="00A22375" w:rsidRPr="00103742">
        <w:rPr>
          <w:iCs/>
          <w:color w:val="2B579A"/>
          <w:shd w:val="clear" w:color="auto" w:fill="E6E6E6"/>
          <w:vertAlign w:val="superscript"/>
        </w:rPr>
        <w:fldChar w:fldCharType="end"/>
      </w:r>
      <w:r w:rsidRPr="00EB0EAC">
        <w:rPr>
          <w:iCs/>
        </w:rPr>
        <w:t xml:space="preserve"> Being a natural estrogen, tolerated in very high concentrations in fetal and maternal tissue, E4 was considered an attractive candidate for use in CHCs.</w:t>
      </w:r>
    </w:p>
    <w:p w14:paraId="1156D145" w14:textId="05F9FE71" w:rsidR="000566F2" w:rsidRPr="00103742" w:rsidRDefault="000566F2" w:rsidP="00103742">
      <w:pPr>
        <w:ind w:left="720"/>
        <w:rPr>
          <w:iCs/>
        </w:rPr>
      </w:pPr>
      <w:r w:rsidRPr="00EB0EAC">
        <w:rPr>
          <w:iCs/>
        </w:rPr>
        <w:t xml:space="preserve">Identification of a regimen that includes the proper type and dose of progestin was one of the main aspects of an E4-based COC </w:t>
      </w:r>
      <w:r w:rsidR="00AB76A4">
        <w:rPr>
          <w:iCs/>
        </w:rPr>
        <w:t xml:space="preserve">[combined oral contraceptive] </w:t>
      </w:r>
      <w:r w:rsidRPr="00103742">
        <w:rPr>
          <w:iCs/>
        </w:rPr>
        <w:t xml:space="preserve">to ensure strong suppression of ovarian function (and therefore good contraceptive efficacy), predictable and acceptable vaginal bleeding profile, good overall safety and tolerability including less pronounced effects on metabolic parameters than currently available CHCs. The progestin </w:t>
      </w:r>
      <w:proofErr w:type="spellStart"/>
      <w:r w:rsidRPr="00103742">
        <w:rPr>
          <w:iCs/>
        </w:rPr>
        <w:t>drospirenone</w:t>
      </w:r>
      <w:proofErr w:type="spellEnd"/>
      <w:r w:rsidRPr="00103742">
        <w:rPr>
          <w:iCs/>
        </w:rPr>
        <w:t xml:space="preserve"> possesses </w:t>
      </w:r>
      <w:proofErr w:type="spellStart"/>
      <w:r w:rsidRPr="00103742">
        <w:rPr>
          <w:iCs/>
        </w:rPr>
        <w:t>antigonadotropic</w:t>
      </w:r>
      <w:proofErr w:type="spellEnd"/>
      <w:r w:rsidRPr="00103742">
        <w:rPr>
          <w:iCs/>
        </w:rPr>
        <w:t xml:space="preserve">, antiandrogenic and mild </w:t>
      </w:r>
      <w:proofErr w:type="spellStart"/>
      <w:r w:rsidRPr="00103742">
        <w:rPr>
          <w:iCs/>
        </w:rPr>
        <w:t>antimineralocorticoid</w:t>
      </w:r>
      <w:proofErr w:type="spellEnd"/>
      <w:r w:rsidRPr="00103742">
        <w:rPr>
          <w:iCs/>
        </w:rPr>
        <w:t xml:space="preserve"> properties and has no estrogenic, glucocorticoid or </w:t>
      </w:r>
      <w:proofErr w:type="spellStart"/>
      <w:r w:rsidRPr="00103742">
        <w:rPr>
          <w:iCs/>
        </w:rPr>
        <w:t>antiglucocorticoid</w:t>
      </w:r>
      <w:proofErr w:type="spellEnd"/>
      <w:r w:rsidRPr="00103742">
        <w:rPr>
          <w:iCs/>
        </w:rPr>
        <w:t xml:space="preserve"> activity. These properties are pharmacologically </w:t>
      </w:r>
      <w:proofErr w:type="gramStart"/>
      <w:r w:rsidRPr="00103742">
        <w:rPr>
          <w:iCs/>
        </w:rPr>
        <w:t>similar to</w:t>
      </w:r>
      <w:proofErr w:type="gramEnd"/>
      <w:r w:rsidRPr="00103742">
        <w:rPr>
          <w:iCs/>
        </w:rPr>
        <w:t xml:space="preserve"> the natural hormone progesterone.</w:t>
      </w:r>
      <w:r w:rsidR="00A05679" w:rsidRPr="00103742">
        <w:rPr>
          <w:iCs/>
        </w:rPr>
        <w:t>’</w:t>
      </w:r>
    </w:p>
    <w:p w14:paraId="67B8C564" w14:textId="77777777" w:rsidR="008E7846" w:rsidRPr="00D23308" w:rsidRDefault="00386150" w:rsidP="008E7846">
      <w:pPr>
        <w:pStyle w:val="Heading3"/>
      </w:pPr>
      <w:bookmarkStart w:id="14" w:name="_Toc314842485"/>
      <w:bookmarkStart w:id="15" w:name="_Toc247691504"/>
      <w:bookmarkStart w:id="16" w:name="_Toc109301840"/>
      <w:r w:rsidRPr="00D23308">
        <w:t>Regulatory s</w:t>
      </w:r>
      <w:r w:rsidR="008E7846" w:rsidRPr="00D23308">
        <w:t>tatus</w:t>
      </w:r>
      <w:bookmarkEnd w:id="14"/>
      <w:bookmarkEnd w:id="15"/>
      <w:bookmarkEnd w:id="16"/>
    </w:p>
    <w:p w14:paraId="3679721C" w14:textId="08AE0C58" w:rsidR="00332715" w:rsidRPr="00D23308" w:rsidRDefault="00332715" w:rsidP="00332715">
      <w:bookmarkStart w:id="17" w:name="_Toc247691505"/>
      <w:bookmarkStart w:id="18" w:name="_Toc314842486"/>
      <w:r w:rsidRPr="00D23308">
        <w:t>This product is considered a new chemical medicine for Australian regulatory purposes.</w:t>
      </w:r>
    </w:p>
    <w:p w14:paraId="22405C17" w14:textId="6450D772" w:rsidR="00332715" w:rsidRPr="00D23308" w:rsidRDefault="00332715" w:rsidP="00332715">
      <w:r w:rsidRPr="00D23308">
        <w:t xml:space="preserve">At the time the TGA considered this </w:t>
      </w:r>
      <w:r w:rsidR="00BB0B78" w:rsidRPr="00D23308">
        <w:t>submission</w:t>
      </w:r>
      <w:r w:rsidRPr="00D23308">
        <w:t xml:space="preserve">, similar </w:t>
      </w:r>
      <w:r w:rsidR="00BB0B78" w:rsidRPr="00D23308">
        <w:t>submission</w:t>
      </w:r>
      <w:r w:rsidR="007C24F9" w:rsidRPr="00D23308">
        <w:t>s</w:t>
      </w:r>
      <w:r w:rsidRPr="00D23308">
        <w:t xml:space="preserve"> had been approved in </w:t>
      </w:r>
      <w:r w:rsidR="007C24F9" w:rsidRPr="00D23308">
        <w:t xml:space="preserve">Canada on 5 March 2021, European Union </w:t>
      </w:r>
      <w:r w:rsidR="001A7E03" w:rsidRPr="00D23308">
        <w:t xml:space="preserve">(EU) </w:t>
      </w:r>
      <w:r w:rsidR="007C24F9" w:rsidRPr="00D23308">
        <w:t xml:space="preserve">on 19 May 2021 and United States of America </w:t>
      </w:r>
      <w:r w:rsidR="001A7E03" w:rsidRPr="00D23308">
        <w:t xml:space="preserve">(USA) </w:t>
      </w:r>
      <w:r w:rsidR="007C24F9" w:rsidRPr="00D23308">
        <w:t>on 15 April 2021</w:t>
      </w:r>
      <w:r w:rsidRPr="00D23308">
        <w:t xml:space="preserve">. </w:t>
      </w:r>
      <w:r w:rsidR="007C24F9" w:rsidRPr="00D23308">
        <w:t>S</w:t>
      </w:r>
      <w:r w:rsidRPr="00D23308">
        <w:t xml:space="preserve">imilar </w:t>
      </w:r>
      <w:r w:rsidR="00BB0B78" w:rsidRPr="00D23308">
        <w:t>submission</w:t>
      </w:r>
      <w:r w:rsidR="007C24F9" w:rsidRPr="00D23308">
        <w:t>s</w:t>
      </w:r>
      <w:r w:rsidRPr="00D23308">
        <w:t xml:space="preserve"> </w:t>
      </w:r>
      <w:r w:rsidR="007C24F9" w:rsidRPr="00D23308">
        <w:t>were</w:t>
      </w:r>
      <w:r w:rsidRPr="00D23308">
        <w:t xml:space="preserve"> under consideration in </w:t>
      </w:r>
      <w:r w:rsidR="007C24F9" w:rsidRPr="00D23308">
        <w:t xml:space="preserve">Brazil </w:t>
      </w:r>
      <w:r w:rsidRPr="00D23308">
        <w:t xml:space="preserve">(submitted on </w:t>
      </w:r>
      <w:r w:rsidR="007C24F9" w:rsidRPr="00D23308">
        <w:t>29</w:t>
      </w:r>
      <w:r w:rsidR="0033574A" w:rsidRPr="00D23308">
        <w:t> </w:t>
      </w:r>
      <w:r w:rsidR="007C24F9" w:rsidRPr="00D23308">
        <w:t>October</w:t>
      </w:r>
      <w:r w:rsidR="0033574A" w:rsidRPr="00D23308">
        <w:t> </w:t>
      </w:r>
      <w:r w:rsidR="007C24F9" w:rsidRPr="00D23308">
        <w:t>2020</w:t>
      </w:r>
      <w:r w:rsidRPr="00D23308">
        <w:t>)</w:t>
      </w:r>
      <w:r w:rsidR="007C24F9" w:rsidRPr="00D23308">
        <w:t xml:space="preserve"> and Switzerland (submitted on 12 October 2020).</w:t>
      </w:r>
    </w:p>
    <w:p w14:paraId="66661739" w14:textId="77777777" w:rsidR="00332715" w:rsidRPr="00D23308" w:rsidRDefault="0072292E" w:rsidP="00332715">
      <w:r w:rsidRPr="00D23308">
        <w:t xml:space="preserve">The following table </w:t>
      </w:r>
      <w:r w:rsidR="00332715" w:rsidRPr="00D23308">
        <w:t xml:space="preserve">summarises these </w:t>
      </w:r>
      <w:r w:rsidR="00BB0B78" w:rsidRPr="00D23308">
        <w:t>submissions</w:t>
      </w:r>
      <w:r w:rsidR="00332715" w:rsidRPr="00D23308">
        <w:t xml:space="preserve"> and provides the indications where approved.</w:t>
      </w:r>
    </w:p>
    <w:p w14:paraId="7595DD24" w14:textId="4255EAF7" w:rsidR="00324E45" w:rsidRPr="00C34B5A" w:rsidRDefault="00324E45" w:rsidP="00C34B5A">
      <w:pPr>
        <w:pStyle w:val="TableTitle"/>
      </w:pPr>
      <w:bookmarkStart w:id="19" w:name="_Ref99705479"/>
      <w:r w:rsidRPr="00C34B5A">
        <w:t xml:space="preserve">Table </w:t>
      </w:r>
      <w:r w:rsidRPr="00C34B5A">
        <w:fldChar w:fldCharType="begin"/>
      </w:r>
      <w:r w:rsidRPr="00C34B5A">
        <w:instrText>SEQ Table \* ARABIC</w:instrText>
      </w:r>
      <w:r w:rsidRPr="00C34B5A">
        <w:fldChar w:fldCharType="separate"/>
      </w:r>
      <w:r w:rsidR="005319AF">
        <w:rPr>
          <w:noProof/>
        </w:rPr>
        <w:t>1</w:t>
      </w:r>
      <w:r w:rsidRPr="00C34B5A">
        <w:fldChar w:fldCharType="end"/>
      </w:r>
      <w:bookmarkEnd w:id="19"/>
      <w:r w:rsidRPr="00C34B5A">
        <w:t>: International regulatory status</w:t>
      </w:r>
    </w:p>
    <w:tbl>
      <w:tblPr>
        <w:tblStyle w:val="TableTGAblue"/>
        <w:tblW w:w="8815" w:type="dxa"/>
        <w:tblLayout w:type="fixed"/>
        <w:tblLook w:val="04A0" w:firstRow="1" w:lastRow="0" w:firstColumn="1" w:lastColumn="0" w:noHBand="0" w:noVBand="1"/>
      </w:tblPr>
      <w:tblGrid>
        <w:gridCol w:w="1838"/>
        <w:gridCol w:w="1418"/>
        <w:gridCol w:w="1559"/>
        <w:gridCol w:w="4000"/>
      </w:tblGrid>
      <w:tr w:rsidR="00AB76A4" w:rsidRPr="00D23308" w14:paraId="27E6BCDE" w14:textId="77777777" w:rsidTr="00103742">
        <w:trPr>
          <w:cnfStyle w:val="100000000000" w:firstRow="1" w:lastRow="0" w:firstColumn="0" w:lastColumn="0" w:oddVBand="0" w:evenVBand="0" w:oddHBand="0" w:evenHBand="0" w:firstRowFirstColumn="0" w:firstRowLastColumn="0" w:lastRowFirstColumn="0" w:lastRowLastColumn="0"/>
        </w:trPr>
        <w:tc>
          <w:tcPr>
            <w:tcW w:w="1838" w:type="dxa"/>
            <w:tcBorders>
              <w:top w:val="single" w:sz="4" w:space="0" w:color="auto"/>
              <w:left w:val="single" w:sz="4" w:space="0" w:color="auto"/>
              <w:bottom w:val="single" w:sz="4" w:space="0" w:color="auto"/>
              <w:right w:val="single" w:sz="4" w:space="0" w:color="auto"/>
            </w:tcBorders>
          </w:tcPr>
          <w:p w14:paraId="11519C73" w14:textId="77777777" w:rsidR="00006FAB" w:rsidRPr="00D23308" w:rsidRDefault="00006FAB">
            <w:pPr>
              <w:ind w:left="0" w:right="0"/>
            </w:pPr>
            <w:r w:rsidRPr="00D23308">
              <w:t>Region</w:t>
            </w:r>
          </w:p>
        </w:tc>
        <w:tc>
          <w:tcPr>
            <w:tcW w:w="1418" w:type="dxa"/>
            <w:tcBorders>
              <w:top w:val="single" w:sz="4" w:space="0" w:color="auto"/>
              <w:left w:val="single" w:sz="4" w:space="0" w:color="auto"/>
              <w:bottom w:val="single" w:sz="4" w:space="0" w:color="auto"/>
              <w:right w:val="single" w:sz="4" w:space="0" w:color="auto"/>
            </w:tcBorders>
          </w:tcPr>
          <w:p w14:paraId="02EBB0B0" w14:textId="77777777" w:rsidR="00006FAB" w:rsidRPr="00D23308" w:rsidRDefault="00006FAB">
            <w:pPr>
              <w:ind w:left="0" w:right="0"/>
            </w:pPr>
            <w:r w:rsidRPr="00D23308">
              <w:t>Submission date</w:t>
            </w:r>
          </w:p>
        </w:tc>
        <w:tc>
          <w:tcPr>
            <w:tcW w:w="1559" w:type="dxa"/>
            <w:tcBorders>
              <w:top w:val="single" w:sz="4" w:space="0" w:color="auto"/>
              <w:left w:val="single" w:sz="4" w:space="0" w:color="auto"/>
              <w:bottom w:val="single" w:sz="4" w:space="0" w:color="auto"/>
              <w:right w:val="single" w:sz="4" w:space="0" w:color="auto"/>
            </w:tcBorders>
          </w:tcPr>
          <w:p w14:paraId="26E5F94D" w14:textId="77777777" w:rsidR="00006FAB" w:rsidRPr="00D23308" w:rsidRDefault="00006FAB">
            <w:pPr>
              <w:ind w:left="0" w:right="0"/>
            </w:pPr>
            <w:r w:rsidRPr="00D23308">
              <w:t>Status</w:t>
            </w:r>
          </w:p>
        </w:tc>
        <w:tc>
          <w:tcPr>
            <w:tcW w:w="4000" w:type="dxa"/>
            <w:tcBorders>
              <w:top w:val="single" w:sz="4" w:space="0" w:color="auto"/>
              <w:left w:val="single" w:sz="4" w:space="0" w:color="auto"/>
              <w:bottom w:val="single" w:sz="4" w:space="0" w:color="auto"/>
              <w:right w:val="single" w:sz="4" w:space="0" w:color="auto"/>
            </w:tcBorders>
          </w:tcPr>
          <w:p w14:paraId="5F99BCA4" w14:textId="77777777" w:rsidR="00006FAB" w:rsidRPr="00D23308" w:rsidRDefault="00006FAB">
            <w:pPr>
              <w:ind w:left="0" w:right="0"/>
            </w:pPr>
            <w:r w:rsidRPr="00D23308">
              <w:t>Approved indications</w:t>
            </w:r>
          </w:p>
        </w:tc>
      </w:tr>
      <w:tr w:rsidR="00AB76A4" w:rsidRPr="00D23308" w14:paraId="723A36C2" w14:textId="77777777" w:rsidTr="00103742">
        <w:tc>
          <w:tcPr>
            <w:tcW w:w="1838" w:type="dxa"/>
            <w:tcBorders>
              <w:top w:val="single" w:sz="4" w:space="0" w:color="auto"/>
            </w:tcBorders>
          </w:tcPr>
          <w:p w14:paraId="59E84998" w14:textId="2678C7F7" w:rsidR="00006FAB" w:rsidRPr="00D23308" w:rsidRDefault="00AF25F7">
            <w:pPr>
              <w:ind w:left="0" w:right="0"/>
            </w:pPr>
            <w:r w:rsidRPr="00D23308">
              <w:t>Canada</w:t>
            </w:r>
          </w:p>
        </w:tc>
        <w:tc>
          <w:tcPr>
            <w:tcW w:w="1418" w:type="dxa"/>
            <w:tcBorders>
              <w:top w:val="single" w:sz="4" w:space="0" w:color="auto"/>
            </w:tcBorders>
          </w:tcPr>
          <w:p w14:paraId="3F5C27DB" w14:textId="1597C3AE" w:rsidR="00006FAB" w:rsidRPr="00D23308" w:rsidRDefault="00AF25F7">
            <w:pPr>
              <w:ind w:left="0" w:right="0"/>
            </w:pPr>
            <w:r w:rsidRPr="00D23308">
              <w:t xml:space="preserve">17 </w:t>
            </w:r>
            <w:r w:rsidR="007C24F9" w:rsidRPr="00D23308">
              <w:t>February</w:t>
            </w:r>
            <w:r w:rsidRPr="00D23308">
              <w:t xml:space="preserve"> 2020</w:t>
            </w:r>
          </w:p>
        </w:tc>
        <w:tc>
          <w:tcPr>
            <w:tcW w:w="1559" w:type="dxa"/>
            <w:tcBorders>
              <w:top w:val="single" w:sz="4" w:space="0" w:color="auto"/>
            </w:tcBorders>
          </w:tcPr>
          <w:p w14:paraId="4D71DC04" w14:textId="4275AD29" w:rsidR="00006FAB" w:rsidRPr="00D23308" w:rsidRDefault="00006FAB">
            <w:pPr>
              <w:ind w:left="0" w:right="0"/>
            </w:pPr>
            <w:r w:rsidRPr="00D23308">
              <w:t xml:space="preserve">Approved on </w:t>
            </w:r>
            <w:r w:rsidR="00AF25F7" w:rsidRPr="00D23308">
              <w:t>5</w:t>
            </w:r>
            <w:r w:rsidR="007C24F9" w:rsidRPr="00D23308">
              <w:t> </w:t>
            </w:r>
            <w:r w:rsidR="00AF25F7" w:rsidRPr="00D23308">
              <w:t>Mar</w:t>
            </w:r>
            <w:r w:rsidR="007C24F9" w:rsidRPr="00D23308">
              <w:t>ch </w:t>
            </w:r>
            <w:r w:rsidR="00AF25F7" w:rsidRPr="00D23308">
              <w:t>2021</w:t>
            </w:r>
          </w:p>
        </w:tc>
        <w:tc>
          <w:tcPr>
            <w:tcW w:w="4000" w:type="dxa"/>
            <w:tcBorders>
              <w:top w:val="single" w:sz="4" w:space="0" w:color="auto"/>
            </w:tcBorders>
          </w:tcPr>
          <w:p w14:paraId="24126F07" w14:textId="54C4CDA1" w:rsidR="00006FAB" w:rsidRPr="00D23308" w:rsidRDefault="007C24F9" w:rsidP="00103742">
            <w:pPr>
              <w:ind w:left="0" w:right="0"/>
              <w:rPr>
                <w:i/>
                <w:iCs/>
              </w:rPr>
            </w:pPr>
            <w:r w:rsidRPr="00D23308">
              <w:rPr>
                <w:i/>
                <w:iCs/>
              </w:rPr>
              <w:t xml:space="preserve">Nextstellis </w:t>
            </w:r>
            <w:r w:rsidR="00AF25F7" w:rsidRPr="00D23308">
              <w:rPr>
                <w:i/>
                <w:iCs/>
              </w:rPr>
              <w:t xml:space="preserve">(estetrol monohydrate and drospirenone) is indicated for: </w:t>
            </w:r>
            <w:r w:rsidR="0033574A" w:rsidRPr="00D23308">
              <w:rPr>
                <w:i/>
                <w:iCs/>
              </w:rPr>
              <w:t xml:space="preserve">prevention </w:t>
            </w:r>
            <w:r w:rsidR="00AF25F7" w:rsidRPr="00D23308">
              <w:rPr>
                <w:i/>
                <w:iCs/>
              </w:rPr>
              <w:t>of pregnancy.</w:t>
            </w:r>
          </w:p>
        </w:tc>
      </w:tr>
      <w:tr w:rsidR="00AB76A4" w:rsidRPr="00D23308" w14:paraId="5F543748" w14:textId="77777777" w:rsidTr="00103742">
        <w:tc>
          <w:tcPr>
            <w:tcW w:w="1838" w:type="dxa"/>
          </w:tcPr>
          <w:p w14:paraId="3E539ACD" w14:textId="6772FC95" w:rsidR="00006FAB" w:rsidRPr="00D23308" w:rsidRDefault="00121674" w:rsidP="00103742">
            <w:pPr>
              <w:ind w:left="0" w:right="0"/>
            </w:pPr>
            <w:r w:rsidRPr="00D23308">
              <w:t>Europe</w:t>
            </w:r>
            <w:r w:rsidR="00AB76A4">
              <w:t>an</w:t>
            </w:r>
            <w:r w:rsidRPr="00D23308">
              <w:t xml:space="preserve"> Union</w:t>
            </w:r>
          </w:p>
        </w:tc>
        <w:tc>
          <w:tcPr>
            <w:tcW w:w="1418" w:type="dxa"/>
          </w:tcPr>
          <w:p w14:paraId="28667AB9" w14:textId="59AC9146" w:rsidR="00006FAB" w:rsidRPr="00D23308" w:rsidRDefault="00121674">
            <w:pPr>
              <w:ind w:left="0" w:right="0"/>
            </w:pPr>
            <w:r w:rsidRPr="00D23308">
              <w:t>24 Jan</w:t>
            </w:r>
            <w:r w:rsidR="007C24F9" w:rsidRPr="00D23308">
              <w:t>uary</w:t>
            </w:r>
            <w:r w:rsidRPr="00D23308">
              <w:t xml:space="preserve"> 2020</w:t>
            </w:r>
          </w:p>
        </w:tc>
        <w:tc>
          <w:tcPr>
            <w:tcW w:w="1559" w:type="dxa"/>
          </w:tcPr>
          <w:p w14:paraId="7E7ED349" w14:textId="15CE4C07" w:rsidR="00006FAB" w:rsidRPr="00D23308" w:rsidRDefault="00121674" w:rsidP="00103742">
            <w:pPr>
              <w:ind w:left="0" w:right="0"/>
            </w:pPr>
            <w:r w:rsidRPr="00D23308">
              <w:t>Approved on 19</w:t>
            </w:r>
            <w:r w:rsidR="0033574A" w:rsidRPr="00D23308">
              <w:t> </w:t>
            </w:r>
            <w:r w:rsidRPr="00D23308">
              <w:t>May</w:t>
            </w:r>
            <w:r w:rsidR="0033574A" w:rsidRPr="00D23308">
              <w:t> </w:t>
            </w:r>
            <w:r w:rsidRPr="00D23308">
              <w:t>202</w:t>
            </w:r>
            <w:r w:rsidR="007C24F9" w:rsidRPr="00D23308">
              <w:t>1</w:t>
            </w:r>
          </w:p>
        </w:tc>
        <w:tc>
          <w:tcPr>
            <w:tcW w:w="4000" w:type="dxa"/>
          </w:tcPr>
          <w:p w14:paraId="2B3662F8" w14:textId="7FE757F2" w:rsidR="00121674" w:rsidRDefault="00121674" w:rsidP="00103742">
            <w:pPr>
              <w:ind w:left="0" w:right="0"/>
              <w:rPr>
                <w:i/>
                <w:iCs/>
              </w:rPr>
            </w:pPr>
            <w:r w:rsidRPr="00D23308">
              <w:rPr>
                <w:i/>
                <w:iCs/>
              </w:rPr>
              <w:t>Oral contraception.</w:t>
            </w:r>
          </w:p>
          <w:p w14:paraId="627C8DAE" w14:textId="66021FC7" w:rsidR="00006FAB" w:rsidRPr="00D23308" w:rsidRDefault="00121674" w:rsidP="00103742">
            <w:pPr>
              <w:ind w:left="0" w:right="0"/>
            </w:pPr>
            <w:r w:rsidRPr="00D23308">
              <w:rPr>
                <w:i/>
                <w:iCs/>
              </w:rPr>
              <w:t>The decision to prescribe Nextstellis should take into consideration the individual woman’s current risk factors, particularly those for venous thromboembolism (VTE), and how the risk of VTE with Nextstellis compares with other combined hormonal contraceptives (CHCs)</w:t>
            </w:r>
            <w:r w:rsidR="00AB76A4">
              <w:rPr>
                <w:i/>
                <w:iCs/>
              </w:rPr>
              <w:t>.</w:t>
            </w:r>
          </w:p>
        </w:tc>
      </w:tr>
      <w:tr w:rsidR="00AB76A4" w:rsidRPr="00D23308" w14:paraId="2A3C384D" w14:textId="77777777" w:rsidTr="00103742">
        <w:tc>
          <w:tcPr>
            <w:tcW w:w="1838" w:type="dxa"/>
          </w:tcPr>
          <w:p w14:paraId="12CD94AE" w14:textId="441DD302" w:rsidR="00121674" w:rsidRPr="00D23308" w:rsidRDefault="007C24F9" w:rsidP="00103742">
            <w:pPr>
              <w:ind w:left="0" w:right="0"/>
            </w:pPr>
            <w:r w:rsidRPr="00D23308">
              <w:lastRenderedPageBreak/>
              <w:t>United States of America</w:t>
            </w:r>
          </w:p>
        </w:tc>
        <w:tc>
          <w:tcPr>
            <w:tcW w:w="1418" w:type="dxa"/>
          </w:tcPr>
          <w:p w14:paraId="73CD818B" w14:textId="518AF0A8" w:rsidR="00121674" w:rsidRPr="00D23308" w:rsidRDefault="007C24F9" w:rsidP="00103742">
            <w:pPr>
              <w:ind w:left="0" w:right="0"/>
            </w:pPr>
            <w:r w:rsidRPr="00D23308">
              <w:t>15 April 2020</w:t>
            </w:r>
          </w:p>
        </w:tc>
        <w:tc>
          <w:tcPr>
            <w:tcW w:w="1559" w:type="dxa"/>
          </w:tcPr>
          <w:p w14:paraId="2DEFA363" w14:textId="12945A9D" w:rsidR="00121674" w:rsidRPr="00D23308" w:rsidRDefault="007C24F9" w:rsidP="00103742">
            <w:pPr>
              <w:ind w:left="0" w:right="0"/>
            </w:pPr>
            <w:r w:rsidRPr="00D23308">
              <w:t>Approved on 15</w:t>
            </w:r>
            <w:r w:rsidR="0033574A" w:rsidRPr="00D23308">
              <w:t> </w:t>
            </w:r>
            <w:r w:rsidRPr="00D23308">
              <w:t>April</w:t>
            </w:r>
            <w:r w:rsidR="0033574A" w:rsidRPr="00D23308">
              <w:t> </w:t>
            </w:r>
            <w:r w:rsidRPr="00D23308">
              <w:t>2021</w:t>
            </w:r>
          </w:p>
        </w:tc>
        <w:tc>
          <w:tcPr>
            <w:tcW w:w="4000" w:type="dxa"/>
          </w:tcPr>
          <w:p w14:paraId="5D5BEA66" w14:textId="52A10FF9" w:rsidR="00121674" w:rsidRPr="00D23308" w:rsidRDefault="007C24F9" w:rsidP="00103742">
            <w:pPr>
              <w:ind w:left="0" w:right="0"/>
              <w:rPr>
                <w:i/>
                <w:iCs/>
              </w:rPr>
            </w:pPr>
            <w:r w:rsidRPr="00D23308">
              <w:rPr>
                <w:i/>
                <w:iCs/>
              </w:rPr>
              <w:t>Nextstellis is indicated for use by women of reproductive potential to prevent pregnancy.</w:t>
            </w:r>
          </w:p>
        </w:tc>
      </w:tr>
      <w:tr w:rsidR="00AB76A4" w:rsidRPr="00D23308" w14:paraId="04F44395" w14:textId="77777777" w:rsidTr="00103742">
        <w:tc>
          <w:tcPr>
            <w:tcW w:w="1838" w:type="dxa"/>
          </w:tcPr>
          <w:p w14:paraId="62E02AE3" w14:textId="54AF1F94" w:rsidR="007C24F9" w:rsidRPr="00D23308" w:rsidRDefault="007C24F9" w:rsidP="00103742">
            <w:pPr>
              <w:ind w:left="0" w:right="0"/>
            </w:pPr>
            <w:r w:rsidRPr="00D23308">
              <w:t>Brazil</w:t>
            </w:r>
          </w:p>
        </w:tc>
        <w:tc>
          <w:tcPr>
            <w:tcW w:w="1418" w:type="dxa"/>
          </w:tcPr>
          <w:p w14:paraId="4CDA4039" w14:textId="3B1DD805" w:rsidR="007C24F9" w:rsidRPr="00D23308" w:rsidRDefault="007C24F9" w:rsidP="00103742">
            <w:pPr>
              <w:ind w:left="0" w:right="0"/>
            </w:pPr>
            <w:r w:rsidRPr="00D23308">
              <w:t>29 October 2020</w:t>
            </w:r>
          </w:p>
        </w:tc>
        <w:tc>
          <w:tcPr>
            <w:tcW w:w="1559" w:type="dxa"/>
          </w:tcPr>
          <w:p w14:paraId="6BDEAAEA" w14:textId="0244E1C4" w:rsidR="007C24F9" w:rsidRPr="00D23308" w:rsidRDefault="007C24F9" w:rsidP="00103742">
            <w:pPr>
              <w:ind w:left="0" w:right="0"/>
            </w:pPr>
            <w:r w:rsidRPr="00D23308">
              <w:t>Under consideration</w:t>
            </w:r>
          </w:p>
        </w:tc>
        <w:tc>
          <w:tcPr>
            <w:tcW w:w="4000" w:type="dxa"/>
          </w:tcPr>
          <w:p w14:paraId="584FB58A" w14:textId="38CE9D94" w:rsidR="007C24F9" w:rsidRPr="00D23308" w:rsidRDefault="007C24F9" w:rsidP="00103742">
            <w:pPr>
              <w:ind w:left="0" w:right="0"/>
            </w:pPr>
            <w:r w:rsidRPr="00D23308">
              <w:t>Under consideration</w:t>
            </w:r>
          </w:p>
        </w:tc>
      </w:tr>
      <w:tr w:rsidR="00AB76A4" w:rsidRPr="00D23308" w14:paraId="7D9DE0B4" w14:textId="77777777" w:rsidTr="00103742">
        <w:tc>
          <w:tcPr>
            <w:tcW w:w="1838" w:type="dxa"/>
          </w:tcPr>
          <w:p w14:paraId="51D11FFE" w14:textId="6DB5F2B7" w:rsidR="007C24F9" w:rsidRPr="00D23308" w:rsidRDefault="007C24F9" w:rsidP="00103742">
            <w:pPr>
              <w:ind w:left="0" w:right="0"/>
            </w:pPr>
            <w:r w:rsidRPr="00D23308">
              <w:t>Switzerland</w:t>
            </w:r>
          </w:p>
        </w:tc>
        <w:tc>
          <w:tcPr>
            <w:tcW w:w="1418" w:type="dxa"/>
          </w:tcPr>
          <w:p w14:paraId="5EC52B76" w14:textId="49A5935D" w:rsidR="007C24F9" w:rsidRPr="00D23308" w:rsidRDefault="007C24F9" w:rsidP="00103742">
            <w:pPr>
              <w:ind w:left="0" w:right="0"/>
            </w:pPr>
            <w:r w:rsidRPr="00D23308">
              <w:t>12 October 2020</w:t>
            </w:r>
          </w:p>
        </w:tc>
        <w:tc>
          <w:tcPr>
            <w:tcW w:w="1559" w:type="dxa"/>
          </w:tcPr>
          <w:p w14:paraId="4D21460D" w14:textId="6F8EB7A3" w:rsidR="007C24F9" w:rsidRPr="00D23308" w:rsidRDefault="007C24F9" w:rsidP="00103742">
            <w:pPr>
              <w:ind w:left="0" w:right="0"/>
            </w:pPr>
            <w:r w:rsidRPr="00D23308">
              <w:t>Under consideration</w:t>
            </w:r>
          </w:p>
        </w:tc>
        <w:tc>
          <w:tcPr>
            <w:tcW w:w="4000" w:type="dxa"/>
          </w:tcPr>
          <w:p w14:paraId="1089480D" w14:textId="5127D7EF" w:rsidR="007C24F9" w:rsidRPr="00D23308" w:rsidRDefault="007C24F9" w:rsidP="00103742">
            <w:pPr>
              <w:ind w:left="0" w:right="0"/>
            </w:pPr>
            <w:r w:rsidRPr="00D23308">
              <w:t>Under consideration</w:t>
            </w:r>
          </w:p>
        </w:tc>
      </w:tr>
    </w:tbl>
    <w:p w14:paraId="3CD9B4A6" w14:textId="77777777" w:rsidR="008E7846" w:rsidRPr="00D23308" w:rsidRDefault="008E7846" w:rsidP="00940A89">
      <w:pPr>
        <w:pStyle w:val="Heading3"/>
      </w:pPr>
      <w:bookmarkStart w:id="20" w:name="_Toc109301841"/>
      <w:r w:rsidRPr="00D23308">
        <w:t>Product Information</w:t>
      </w:r>
      <w:bookmarkEnd w:id="17"/>
      <w:bookmarkEnd w:id="18"/>
      <w:bookmarkEnd w:id="20"/>
    </w:p>
    <w:p w14:paraId="06F428F0" w14:textId="67D9682E" w:rsidR="00332715" w:rsidRPr="00D23308" w:rsidRDefault="00332715" w:rsidP="00332715">
      <w:bookmarkStart w:id="21" w:name="_Toc504480011"/>
      <w:bookmarkStart w:id="22" w:name="_Toc247691506"/>
      <w:bookmarkStart w:id="23" w:name="_Toc314842487"/>
      <w:r w:rsidRPr="00D23308">
        <w:t xml:space="preserve">The Product Information (PI) approved with the submission which is described in this AusPAR can be found as Attachment 1. For the most recent PI, please refer to the TGA </w:t>
      </w:r>
      <w:hyperlink r:id="rId18" w:history="1">
        <w:r w:rsidRPr="00D23308">
          <w:rPr>
            <w:rStyle w:val="Hyperlink"/>
          </w:rPr>
          <w:t>PI/CMI search facility</w:t>
        </w:r>
        <w:r w:rsidRPr="00D23308">
          <w:rPr>
            <w:rStyle w:val="Hyperlink"/>
            <w:color w:val="auto"/>
            <w:u w:val="none"/>
          </w:rPr>
          <w:t>.</w:t>
        </w:r>
      </w:hyperlink>
    </w:p>
    <w:p w14:paraId="43F8192E" w14:textId="77777777" w:rsidR="00500337" w:rsidRPr="00D23308" w:rsidRDefault="00500337" w:rsidP="00500337">
      <w:pPr>
        <w:pStyle w:val="Heading2"/>
      </w:pPr>
      <w:bookmarkStart w:id="24" w:name="_Toc109301842"/>
      <w:r w:rsidRPr="00D23308">
        <w:t>Registration timeline</w:t>
      </w:r>
      <w:bookmarkEnd w:id="21"/>
      <w:bookmarkEnd w:id="24"/>
    </w:p>
    <w:p w14:paraId="1FEAD786" w14:textId="77777777" w:rsidR="0074163C" w:rsidRPr="00D23308" w:rsidRDefault="0074163C" w:rsidP="0074163C">
      <w:r w:rsidRPr="00D23308">
        <w:t xml:space="preserve">The following table captures the key steps and dates for this </w:t>
      </w:r>
      <w:r w:rsidR="00804D99" w:rsidRPr="00D23308">
        <w:t>submission</w:t>
      </w:r>
      <w:r w:rsidRPr="00D23308">
        <w:t>.</w:t>
      </w:r>
    </w:p>
    <w:p w14:paraId="7995565D" w14:textId="15422751" w:rsidR="0074163C" w:rsidRPr="00C34B5A" w:rsidRDefault="0074163C" w:rsidP="00C34B5A">
      <w:pPr>
        <w:pStyle w:val="TableTitle"/>
      </w:pPr>
      <w:r w:rsidRPr="00C34B5A">
        <w:t xml:space="preserve">Table </w:t>
      </w:r>
      <w:r w:rsidRPr="00C34B5A">
        <w:fldChar w:fldCharType="begin"/>
      </w:r>
      <w:r w:rsidRPr="00C34B5A">
        <w:instrText>SEQ Table \* ARABIC</w:instrText>
      </w:r>
      <w:r w:rsidRPr="00C34B5A">
        <w:fldChar w:fldCharType="separate"/>
      </w:r>
      <w:r w:rsidR="005319AF">
        <w:rPr>
          <w:noProof/>
        </w:rPr>
        <w:t>2</w:t>
      </w:r>
      <w:r w:rsidRPr="00C34B5A">
        <w:fldChar w:fldCharType="end"/>
      </w:r>
      <w:r w:rsidRPr="00C34B5A">
        <w:t xml:space="preserve">: Timeline for Submission </w:t>
      </w:r>
      <w:r w:rsidR="00D81AA8" w:rsidRPr="00C34B5A">
        <w:t>PM-2020-04185-1-5</w:t>
      </w:r>
    </w:p>
    <w:tbl>
      <w:tblPr>
        <w:tblStyle w:val="TableTGAblue"/>
        <w:tblW w:w="0" w:type="auto"/>
        <w:tblLook w:val="04A0" w:firstRow="1" w:lastRow="0" w:firstColumn="1" w:lastColumn="0" w:noHBand="0" w:noVBand="1"/>
      </w:tblPr>
      <w:tblGrid>
        <w:gridCol w:w="4855"/>
        <w:gridCol w:w="3639"/>
      </w:tblGrid>
      <w:tr w:rsidR="0074163C" w:rsidRPr="00D23308" w14:paraId="3BC2A526" w14:textId="77777777" w:rsidTr="00103742">
        <w:trPr>
          <w:cnfStyle w:val="100000000000" w:firstRow="1" w:lastRow="0" w:firstColumn="0" w:lastColumn="0" w:oddVBand="0" w:evenVBand="0" w:oddHBand="0" w:evenHBand="0" w:firstRowFirstColumn="0" w:firstRowLastColumn="0" w:lastRowFirstColumn="0" w:lastRowLastColumn="0"/>
        </w:trPr>
        <w:tc>
          <w:tcPr>
            <w:tcW w:w="4855" w:type="dxa"/>
            <w:tcBorders>
              <w:top w:val="single" w:sz="4" w:space="0" w:color="auto"/>
              <w:left w:val="single" w:sz="4" w:space="0" w:color="auto"/>
              <w:bottom w:val="single" w:sz="4" w:space="0" w:color="auto"/>
              <w:right w:val="single" w:sz="4" w:space="0" w:color="auto"/>
            </w:tcBorders>
          </w:tcPr>
          <w:p w14:paraId="55310946" w14:textId="77777777" w:rsidR="0074163C" w:rsidRPr="00D23308" w:rsidRDefault="0074163C" w:rsidP="00103742">
            <w:pPr>
              <w:ind w:left="144" w:right="0"/>
            </w:pPr>
            <w:r w:rsidRPr="00D23308">
              <w:t>Description</w:t>
            </w:r>
          </w:p>
        </w:tc>
        <w:tc>
          <w:tcPr>
            <w:tcW w:w="3639" w:type="dxa"/>
            <w:tcBorders>
              <w:top w:val="single" w:sz="4" w:space="0" w:color="auto"/>
              <w:left w:val="single" w:sz="4" w:space="0" w:color="auto"/>
              <w:bottom w:val="single" w:sz="4" w:space="0" w:color="auto"/>
              <w:right w:val="single" w:sz="4" w:space="0" w:color="auto"/>
            </w:tcBorders>
          </w:tcPr>
          <w:p w14:paraId="553DB7D7" w14:textId="77777777" w:rsidR="0074163C" w:rsidRPr="00D23308" w:rsidRDefault="0074163C" w:rsidP="00103742">
            <w:pPr>
              <w:ind w:left="144" w:right="0"/>
            </w:pPr>
            <w:r w:rsidRPr="00D23308">
              <w:t>Date</w:t>
            </w:r>
          </w:p>
        </w:tc>
      </w:tr>
      <w:tr w:rsidR="00A222AE" w:rsidRPr="00D23308" w14:paraId="2BD63DD2" w14:textId="77777777" w:rsidTr="00103742">
        <w:tc>
          <w:tcPr>
            <w:tcW w:w="4855" w:type="dxa"/>
            <w:tcBorders>
              <w:top w:val="single" w:sz="4" w:space="0" w:color="auto"/>
            </w:tcBorders>
          </w:tcPr>
          <w:p w14:paraId="354667D1" w14:textId="77777777" w:rsidR="00A222AE" w:rsidRPr="00D23308" w:rsidRDefault="00A222AE" w:rsidP="00103742">
            <w:pPr>
              <w:ind w:left="144" w:right="0"/>
            </w:pPr>
            <w:r w:rsidRPr="00D23308">
              <w:t>Submission dossier accepted and first round evaluation commenced</w:t>
            </w:r>
          </w:p>
        </w:tc>
        <w:tc>
          <w:tcPr>
            <w:tcW w:w="3639" w:type="dxa"/>
            <w:tcBorders>
              <w:top w:val="single" w:sz="4" w:space="0" w:color="auto"/>
            </w:tcBorders>
          </w:tcPr>
          <w:p w14:paraId="69097B90" w14:textId="2A5F4A9F" w:rsidR="00A222AE" w:rsidRPr="00D23308" w:rsidRDefault="00A222AE" w:rsidP="00103742">
            <w:pPr>
              <w:ind w:left="144" w:right="0"/>
            </w:pPr>
            <w:r w:rsidRPr="00D23308">
              <w:t>30 September 2020</w:t>
            </w:r>
          </w:p>
        </w:tc>
      </w:tr>
      <w:tr w:rsidR="00A222AE" w:rsidRPr="00D23308" w14:paraId="713FDDC4" w14:textId="77777777" w:rsidTr="00103742">
        <w:tc>
          <w:tcPr>
            <w:tcW w:w="4855" w:type="dxa"/>
          </w:tcPr>
          <w:p w14:paraId="550E7A74" w14:textId="77777777" w:rsidR="00A222AE" w:rsidRPr="00D23308" w:rsidRDefault="00A222AE" w:rsidP="00103742">
            <w:pPr>
              <w:ind w:left="144" w:right="0"/>
            </w:pPr>
            <w:r w:rsidRPr="00D23308">
              <w:t>First round evaluation completed</w:t>
            </w:r>
          </w:p>
        </w:tc>
        <w:tc>
          <w:tcPr>
            <w:tcW w:w="3639" w:type="dxa"/>
          </w:tcPr>
          <w:p w14:paraId="277C93D3" w14:textId="24BE7C6C" w:rsidR="00A222AE" w:rsidRPr="00D23308" w:rsidRDefault="00A222AE" w:rsidP="00103742">
            <w:pPr>
              <w:ind w:left="144" w:right="0"/>
            </w:pPr>
            <w:r w:rsidRPr="00D23308">
              <w:t>6 May 2021</w:t>
            </w:r>
          </w:p>
        </w:tc>
      </w:tr>
      <w:tr w:rsidR="00A222AE" w:rsidRPr="00D23308" w14:paraId="4408B445" w14:textId="77777777" w:rsidTr="00103742">
        <w:tc>
          <w:tcPr>
            <w:tcW w:w="4855" w:type="dxa"/>
          </w:tcPr>
          <w:p w14:paraId="3A2B996C" w14:textId="77777777" w:rsidR="00A222AE" w:rsidRPr="00D23308" w:rsidRDefault="00A222AE" w:rsidP="00103742">
            <w:pPr>
              <w:ind w:left="144" w:right="0"/>
            </w:pPr>
            <w:r w:rsidRPr="00D23308">
              <w:t>Sponsor provides responses on questions raised in first round evaluation</w:t>
            </w:r>
          </w:p>
        </w:tc>
        <w:tc>
          <w:tcPr>
            <w:tcW w:w="3639" w:type="dxa"/>
          </w:tcPr>
          <w:p w14:paraId="35A98965" w14:textId="3AB7F9BA" w:rsidR="00A222AE" w:rsidRPr="00D23308" w:rsidRDefault="00A222AE" w:rsidP="00103742">
            <w:pPr>
              <w:ind w:left="144" w:right="0"/>
            </w:pPr>
            <w:r w:rsidRPr="00D23308">
              <w:t>1 June 2021</w:t>
            </w:r>
          </w:p>
        </w:tc>
      </w:tr>
      <w:tr w:rsidR="00A222AE" w:rsidRPr="00D23308" w14:paraId="1CDFCF5F" w14:textId="77777777" w:rsidTr="00103742">
        <w:tc>
          <w:tcPr>
            <w:tcW w:w="4855" w:type="dxa"/>
          </w:tcPr>
          <w:p w14:paraId="1CF886F9" w14:textId="77777777" w:rsidR="00A222AE" w:rsidRPr="00D23308" w:rsidRDefault="00A222AE" w:rsidP="00103742">
            <w:pPr>
              <w:ind w:left="144" w:right="0"/>
            </w:pPr>
            <w:r w:rsidRPr="00D23308">
              <w:t>Second round evaluation completed</w:t>
            </w:r>
          </w:p>
        </w:tc>
        <w:tc>
          <w:tcPr>
            <w:tcW w:w="3639" w:type="dxa"/>
          </w:tcPr>
          <w:p w14:paraId="055EB203" w14:textId="3EF41AC7" w:rsidR="00A222AE" w:rsidRPr="00D23308" w:rsidRDefault="00A222AE" w:rsidP="00103742">
            <w:pPr>
              <w:ind w:left="144" w:right="0"/>
            </w:pPr>
            <w:r w:rsidRPr="00D23308">
              <w:t>16 June 2021</w:t>
            </w:r>
          </w:p>
        </w:tc>
      </w:tr>
      <w:tr w:rsidR="00A222AE" w:rsidRPr="00D23308" w14:paraId="403B9330" w14:textId="77777777" w:rsidTr="00103742">
        <w:tc>
          <w:tcPr>
            <w:tcW w:w="4855" w:type="dxa"/>
          </w:tcPr>
          <w:p w14:paraId="51231E6B" w14:textId="62371163" w:rsidR="00A222AE" w:rsidRPr="00D23308" w:rsidRDefault="00A222AE" w:rsidP="00103742">
            <w:pPr>
              <w:ind w:left="144" w:right="0"/>
            </w:pPr>
            <w:r w:rsidRPr="00D23308">
              <w:t>Delegate’s Overall benefit-risk assessment and request for Advisory Committee advice</w:t>
            </w:r>
          </w:p>
        </w:tc>
        <w:tc>
          <w:tcPr>
            <w:tcW w:w="3639" w:type="dxa"/>
          </w:tcPr>
          <w:p w14:paraId="4B52BD78" w14:textId="35B425B3" w:rsidR="00A222AE" w:rsidRPr="00D23308" w:rsidRDefault="00A222AE" w:rsidP="00103742">
            <w:pPr>
              <w:ind w:left="144" w:right="0"/>
            </w:pPr>
            <w:r w:rsidRPr="00D23308">
              <w:t>30 August 2021</w:t>
            </w:r>
          </w:p>
        </w:tc>
      </w:tr>
      <w:tr w:rsidR="00A222AE" w:rsidRPr="00D23308" w14:paraId="0D2D33F0" w14:textId="77777777" w:rsidTr="00103742">
        <w:tc>
          <w:tcPr>
            <w:tcW w:w="4855" w:type="dxa"/>
          </w:tcPr>
          <w:p w14:paraId="488A762C" w14:textId="77777777" w:rsidR="00A222AE" w:rsidRPr="00D23308" w:rsidRDefault="00A222AE" w:rsidP="00103742">
            <w:pPr>
              <w:ind w:left="144" w:right="0"/>
            </w:pPr>
            <w:r w:rsidRPr="00D23308">
              <w:t>Sponsor’s pre-Advisory Committee response</w:t>
            </w:r>
          </w:p>
        </w:tc>
        <w:tc>
          <w:tcPr>
            <w:tcW w:w="3639" w:type="dxa"/>
          </w:tcPr>
          <w:p w14:paraId="02E458BE" w14:textId="5B1722F6" w:rsidR="00A222AE" w:rsidRPr="00D23308" w:rsidRDefault="00A222AE" w:rsidP="00103742">
            <w:pPr>
              <w:ind w:left="144" w:right="0"/>
            </w:pPr>
            <w:r w:rsidRPr="00D23308">
              <w:t>14 September 2021</w:t>
            </w:r>
          </w:p>
        </w:tc>
      </w:tr>
      <w:tr w:rsidR="00A222AE" w:rsidRPr="00D23308" w14:paraId="1CED9832" w14:textId="77777777" w:rsidTr="00103742">
        <w:tc>
          <w:tcPr>
            <w:tcW w:w="4855" w:type="dxa"/>
          </w:tcPr>
          <w:p w14:paraId="1A2E3989" w14:textId="77777777" w:rsidR="00A222AE" w:rsidRPr="00D23308" w:rsidRDefault="00A222AE" w:rsidP="00103742">
            <w:pPr>
              <w:ind w:left="144" w:right="0"/>
            </w:pPr>
            <w:r w:rsidRPr="00D23308">
              <w:t>Advisory Committee meeting</w:t>
            </w:r>
          </w:p>
        </w:tc>
        <w:tc>
          <w:tcPr>
            <w:tcW w:w="3639" w:type="dxa"/>
          </w:tcPr>
          <w:p w14:paraId="7A6201D7" w14:textId="21A51687" w:rsidR="00A222AE" w:rsidRPr="00D23308" w:rsidRDefault="00A222AE" w:rsidP="00103742">
            <w:pPr>
              <w:ind w:left="144" w:right="0"/>
            </w:pPr>
            <w:r w:rsidRPr="00D23308">
              <w:t>30 September and 1 October 2021</w:t>
            </w:r>
          </w:p>
        </w:tc>
      </w:tr>
      <w:tr w:rsidR="00A222AE" w:rsidRPr="00D23308" w14:paraId="3DB122E5" w14:textId="77777777" w:rsidTr="00103742">
        <w:tc>
          <w:tcPr>
            <w:tcW w:w="4855" w:type="dxa"/>
          </w:tcPr>
          <w:p w14:paraId="61F4746D" w14:textId="77777777" w:rsidR="00A222AE" w:rsidRPr="00D23308" w:rsidRDefault="00A222AE" w:rsidP="00103742">
            <w:pPr>
              <w:ind w:left="144" w:right="0"/>
            </w:pPr>
            <w:r w:rsidRPr="00D23308">
              <w:t>Registration decision (Outcome)</w:t>
            </w:r>
          </w:p>
        </w:tc>
        <w:tc>
          <w:tcPr>
            <w:tcW w:w="3639" w:type="dxa"/>
          </w:tcPr>
          <w:p w14:paraId="7A2377A0" w14:textId="555E06BE" w:rsidR="00A222AE" w:rsidRPr="00D23308" w:rsidRDefault="00A222AE" w:rsidP="00103742">
            <w:pPr>
              <w:ind w:left="144" w:right="0"/>
            </w:pPr>
            <w:r w:rsidRPr="00D23308">
              <w:t>10 November 2021</w:t>
            </w:r>
          </w:p>
        </w:tc>
      </w:tr>
      <w:tr w:rsidR="00A222AE" w:rsidRPr="00D23308" w14:paraId="237A3E41" w14:textId="77777777" w:rsidTr="00103742">
        <w:tc>
          <w:tcPr>
            <w:tcW w:w="4855" w:type="dxa"/>
          </w:tcPr>
          <w:p w14:paraId="4F948913" w14:textId="77777777" w:rsidR="00A222AE" w:rsidRPr="00D23308" w:rsidRDefault="00A222AE" w:rsidP="00103742">
            <w:pPr>
              <w:ind w:left="144" w:right="0"/>
            </w:pPr>
            <w:r w:rsidRPr="00D23308">
              <w:t>Completion of administrative activities and registration on the ARTG</w:t>
            </w:r>
          </w:p>
        </w:tc>
        <w:tc>
          <w:tcPr>
            <w:tcW w:w="3639" w:type="dxa"/>
          </w:tcPr>
          <w:p w14:paraId="105B8E99" w14:textId="13358EBA" w:rsidR="00A222AE" w:rsidRPr="00D23308" w:rsidRDefault="00A222AE" w:rsidP="00103742">
            <w:pPr>
              <w:ind w:left="144" w:right="0"/>
            </w:pPr>
            <w:r w:rsidRPr="00D23308">
              <w:rPr>
                <w:color w:val="auto"/>
              </w:rPr>
              <w:t>26 November 2021</w:t>
            </w:r>
          </w:p>
        </w:tc>
      </w:tr>
      <w:tr w:rsidR="00A222AE" w:rsidRPr="00D23308" w14:paraId="548F1A5C" w14:textId="77777777" w:rsidTr="00103742">
        <w:tc>
          <w:tcPr>
            <w:tcW w:w="4855" w:type="dxa"/>
          </w:tcPr>
          <w:p w14:paraId="23B2FFB5" w14:textId="77777777" w:rsidR="00A222AE" w:rsidRPr="00D23308" w:rsidRDefault="00A222AE" w:rsidP="00103742">
            <w:pPr>
              <w:ind w:left="144" w:right="0"/>
            </w:pPr>
            <w:r w:rsidRPr="00D23308">
              <w:t>Number of working days from submission dossier acceptance to registration decision*</w:t>
            </w:r>
          </w:p>
        </w:tc>
        <w:tc>
          <w:tcPr>
            <w:tcW w:w="3639" w:type="dxa"/>
          </w:tcPr>
          <w:p w14:paraId="25089028" w14:textId="08B13809" w:rsidR="00A222AE" w:rsidRPr="00D23308" w:rsidRDefault="00A222AE" w:rsidP="00103742">
            <w:pPr>
              <w:ind w:left="144" w:right="0"/>
            </w:pPr>
            <w:r w:rsidRPr="00D23308">
              <w:t>200</w:t>
            </w:r>
          </w:p>
        </w:tc>
      </w:tr>
    </w:tbl>
    <w:p w14:paraId="10F30E5F" w14:textId="77777777" w:rsidR="0074163C" w:rsidRPr="00D23308" w:rsidRDefault="0074163C" w:rsidP="0074163C">
      <w:pPr>
        <w:pStyle w:val="TableDescription"/>
      </w:pPr>
      <w:r w:rsidRPr="00D23308">
        <w:t xml:space="preserve">*Statutory timeframe for standard </w:t>
      </w:r>
      <w:r w:rsidR="00BB0B78" w:rsidRPr="00D23308">
        <w:t>submission</w:t>
      </w:r>
      <w:r w:rsidRPr="00D23308">
        <w:t>s is 255 working days</w:t>
      </w:r>
    </w:p>
    <w:p w14:paraId="53CB3769" w14:textId="77777777" w:rsidR="008E7846" w:rsidRPr="00D23308" w:rsidRDefault="00006FAB">
      <w:pPr>
        <w:pStyle w:val="Heading2"/>
      </w:pPr>
      <w:bookmarkStart w:id="25" w:name="_Toc196046504"/>
      <w:bookmarkStart w:id="26" w:name="_Toc247691527"/>
      <w:bookmarkStart w:id="27" w:name="_Toc314842510"/>
      <w:bookmarkStart w:id="28" w:name="_Toc109301843"/>
      <w:bookmarkStart w:id="29" w:name="_Toc163441390"/>
      <w:bookmarkEnd w:id="22"/>
      <w:bookmarkEnd w:id="23"/>
      <w:bookmarkEnd w:id="1"/>
      <w:r w:rsidRPr="00D23308">
        <w:lastRenderedPageBreak/>
        <w:t xml:space="preserve">Submission overview </w:t>
      </w:r>
      <w:r w:rsidR="008E7846" w:rsidRPr="00D23308">
        <w:t>and risk/benefit assessment</w:t>
      </w:r>
      <w:bookmarkEnd w:id="25"/>
      <w:bookmarkEnd w:id="26"/>
      <w:bookmarkEnd w:id="27"/>
      <w:bookmarkEnd w:id="28"/>
    </w:p>
    <w:p w14:paraId="36198BD0" w14:textId="77777777" w:rsidR="005A79F5" w:rsidRPr="00D23308" w:rsidRDefault="005A79F5" w:rsidP="00103742">
      <w:pPr>
        <w:keepNext/>
      </w:pPr>
      <w:bookmarkStart w:id="30" w:name="_Toc247691528"/>
      <w:bookmarkStart w:id="31" w:name="_Toc314842511"/>
      <w:r w:rsidRPr="00D23308">
        <w:t>A summary of the TGA’s assessment for this submission is provided below.</w:t>
      </w:r>
    </w:p>
    <w:p w14:paraId="0B9D865F" w14:textId="77777777" w:rsidR="00CF2373" w:rsidRPr="00D23308" w:rsidRDefault="00CF2373" w:rsidP="00CF2373">
      <w:r w:rsidRPr="00D23308">
        <w:t>Relevant guidelines or guidance documents referred to by the Delegate are listed below:</w:t>
      </w:r>
    </w:p>
    <w:p w14:paraId="602E5321" w14:textId="650F00C6" w:rsidR="00E62B58" w:rsidRPr="00D23308" w:rsidRDefault="00E62B58" w:rsidP="00E62B58">
      <w:pPr>
        <w:pStyle w:val="ListBullet"/>
      </w:pPr>
      <w:r w:rsidRPr="00D23308">
        <w:t>European Medicines Evaluation Agency (EMEA), Committee for Medicinal Products for Human Use (CHMP), Guideline on Clinical Investigation of Steroid Contraceptives in Women, EMEA/CPMP/EWP/519/98 Revision 1, 27 July 2005.</w:t>
      </w:r>
    </w:p>
    <w:p w14:paraId="7D6F2AE2" w14:textId="2EA4B5C6" w:rsidR="00E62B58" w:rsidRPr="00D23308" w:rsidRDefault="00E62B58" w:rsidP="00704218">
      <w:pPr>
        <w:pStyle w:val="ListBullet"/>
      </w:pPr>
      <w:r w:rsidRPr="00D23308">
        <w:t xml:space="preserve">Food and Drug Administration (FDA), </w:t>
      </w:r>
      <w:proofErr w:type="spellStart"/>
      <w:r w:rsidRPr="00D23308">
        <w:t>Cente</w:t>
      </w:r>
      <w:r w:rsidR="000451AA">
        <w:t>r</w:t>
      </w:r>
      <w:proofErr w:type="spellEnd"/>
      <w:r w:rsidRPr="00D23308">
        <w:t xml:space="preserve"> for Drug Evaluation and Research (CDER), Establishing Effectiveness and Safety for Hormonal Drug Products Intended to Prevent Pregnancy Guidance for Industry, July 2019.</w:t>
      </w:r>
    </w:p>
    <w:p w14:paraId="0B73A771" w14:textId="56C2C260" w:rsidR="002E30AC" w:rsidRPr="00D23308" w:rsidRDefault="008E7846" w:rsidP="002E30AC">
      <w:pPr>
        <w:pStyle w:val="Heading3"/>
      </w:pPr>
      <w:bookmarkStart w:id="32" w:name="_Toc109301844"/>
      <w:r w:rsidRPr="00D23308">
        <w:t>Quality</w:t>
      </w:r>
      <w:bookmarkEnd w:id="30"/>
      <w:bookmarkEnd w:id="31"/>
      <w:bookmarkEnd w:id="32"/>
    </w:p>
    <w:p w14:paraId="607D88E6" w14:textId="71CB7BF9" w:rsidR="002E30AC" w:rsidRPr="00D23308" w:rsidRDefault="002E30AC" w:rsidP="00BC782C">
      <w:r w:rsidRPr="00D23308">
        <w:t xml:space="preserve">The </w:t>
      </w:r>
      <w:r w:rsidR="0033574A" w:rsidRPr="00D23308">
        <w:t xml:space="preserve">structures </w:t>
      </w:r>
      <w:r w:rsidRPr="00D23308">
        <w:t xml:space="preserve">drug </w:t>
      </w:r>
      <w:r w:rsidR="0033574A" w:rsidRPr="00D23308">
        <w:t xml:space="preserve">of Nextstellis’ drug </w:t>
      </w:r>
      <w:r w:rsidRPr="00D23308">
        <w:t>substance estetrol monohydrate</w:t>
      </w:r>
      <w:r w:rsidR="0033574A" w:rsidRPr="00D23308">
        <w:t xml:space="preserve"> and drospirenone are shown in </w:t>
      </w:r>
      <w:r w:rsidR="0033574A" w:rsidRPr="00D23308">
        <w:rPr>
          <w:color w:val="2B579A"/>
          <w:shd w:val="clear" w:color="auto" w:fill="E6E6E6"/>
        </w:rPr>
        <w:fldChar w:fldCharType="begin"/>
      </w:r>
      <w:r w:rsidR="0033574A" w:rsidRPr="00D23308">
        <w:instrText xml:space="preserve"> REF _Ref106202313 \h </w:instrText>
      </w:r>
      <w:r w:rsidR="00D23308">
        <w:instrText xml:space="preserve"> \* MERGEFORMAT </w:instrText>
      </w:r>
      <w:r w:rsidR="0033574A" w:rsidRPr="00D23308">
        <w:rPr>
          <w:color w:val="2B579A"/>
          <w:shd w:val="clear" w:color="auto" w:fill="E6E6E6"/>
        </w:rPr>
      </w:r>
      <w:r w:rsidR="0033574A" w:rsidRPr="00D23308">
        <w:rPr>
          <w:color w:val="2B579A"/>
          <w:shd w:val="clear" w:color="auto" w:fill="E6E6E6"/>
        </w:rPr>
        <w:fldChar w:fldCharType="separate"/>
      </w:r>
      <w:r w:rsidR="005319AF" w:rsidRPr="00C34B5A">
        <w:t xml:space="preserve">Figure </w:t>
      </w:r>
      <w:r w:rsidR="005319AF">
        <w:rPr>
          <w:noProof/>
        </w:rPr>
        <w:t>1</w:t>
      </w:r>
      <w:r w:rsidR="0033574A" w:rsidRPr="00D23308">
        <w:rPr>
          <w:color w:val="2B579A"/>
          <w:shd w:val="clear" w:color="auto" w:fill="E6E6E6"/>
        </w:rPr>
        <w:fldChar w:fldCharType="end"/>
      </w:r>
      <w:r w:rsidR="0033574A" w:rsidRPr="00D23308">
        <w:t xml:space="preserve"> and </w:t>
      </w:r>
      <w:r w:rsidR="0033574A" w:rsidRPr="00D23308">
        <w:rPr>
          <w:color w:val="2B579A"/>
          <w:shd w:val="clear" w:color="auto" w:fill="E6E6E6"/>
        </w:rPr>
        <w:fldChar w:fldCharType="begin"/>
      </w:r>
      <w:r w:rsidR="0033574A" w:rsidRPr="00D23308">
        <w:instrText xml:space="preserve"> REF _Ref106202357 \h </w:instrText>
      </w:r>
      <w:r w:rsidR="00D23308">
        <w:instrText xml:space="preserve"> \* MERGEFORMAT </w:instrText>
      </w:r>
      <w:r w:rsidR="0033574A" w:rsidRPr="00D23308">
        <w:rPr>
          <w:color w:val="2B579A"/>
          <w:shd w:val="clear" w:color="auto" w:fill="E6E6E6"/>
        </w:rPr>
      </w:r>
      <w:r w:rsidR="0033574A" w:rsidRPr="00D23308">
        <w:rPr>
          <w:color w:val="2B579A"/>
          <w:shd w:val="clear" w:color="auto" w:fill="E6E6E6"/>
        </w:rPr>
        <w:fldChar w:fldCharType="separate"/>
      </w:r>
      <w:r w:rsidR="005319AF" w:rsidRPr="00D23308">
        <w:t xml:space="preserve">Figure </w:t>
      </w:r>
      <w:r w:rsidR="005319AF">
        <w:rPr>
          <w:noProof/>
        </w:rPr>
        <w:t>2</w:t>
      </w:r>
      <w:r w:rsidR="0033574A" w:rsidRPr="00D23308">
        <w:rPr>
          <w:color w:val="2B579A"/>
          <w:shd w:val="clear" w:color="auto" w:fill="E6E6E6"/>
        </w:rPr>
        <w:fldChar w:fldCharType="end"/>
      </w:r>
      <w:r w:rsidR="0033574A" w:rsidRPr="00D23308">
        <w:t>, respectively.</w:t>
      </w:r>
    </w:p>
    <w:p w14:paraId="30449D7C" w14:textId="15C6D4A7" w:rsidR="0033574A" w:rsidRPr="00C34B5A" w:rsidRDefault="0033574A" w:rsidP="00C34B5A">
      <w:pPr>
        <w:pStyle w:val="FigureTitle"/>
      </w:pPr>
      <w:bookmarkStart w:id="33" w:name="_Ref106202313"/>
      <w:r w:rsidRPr="00C34B5A">
        <w:t xml:space="preserve">Figure </w:t>
      </w:r>
      <w:r w:rsidRPr="00C34B5A">
        <w:fldChar w:fldCharType="begin"/>
      </w:r>
      <w:r w:rsidRPr="00C34B5A">
        <w:instrText>SEQ Figure \* ARABIC</w:instrText>
      </w:r>
      <w:r w:rsidRPr="00C34B5A">
        <w:fldChar w:fldCharType="separate"/>
      </w:r>
      <w:r w:rsidR="005319AF">
        <w:rPr>
          <w:noProof/>
        </w:rPr>
        <w:t>1</w:t>
      </w:r>
      <w:r w:rsidRPr="00C34B5A">
        <w:fldChar w:fldCharType="end"/>
      </w:r>
      <w:bookmarkEnd w:id="33"/>
      <w:r w:rsidRPr="00C34B5A">
        <w:t xml:space="preserve">: Chemical structure </w:t>
      </w:r>
      <w:r w:rsidR="00E439D4" w:rsidRPr="00C34B5A">
        <w:t xml:space="preserve">of </w:t>
      </w:r>
      <w:r w:rsidRPr="00C34B5A">
        <w:t>estetrol monohydrate</w:t>
      </w:r>
    </w:p>
    <w:p w14:paraId="4AF9DAE3" w14:textId="50EB7B07" w:rsidR="002E30AC" w:rsidRPr="00D23308" w:rsidRDefault="002E30AC" w:rsidP="00C34B5A">
      <w:r w:rsidRPr="00D23308">
        <w:rPr>
          <w:noProof/>
          <w:shd w:val="clear" w:color="auto" w:fill="E6E6E6"/>
          <w:lang w:val="en-GB" w:eastAsia="en-GB"/>
        </w:rPr>
        <w:drawing>
          <wp:inline distT="0" distB="0" distL="0" distR="0" wp14:anchorId="0A335981" wp14:editId="5A3BC026">
            <wp:extent cx="2275205" cy="1453515"/>
            <wp:effectExtent l="0" t="0" r="0" b="0"/>
            <wp:docPr id="3" name="Picture 3" descr="Figure 1: Chemical structure of estetrol mono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Chemical structure of estetrol monohydr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5205" cy="1453515"/>
                    </a:xfrm>
                    <a:prstGeom prst="rect">
                      <a:avLst/>
                    </a:prstGeom>
                    <a:noFill/>
                    <a:ln>
                      <a:noFill/>
                    </a:ln>
                  </pic:spPr>
                </pic:pic>
              </a:graphicData>
            </a:graphic>
          </wp:inline>
        </w:drawing>
      </w:r>
    </w:p>
    <w:p w14:paraId="6EB319A8" w14:textId="03BB2FE2" w:rsidR="002E30AC" w:rsidRPr="00D23308" w:rsidRDefault="0033574A" w:rsidP="00E439D4">
      <w:pPr>
        <w:pStyle w:val="FigureTitle"/>
      </w:pPr>
      <w:bookmarkStart w:id="34" w:name="_Ref106202357"/>
      <w:r w:rsidRPr="00D23308">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319AF">
        <w:rPr>
          <w:noProof/>
        </w:rPr>
        <w:t>2</w:t>
      </w:r>
      <w:r>
        <w:rPr>
          <w:color w:val="2B579A"/>
          <w:shd w:val="clear" w:color="auto" w:fill="E6E6E6"/>
        </w:rPr>
        <w:fldChar w:fldCharType="end"/>
      </w:r>
      <w:bookmarkEnd w:id="34"/>
      <w:r w:rsidRPr="00D23308">
        <w:t xml:space="preserve">: Chemical structure </w:t>
      </w:r>
      <w:r w:rsidR="00E439D4">
        <w:t xml:space="preserve">of </w:t>
      </w:r>
      <w:r w:rsidRPr="00D23308">
        <w:t>d</w:t>
      </w:r>
      <w:r w:rsidR="002E30AC" w:rsidRPr="00D23308">
        <w:t>rospirenone</w:t>
      </w:r>
    </w:p>
    <w:p w14:paraId="67EC3C3D" w14:textId="43F9D985" w:rsidR="002E30AC" w:rsidRPr="00D23308" w:rsidRDefault="002E30AC" w:rsidP="00E439D4">
      <w:r w:rsidRPr="00D23308">
        <w:rPr>
          <w:noProof/>
          <w:color w:val="2B579A"/>
          <w:shd w:val="clear" w:color="auto" w:fill="E6E6E6"/>
          <w:lang w:val="en-GB" w:eastAsia="en-GB"/>
        </w:rPr>
        <w:drawing>
          <wp:inline distT="0" distB="0" distL="0" distR="0" wp14:anchorId="6EFD6E0C" wp14:editId="72957478">
            <wp:extent cx="2078990" cy="1627505"/>
            <wp:effectExtent l="0" t="0" r="0" b="0"/>
            <wp:docPr id="2" name="Picture 2" descr="Figure 2: Chemical structure of drospire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Chemical structure of drospiren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990" cy="1627505"/>
                    </a:xfrm>
                    <a:prstGeom prst="rect">
                      <a:avLst/>
                    </a:prstGeom>
                    <a:noFill/>
                    <a:ln>
                      <a:noFill/>
                    </a:ln>
                  </pic:spPr>
                </pic:pic>
              </a:graphicData>
            </a:graphic>
          </wp:inline>
        </w:drawing>
      </w:r>
    </w:p>
    <w:p w14:paraId="25CF356F" w14:textId="31B5B5AC" w:rsidR="002E30AC" w:rsidRPr="00D23308" w:rsidRDefault="002E30AC" w:rsidP="00BC782C">
      <w:r w:rsidRPr="00D23308">
        <w:t xml:space="preserve">The proposed specifications, which control identity, potency, </w:t>
      </w:r>
      <w:proofErr w:type="gramStart"/>
      <w:r w:rsidRPr="00D23308">
        <w:t>purity</w:t>
      </w:r>
      <w:proofErr w:type="gramEnd"/>
      <w:r w:rsidRPr="00D23308">
        <w:t xml:space="preserve"> and other chemical and physical properties of the drug substance relevant to the dose form and its intended clinical use. Appropriate validation data have been submitted in support of the test procedures.</w:t>
      </w:r>
    </w:p>
    <w:p w14:paraId="65F933AA" w14:textId="0B28F5CB" w:rsidR="002E30AC" w:rsidRPr="00D23308" w:rsidRDefault="002E30AC" w:rsidP="00BC782C">
      <w:r w:rsidRPr="00D23308">
        <w:t xml:space="preserve">The product has two components, an active </w:t>
      </w:r>
      <w:proofErr w:type="gramStart"/>
      <w:r w:rsidRPr="00D23308">
        <w:t>tablet</w:t>
      </w:r>
      <w:proofErr w:type="gramEnd"/>
      <w:r w:rsidRPr="00D23308">
        <w:t xml:space="preserve"> and a placebo tablet. The active tablet is a fixed dose combination film</w:t>
      </w:r>
      <w:r w:rsidR="00F478B9">
        <w:t>-</w:t>
      </w:r>
      <w:r w:rsidRPr="00D23308">
        <w:t xml:space="preserve">coated </w:t>
      </w:r>
      <w:r w:rsidR="00F478B9">
        <w:t xml:space="preserve">pink coloured </w:t>
      </w:r>
      <w:r w:rsidRPr="00D23308">
        <w:t>tablet</w:t>
      </w:r>
      <w:r w:rsidR="00F478B9">
        <w:t xml:space="preserve"> embossed with a drop-shaped logo on one side. This is available</w:t>
      </w:r>
      <w:r w:rsidRPr="00D23308">
        <w:t xml:space="preserve"> </w:t>
      </w:r>
      <w:r w:rsidR="00F478B9">
        <w:t>as</w:t>
      </w:r>
      <w:r w:rsidRPr="00D23308">
        <w:t xml:space="preserve"> a single strength of 14.2 mg estetrol (added as 15 mg estetrol monohydrate) and 3 mg drospirenone. The inactive tablets are simply a filler with a film</w:t>
      </w:r>
      <w:r w:rsidR="0033574A" w:rsidRPr="00D23308">
        <w:t xml:space="preserve"> </w:t>
      </w:r>
      <w:r w:rsidRPr="00D23308">
        <w:t>coat</w:t>
      </w:r>
      <w:r w:rsidR="00F478B9">
        <w:t>, white in appearance, also embossed with a drop-shaped logo on one side.</w:t>
      </w:r>
    </w:p>
    <w:p w14:paraId="48561324" w14:textId="071B6541" w:rsidR="002E30AC" w:rsidRPr="00D23308" w:rsidRDefault="002E30AC" w:rsidP="00BC782C">
      <w:r w:rsidRPr="00D23308">
        <w:t xml:space="preserve">The </w:t>
      </w:r>
      <w:r w:rsidR="0033574A" w:rsidRPr="00D23308">
        <w:t xml:space="preserve">polyvinyl chloride </w:t>
      </w:r>
      <w:r w:rsidR="004B494F">
        <w:t>a</w:t>
      </w:r>
      <w:r w:rsidR="0033574A" w:rsidRPr="00D23308">
        <w:t xml:space="preserve">luminium </w:t>
      </w:r>
      <w:r w:rsidRPr="00D23308">
        <w:t xml:space="preserve">blisters are packed into cardboard cartons in packs of </w:t>
      </w:r>
      <w:r w:rsidR="00F478B9">
        <w:t>one</w:t>
      </w:r>
      <w:r w:rsidRPr="00D23308">
        <w:t>, 3 or 6 blister strips containing 28</w:t>
      </w:r>
      <w:r w:rsidR="00F478B9">
        <w:t xml:space="preserve"> tablets</w:t>
      </w:r>
      <w:r w:rsidRPr="00D23308">
        <w:t xml:space="preserve"> (24</w:t>
      </w:r>
      <w:r w:rsidR="00F478B9">
        <w:t xml:space="preserve"> active and</w:t>
      </w:r>
      <w:r w:rsidRPr="00D23308">
        <w:t xml:space="preserve"> 4</w:t>
      </w:r>
      <w:r w:rsidR="00F478B9">
        <w:t xml:space="preserve"> placebo</w:t>
      </w:r>
      <w:r w:rsidRPr="00D23308">
        <w:t>), 84</w:t>
      </w:r>
      <w:r w:rsidR="00F478B9">
        <w:t xml:space="preserve"> tablets</w:t>
      </w:r>
      <w:r w:rsidRPr="00D23308">
        <w:t xml:space="preserve"> (72</w:t>
      </w:r>
      <w:r w:rsidR="00F478B9">
        <w:t xml:space="preserve"> active</w:t>
      </w:r>
      <w:r w:rsidRPr="00D23308">
        <w:t xml:space="preserve"> </w:t>
      </w:r>
      <w:r w:rsidR="00F478B9">
        <w:t>and</w:t>
      </w:r>
      <w:r w:rsidRPr="00D23308">
        <w:t xml:space="preserve"> 12</w:t>
      </w:r>
      <w:r w:rsidR="00F478B9">
        <w:t xml:space="preserve"> placebo</w:t>
      </w:r>
      <w:r w:rsidRPr="00D23308">
        <w:t>)</w:t>
      </w:r>
      <w:r w:rsidR="00F478B9">
        <w:t>,</w:t>
      </w:r>
      <w:r w:rsidRPr="00D23308">
        <w:t xml:space="preserve"> or 168</w:t>
      </w:r>
      <w:r w:rsidR="00F478B9">
        <w:t xml:space="preserve"> tablets</w:t>
      </w:r>
      <w:r w:rsidRPr="00D23308">
        <w:t xml:space="preserve"> (144</w:t>
      </w:r>
      <w:r w:rsidR="00F478B9">
        <w:t xml:space="preserve"> active and</w:t>
      </w:r>
      <w:r w:rsidRPr="00D23308">
        <w:t xml:space="preserve"> 24</w:t>
      </w:r>
      <w:r w:rsidR="00F478B9">
        <w:t xml:space="preserve"> placebo</w:t>
      </w:r>
      <w:r w:rsidRPr="00D23308">
        <w:t>)</w:t>
      </w:r>
      <w:r w:rsidR="00F478B9">
        <w:t xml:space="preserve"> respectively.</w:t>
      </w:r>
    </w:p>
    <w:p w14:paraId="35E9F5DC" w14:textId="2C0CD4C4" w:rsidR="00BC782C" w:rsidRPr="00D23308" w:rsidRDefault="00BC782C" w:rsidP="00BC782C">
      <w:r w:rsidRPr="00D23308">
        <w:t>The proposed storage conditions and shelf life are store below 30°C for 36 months.</w:t>
      </w:r>
    </w:p>
    <w:p w14:paraId="2B59D121" w14:textId="201E19E8" w:rsidR="002E30AC" w:rsidRPr="00D23308" w:rsidRDefault="002E30AC" w:rsidP="00BC782C">
      <w:r w:rsidRPr="00D23308">
        <w:lastRenderedPageBreak/>
        <w:t xml:space="preserve">The evaluator provided </w:t>
      </w:r>
      <w:r w:rsidR="0033574A" w:rsidRPr="00D23308">
        <w:t>quality</w:t>
      </w:r>
      <w:r w:rsidRPr="00D23308">
        <w:t xml:space="preserve"> clearance for approval and confirmed that there are no outstanding matters form a </w:t>
      </w:r>
      <w:r w:rsidR="002A05FC" w:rsidRPr="00D23308">
        <w:t xml:space="preserve">pharmaceutical </w:t>
      </w:r>
      <w:r w:rsidRPr="00D23308">
        <w:t>chemistry perspective.</w:t>
      </w:r>
    </w:p>
    <w:p w14:paraId="4D5F90E1" w14:textId="77777777" w:rsidR="008E7846" w:rsidRPr="00D23308" w:rsidRDefault="008E7846" w:rsidP="008E7846">
      <w:pPr>
        <w:pStyle w:val="Heading3"/>
      </w:pPr>
      <w:bookmarkStart w:id="35" w:name="_Toc314842512"/>
      <w:bookmarkStart w:id="36" w:name="_Toc109301845"/>
      <w:r w:rsidRPr="00D23308">
        <w:t>Nonclinical</w:t>
      </w:r>
      <w:bookmarkEnd w:id="35"/>
      <w:bookmarkEnd w:id="36"/>
    </w:p>
    <w:p w14:paraId="048B5AEC" w14:textId="0BA3DC3F" w:rsidR="00AB6CC4" w:rsidRPr="00D23308" w:rsidRDefault="002A05FC" w:rsidP="00704218">
      <w:r w:rsidRPr="00D23308">
        <w:t>The sponsor</w:t>
      </w:r>
      <w:r w:rsidR="00AB6CC4" w:rsidRPr="00D23308">
        <w:t xml:space="preserve"> has applied to register </w:t>
      </w:r>
      <w:r w:rsidR="006256DF" w:rsidRPr="00D23308">
        <w:t>Nextstellis,</w:t>
      </w:r>
      <w:r w:rsidR="00AB6CC4" w:rsidRPr="00D23308">
        <w:t xml:space="preserve"> a new fixed</w:t>
      </w:r>
      <w:r w:rsidR="00F66710" w:rsidRPr="00D23308">
        <w:t xml:space="preserve"> </w:t>
      </w:r>
      <w:r w:rsidR="00AB6CC4" w:rsidRPr="00D23308">
        <w:t xml:space="preserve">dose combination of estetrol (as monohydrate) and drospirenone. The product is proposed to be used by women of reproductive potential to prevent pregnancy, with treatment involving once daily oral administration of 14.2 mg estradiol </w:t>
      </w:r>
      <w:r w:rsidR="00F66710" w:rsidRPr="00D23308">
        <w:t>and</w:t>
      </w:r>
      <w:r w:rsidR="00AB6CC4" w:rsidRPr="00D23308">
        <w:t xml:space="preserve"> 3 mg drospirenone for 24 days followed by 4 days of inactive tablets on a </w:t>
      </w:r>
      <w:r w:rsidR="00F478B9" w:rsidRPr="00D23308">
        <w:t>28-day</w:t>
      </w:r>
      <w:r w:rsidR="00AB6CC4" w:rsidRPr="00D23308">
        <w:t xml:space="preserve"> cycle.</w:t>
      </w:r>
    </w:p>
    <w:p w14:paraId="712BCB60" w14:textId="7D78F54C" w:rsidR="00AB6CC4" w:rsidRPr="00D23308" w:rsidRDefault="00AB6CC4" w:rsidP="00704218">
      <w:r w:rsidRPr="00D23308">
        <w:t xml:space="preserve">Estetrol is a new chemical entity while drospirenone is a </w:t>
      </w:r>
      <w:r w:rsidR="00F478B9" w:rsidRPr="00D23308">
        <w:t>well-established</w:t>
      </w:r>
      <w:r w:rsidRPr="00D23308">
        <w:t xml:space="preserve"> agent, used here at the same dosage as in existing </w:t>
      </w:r>
      <w:r w:rsidR="00F478B9">
        <w:t>combined oral contraceptive</w:t>
      </w:r>
      <w:r w:rsidR="00F478B9" w:rsidRPr="00D23308">
        <w:t xml:space="preserve"> </w:t>
      </w:r>
      <w:r w:rsidRPr="00D23308">
        <w:t>products.</w:t>
      </w:r>
    </w:p>
    <w:p w14:paraId="38261231" w14:textId="4FE44C80" w:rsidR="00AB6CC4" w:rsidRPr="00D23308" w:rsidRDefault="00AB6CC4" w:rsidP="00704218">
      <w:r w:rsidRPr="00D23308">
        <w:t>The nonclinical dossier was of high overall quality and contained no critical deficiencies. All pivotal safety</w:t>
      </w:r>
      <w:r w:rsidR="004D11AC">
        <w:t>-</w:t>
      </w:r>
      <w:r w:rsidRPr="00D23308">
        <w:t xml:space="preserve">related studies were conducted according to </w:t>
      </w:r>
      <w:r w:rsidR="003F2F34" w:rsidRPr="00D23308">
        <w:t>Good Laboratory Practice</w:t>
      </w:r>
      <w:r w:rsidRPr="00D23308">
        <w:t>.</w:t>
      </w:r>
      <w:r w:rsidR="003F2F34" w:rsidRPr="00D23308">
        <w:rPr>
          <w:rStyle w:val="FootnoteReference"/>
        </w:rPr>
        <w:footnoteReference w:id="11"/>
      </w:r>
    </w:p>
    <w:p w14:paraId="2794C66E" w14:textId="30CA67B3" w:rsidR="00AB6CC4" w:rsidRPr="00D23308" w:rsidRDefault="00AB6CC4" w:rsidP="00704218">
      <w:r w:rsidRPr="00D23308">
        <w:rPr>
          <w:i/>
          <w:iCs/>
        </w:rPr>
        <w:t>In vitro</w:t>
      </w:r>
      <w:r w:rsidRPr="00D23308">
        <w:t xml:space="preserve"> studies established that estetrol acts as an estrogen receptor agonist, displaying considerably weaker potency than estradiol. Estrogenic activity was demonstrated for estetrol </w:t>
      </w:r>
      <w:r w:rsidRPr="00D23308">
        <w:rPr>
          <w:i/>
          <w:iCs/>
        </w:rPr>
        <w:t>in vivo</w:t>
      </w:r>
      <w:r w:rsidRPr="00D23308">
        <w:t xml:space="preserve"> in various animal models, with inhibition of ovulation (as the key mechanism for contraception) shown in all laboratory animal species examined.</w:t>
      </w:r>
    </w:p>
    <w:p w14:paraId="118D41A1" w14:textId="5FF90C1A" w:rsidR="00AB6CC4" w:rsidRPr="00D23308" w:rsidRDefault="00AB6CC4" w:rsidP="00704218">
      <w:r w:rsidRPr="00D23308">
        <w:t>No significant secondary pharmacological targets of estetrol were identified in screening assays.</w:t>
      </w:r>
    </w:p>
    <w:p w14:paraId="731B84E4" w14:textId="59A81264" w:rsidR="00AB6CC4" w:rsidRPr="00D23308" w:rsidRDefault="00AB6CC4" w:rsidP="00704218">
      <w:r w:rsidRPr="00D23308">
        <w:t xml:space="preserve">Estetrol stimulated breast cell proliferation </w:t>
      </w:r>
      <w:r w:rsidR="00B46A9F" w:rsidRPr="00D23308">
        <w:t>alone and</w:t>
      </w:r>
      <w:r w:rsidRPr="00D23308">
        <w:t xml:space="preserve"> could attenuate the effects of estradiol when given in combination.</w:t>
      </w:r>
    </w:p>
    <w:p w14:paraId="01C62301" w14:textId="60BB8D41" w:rsidR="00AB6CC4" w:rsidRPr="00D23308" w:rsidRDefault="00AB6CC4" w:rsidP="00704218">
      <w:r w:rsidRPr="00D23308">
        <w:t xml:space="preserve">Safety pharmacology studies do not indicate adverse effects on </w:t>
      </w:r>
      <w:r w:rsidR="00B46A9F" w:rsidRPr="00D23308">
        <w:t>central nervous system</w:t>
      </w:r>
      <w:r w:rsidRPr="00D23308">
        <w:t>, cardiovascular or respiratory function with estetrol in patients.</w:t>
      </w:r>
    </w:p>
    <w:p w14:paraId="2939A0BA" w14:textId="72785B01" w:rsidR="00AB6CC4" w:rsidRPr="00D23308" w:rsidRDefault="00AB6CC4" w:rsidP="00704218">
      <w:r w:rsidRPr="00D23308">
        <w:t xml:space="preserve">Rapid absorption of estetrol after oral administration was seen in laboratory animal species and humans. The plasma </w:t>
      </w:r>
      <w:r w:rsidR="00F478B9" w:rsidRPr="00D23308">
        <w:t>half-life</w:t>
      </w:r>
      <w:r w:rsidRPr="00D23308">
        <w:t xml:space="preserve"> was significantly shorter in mice and rats cf. humans, but closer to humans in non-rodent species (rabbits and monkeys). Plasma protein binding was low to moderate, and chiefly to albumin. Estetrol does not bind to sex hormone binding globulin. Rapid and wide tissue distribution of </w:t>
      </w:r>
      <w:r w:rsidR="00883522" w:rsidRPr="00D23308">
        <w:t>carbon-14 [</w:t>
      </w:r>
      <w:r w:rsidRPr="00D23308">
        <w:rPr>
          <w:vertAlign w:val="superscript"/>
        </w:rPr>
        <w:t>14</w:t>
      </w:r>
      <w:r w:rsidRPr="00D23308">
        <w:t>C</w:t>
      </w:r>
      <w:r w:rsidR="00883522" w:rsidRPr="00D23308">
        <w:t>]</w:t>
      </w:r>
      <w:r w:rsidR="00B46A9F" w:rsidRPr="00D23308">
        <w:t xml:space="preserve"> </w:t>
      </w:r>
      <w:r w:rsidRPr="00D23308">
        <w:t>estetrol</w:t>
      </w:r>
      <w:r w:rsidR="00B46A9F" w:rsidRPr="00D23308">
        <w:t xml:space="preserve"> </w:t>
      </w:r>
      <w:r w:rsidRPr="00D23308">
        <w:t>derived was demonstrated in rats. Penetration of the blood</w:t>
      </w:r>
      <w:r w:rsidR="00B46A9F" w:rsidRPr="00D23308">
        <w:t xml:space="preserve"> </w:t>
      </w:r>
      <w:r w:rsidRPr="00D23308">
        <w:t>brain barrier was limited, and prolonged retention was not seen in any tissue (including ones containing melanin).</w:t>
      </w:r>
    </w:p>
    <w:p w14:paraId="22D7BE5D" w14:textId="20A2AB04" w:rsidR="00AB6CC4" w:rsidRPr="00D23308" w:rsidRDefault="00AB6CC4" w:rsidP="00704218">
      <w:r w:rsidRPr="00D23308">
        <w:t xml:space="preserve">Metabolism of estetrol involved glucuronidation, sulfation, </w:t>
      </w:r>
      <w:proofErr w:type="gramStart"/>
      <w:r w:rsidRPr="00D23308">
        <w:t>hydroxylation</w:t>
      </w:r>
      <w:proofErr w:type="gramEnd"/>
      <w:r w:rsidRPr="00D23308">
        <w:t xml:space="preserve"> and methylation, with little contribution by </w:t>
      </w:r>
      <w:r w:rsidR="00AD40F0" w:rsidRPr="00D23308">
        <w:t>cytochrome P450</w:t>
      </w:r>
      <w:r w:rsidR="00F478B9">
        <w:t xml:space="preserve"> </w:t>
      </w:r>
      <w:r w:rsidR="00AD40F0" w:rsidRPr="00D23308">
        <w:t>(</w:t>
      </w:r>
      <w:r w:rsidRPr="00D23308">
        <w:t>CYPs</w:t>
      </w:r>
      <w:r w:rsidR="00EB0EAC">
        <w:t>)</w:t>
      </w:r>
      <w:bookmarkStart w:id="37" w:name="_Ref108117555"/>
      <w:r w:rsidR="003F2F34" w:rsidRPr="00D23308">
        <w:rPr>
          <w:rStyle w:val="FootnoteReference"/>
        </w:rPr>
        <w:footnoteReference w:id="12"/>
      </w:r>
      <w:bookmarkEnd w:id="37"/>
      <w:r w:rsidRPr="00D23308">
        <w:t xml:space="preserve"> </w:t>
      </w:r>
      <w:r w:rsidR="00EB0EAC">
        <w:t>enzyme</w:t>
      </w:r>
      <w:r w:rsidR="00EB0EAC" w:rsidRPr="00D23308">
        <w:t>s.</w:t>
      </w:r>
      <w:r w:rsidR="00EB0EAC">
        <w:t xml:space="preserve"> </w:t>
      </w:r>
      <w:r w:rsidRPr="00D23308">
        <w:t>Esterol-3-glucuronide and estetrol-16-glucuronide were identified as major circulating metabolites in humans. These were also formed in rodents, and they show negligible pharmacological activity. Excretion of estetrol and/or its metabolites was predominately via the faeces in mice and rats and via the urine in humans. Biliary excretion was demonstrated in rats.</w:t>
      </w:r>
    </w:p>
    <w:p w14:paraId="49AEC881" w14:textId="175E582F" w:rsidR="00AB6CC4" w:rsidRPr="00D23308" w:rsidRDefault="00AB6CC4" w:rsidP="00704218">
      <w:r w:rsidRPr="00D23308">
        <w:lastRenderedPageBreak/>
        <w:t xml:space="preserve">Estetrol is a substrate of P-glycoprotein and </w:t>
      </w:r>
      <w:r w:rsidR="00AD40F0" w:rsidRPr="00D23308">
        <w:t>breast cancer resistance protein</w:t>
      </w:r>
      <w:r w:rsidRPr="00D23308">
        <w:t xml:space="preserve">. </w:t>
      </w:r>
      <w:r w:rsidRPr="00D23308">
        <w:rPr>
          <w:i/>
          <w:iCs/>
        </w:rPr>
        <w:t>In vitro</w:t>
      </w:r>
      <w:r w:rsidRPr="00D23308">
        <w:t xml:space="preserve"> studies revealed </w:t>
      </w:r>
      <w:proofErr w:type="gramStart"/>
      <w:r w:rsidRPr="00D23308">
        <w:t>no</w:t>
      </w:r>
      <w:proofErr w:type="gramEnd"/>
      <w:r w:rsidRPr="00D23308">
        <w:t xml:space="preserve"> clinically relevant CYP inhibition/induction or transporter inhibition with estetrol that would give rise to </w:t>
      </w:r>
      <w:r w:rsidR="0080147A" w:rsidRPr="00D23308">
        <w:t xml:space="preserve">pharmacokinetic (PK) </w:t>
      </w:r>
      <w:r w:rsidRPr="00D23308">
        <w:t>interactions in patients.</w:t>
      </w:r>
    </w:p>
    <w:p w14:paraId="514EEB15" w14:textId="4126E4AD" w:rsidR="00AB6CC4" w:rsidRPr="00D23308" w:rsidRDefault="00AB6CC4" w:rsidP="00704218">
      <w:r w:rsidRPr="00D23308">
        <w:t>Estetrol had a low order of acute toxicity by the oral route in rats and monkeys.</w:t>
      </w:r>
    </w:p>
    <w:p w14:paraId="5B9D65E2" w14:textId="208EFF6A" w:rsidR="00AB6CC4" w:rsidRPr="00D23308" w:rsidRDefault="00AB6CC4" w:rsidP="00704218">
      <w:r w:rsidRPr="00D23308">
        <w:t>Repeat</w:t>
      </w:r>
      <w:r w:rsidR="00B46A9F" w:rsidRPr="00D23308">
        <w:t xml:space="preserve"> </w:t>
      </w:r>
      <w:r w:rsidRPr="00D23308">
        <w:t>dose toxicity studies by the oral route were conducted with estetrol in mice (up to 3 months duration), rats (up to 6 months) and cynomolgus monkeys (up to 9 months). Findings in these studies (involving microscopic changes in the reproductive tract, mammary gland, pituitary, liver, kidney, adrenal gland, lymphoid organs, skin/</w:t>
      </w:r>
      <w:proofErr w:type="gramStart"/>
      <w:r w:rsidRPr="00D23308">
        <w:t>hair</w:t>
      </w:r>
      <w:proofErr w:type="gramEnd"/>
      <w:r w:rsidRPr="00D23308">
        <w:t xml:space="preserve"> and bone) were typical of the class, and consistent with the drug’s estrogenic activity.</w:t>
      </w:r>
    </w:p>
    <w:p w14:paraId="3FE4844A" w14:textId="28E9432D" w:rsidR="00AB6CC4" w:rsidRPr="00D23308" w:rsidRDefault="00AB6CC4" w:rsidP="00704218">
      <w:r w:rsidRPr="00D23308">
        <w:t>A 3-month study in monkeys revealed hyperglycaemia and pancreatic islet cell vacuolation as the only notable findings denoting novel or synergistic toxicity with estetrol and drospirenone in combination. Altered glucose tolerance/induction of insulin resistance is a known estrogen/progestogen class interaction.</w:t>
      </w:r>
    </w:p>
    <w:p w14:paraId="3CB3D5A9" w14:textId="4E28656F" w:rsidR="00AB6CC4" w:rsidRPr="00D23308" w:rsidRDefault="00AB6CC4" w:rsidP="00704218">
      <w:r w:rsidRPr="00D23308">
        <w:t>Estetrol is not considered to be genotoxic.</w:t>
      </w:r>
    </w:p>
    <w:p w14:paraId="5A1898DF" w14:textId="7EC838EC" w:rsidR="00AB6CC4" w:rsidRPr="00D23308" w:rsidRDefault="00AB6CC4" w:rsidP="00704218">
      <w:r w:rsidRPr="00D23308">
        <w:t xml:space="preserve">Estetrol was shown to be carcinogenic in rodents, producing tumours in the uterus, </w:t>
      </w:r>
      <w:proofErr w:type="gramStart"/>
      <w:r w:rsidRPr="00D23308">
        <w:t>cervix</w:t>
      </w:r>
      <w:proofErr w:type="gramEnd"/>
      <w:r w:rsidRPr="00D23308">
        <w:t xml:space="preserve"> and pituitary in mice, and in the mammary gland in both mice and rats, at doses yielding subclinical systemic exposure. The observed carcinogenicity of estetrol is consistent with its hormonal activity. Rodents are recognised to be particularly sensitive to the development of tumours following hormonal disruption.</w:t>
      </w:r>
    </w:p>
    <w:p w14:paraId="7CAD931A" w14:textId="648D7A76" w:rsidR="00AB6CC4" w:rsidRPr="00D23308" w:rsidRDefault="00AB6CC4" w:rsidP="00704218">
      <w:r w:rsidRPr="00D23308">
        <w:t>Full restoration of fertility after withdrawal of estetrol treatment was demonstrated in rats.</w:t>
      </w:r>
    </w:p>
    <w:p w14:paraId="29F14276" w14:textId="4B27F117" w:rsidR="00AB6CC4" w:rsidRPr="00D23308" w:rsidRDefault="00AB6CC4" w:rsidP="00704218">
      <w:r w:rsidRPr="00D23308">
        <w:t>Embryofetal lethality was observed with estetrol in rats and rabbits, and fetal skeletal malformations in rats. Assignment to Pregnancy Category B3</w:t>
      </w:r>
      <w:r w:rsidR="003F2F34" w:rsidRPr="00D23308">
        <w:t>;</w:t>
      </w:r>
      <w:r w:rsidR="003F2F34" w:rsidRPr="00D23308">
        <w:rPr>
          <w:rStyle w:val="FootnoteReference"/>
        </w:rPr>
        <w:footnoteReference w:id="13"/>
      </w:r>
      <w:r w:rsidRPr="00D23308">
        <w:t xml:space="preserve"> is recommended.</w:t>
      </w:r>
    </w:p>
    <w:p w14:paraId="08ACBF77" w14:textId="5F7ED419" w:rsidR="0074163C" w:rsidRPr="00D23308" w:rsidRDefault="00AB6CC4" w:rsidP="00704218">
      <w:r w:rsidRPr="00D23308">
        <w:t xml:space="preserve">There are no nonclinical objections to the registration of </w:t>
      </w:r>
      <w:r w:rsidR="006256DF" w:rsidRPr="00D23308">
        <w:t xml:space="preserve">Nextstellis </w:t>
      </w:r>
      <w:r w:rsidRPr="00D23308">
        <w:t>for the proposed indications.</w:t>
      </w:r>
    </w:p>
    <w:p w14:paraId="6639FC43" w14:textId="77777777" w:rsidR="008E7846" w:rsidRPr="00D23308" w:rsidRDefault="008E7846" w:rsidP="008E7846">
      <w:pPr>
        <w:pStyle w:val="Heading3"/>
      </w:pPr>
      <w:bookmarkStart w:id="38" w:name="_Toc247691530"/>
      <w:bookmarkStart w:id="39" w:name="_Toc314842513"/>
      <w:bookmarkStart w:id="40" w:name="_Toc109301846"/>
      <w:r w:rsidRPr="00D23308">
        <w:t>Clinical</w:t>
      </w:r>
      <w:bookmarkEnd w:id="38"/>
      <w:bookmarkEnd w:id="39"/>
      <w:bookmarkEnd w:id="40"/>
    </w:p>
    <w:p w14:paraId="7427A8D2" w14:textId="77777777" w:rsidR="0074163C" w:rsidRPr="00D23308" w:rsidRDefault="0074163C" w:rsidP="00704218">
      <w:pPr>
        <w:pStyle w:val="Heading4"/>
      </w:pPr>
      <w:bookmarkStart w:id="41" w:name="_Toc98931928"/>
      <w:r w:rsidRPr="00D23308">
        <w:t>Summary of clinical studies</w:t>
      </w:r>
      <w:bookmarkEnd w:id="41"/>
    </w:p>
    <w:p w14:paraId="30847AF3" w14:textId="28B479E3" w:rsidR="0074163C" w:rsidRPr="00D23308" w:rsidRDefault="0074163C" w:rsidP="0074163C">
      <w:r w:rsidRPr="00D23308">
        <w:t>The clinical dossier consisted of</w:t>
      </w:r>
      <w:r w:rsidR="00EB36D6" w:rsidRPr="00D23308">
        <w:t>:</w:t>
      </w:r>
    </w:p>
    <w:p w14:paraId="2EB4C4D8" w14:textId="35098571" w:rsidR="00B46A9F" w:rsidRPr="00D23308" w:rsidRDefault="0096551F" w:rsidP="0096551F">
      <w:pPr>
        <w:pStyle w:val="ListBullet"/>
      </w:pPr>
      <w:r w:rsidRPr="00D23308">
        <w:t xml:space="preserve">One </w:t>
      </w:r>
      <w:r w:rsidR="00B46A9F" w:rsidRPr="00D23308">
        <w:t>Phase I</w:t>
      </w:r>
      <w:r w:rsidRPr="00D23308">
        <w:t xml:space="preserve"> study</w:t>
      </w:r>
      <w:r w:rsidR="00B46A9F" w:rsidRPr="00D23308">
        <w:t xml:space="preserve">: </w:t>
      </w:r>
      <w:r w:rsidR="00C96549">
        <w:t xml:space="preserve">Study </w:t>
      </w:r>
      <w:r w:rsidR="00B46A9F" w:rsidRPr="00D23308">
        <w:t>MIT-Es0001-C201</w:t>
      </w:r>
    </w:p>
    <w:p w14:paraId="7141C270" w14:textId="38B9B34D" w:rsidR="00B46A9F" w:rsidRPr="00D23308" w:rsidRDefault="00E01F72" w:rsidP="0096551F">
      <w:pPr>
        <w:pStyle w:val="ListBullet"/>
      </w:pPr>
      <w:r>
        <w:t xml:space="preserve">Five </w:t>
      </w:r>
      <w:r w:rsidR="00B46A9F" w:rsidRPr="00D23308">
        <w:t>Phase II</w:t>
      </w:r>
      <w:r w:rsidR="0096551F" w:rsidRPr="00D23308">
        <w:t xml:space="preserve"> studies</w:t>
      </w:r>
      <w:r w:rsidR="00B46A9F" w:rsidRPr="00D23308">
        <w:t xml:space="preserve">: </w:t>
      </w:r>
      <w:r w:rsidR="00C96549">
        <w:t xml:space="preserve">Study </w:t>
      </w:r>
      <w:r w:rsidR="00E439D4" w:rsidRPr="00E439D4">
        <w:t>ES-C01</w:t>
      </w:r>
      <w:r w:rsidR="00E439D4">
        <w:t xml:space="preserve">, </w:t>
      </w:r>
      <w:r w:rsidR="00C96549">
        <w:t xml:space="preserve">Study </w:t>
      </w:r>
      <w:r w:rsidR="00E439D4" w:rsidRPr="00E439D4">
        <w:t>ES-C02</w:t>
      </w:r>
      <w:r w:rsidR="00E439D4">
        <w:t xml:space="preserve">, </w:t>
      </w:r>
      <w:r w:rsidR="00C96549">
        <w:t xml:space="preserve">Study </w:t>
      </w:r>
      <w:r w:rsidR="00B46A9F" w:rsidRPr="00D23308">
        <w:t xml:space="preserve">MIT-Es0001-C201, </w:t>
      </w:r>
      <w:r w:rsidR="00C96549">
        <w:t>Study </w:t>
      </w:r>
      <w:r w:rsidR="00B46A9F" w:rsidRPr="00D23308">
        <w:t>MIT</w:t>
      </w:r>
      <w:r w:rsidR="00C96549">
        <w:noBreakHyphen/>
      </w:r>
      <w:r w:rsidR="00B46A9F" w:rsidRPr="00D23308">
        <w:t>Es0001-C202</w:t>
      </w:r>
      <w:r w:rsidR="00C96549">
        <w:t xml:space="preserve"> and Study </w:t>
      </w:r>
      <w:r w:rsidR="00C96549" w:rsidRPr="00C96549">
        <w:t>PR3081</w:t>
      </w:r>
    </w:p>
    <w:p w14:paraId="2ED79970" w14:textId="51FAE1D6" w:rsidR="00B46A9F" w:rsidRPr="00D23308" w:rsidRDefault="00E01F72" w:rsidP="0096551F">
      <w:pPr>
        <w:pStyle w:val="ListBullet"/>
      </w:pPr>
      <w:r>
        <w:t>Two</w:t>
      </w:r>
      <w:r w:rsidR="0096551F" w:rsidRPr="00D23308">
        <w:t xml:space="preserve"> </w:t>
      </w:r>
      <w:r w:rsidR="00B46A9F" w:rsidRPr="00D23308">
        <w:t xml:space="preserve">Phase III </w:t>
      </w:r>
      <w:r w:rsidR="0096551F" w:rsidRPr="00D23308">
        <w:t xml:space="preserve">studies: </w:t>
      </w:r>
      <w:r w:rsidR="00C96549">
        <w:t xml:space="preserve">Study </w:t>
      </w:r>
      <w:r w:rsidR="00B46A9F" w:rsidRPr="00D23308">
        <w:t>MIT-Es0001-C301</w:t>
      </w:r>
      <w:r w:rsidR="000759AE">
        <w:t xml:space="preserve"> </w:t>
      </w:r>
      <w:r w:rsidR="00B46A9F" w:rsidRPr="00D23308">
        <w:t xml:space="preserve">and </w:t>
      </w:r>
      <w:r w:rsidR="00C96549">
        <w:t xml:space="preserve">Study </w:t>
      </w:r>
      <w:r w:rsidR="00B46A9F" w:rsidRPr="00D23308">
        <w:t>MIT-Es0001-C302</w:t>
      </w:r>
    </w:p>
    <w:p w14:paraId="31606944" w14:textId="6ACCFD20" w:rsidR="00704218" w:rsidRPr="00D23308" w:rsidRDefault="00704218" w:rsidP="0096551F">
      <w:pPr>
        <w:pStyle w:val="Heading4"/>
      </w:pPr>
      <w:r w:rsidRPr="00D23308">
        <w:lastRenderedPageBreak/>
        <w:t>Pharmacology</w:t>
      </w:r>
    </w:p>
    <w:p w14:paraId="5AB311A5" w14:textId="12A592A9" w:rsidR="00704218" w:rsidRPr="00D23308" w:rsidRDefault="00704218" w:rsidP="00704218">
      <w:pPr>
        <w:pStyle w:val="Heading5"/>
      </w:pPr>
      <w:r w:rsidRPr="00D23308">
        <w:t>Pharmacokinetics</w:t>
      </w:r>
    </w:p>
    <w:p w14:paraId="22B8CCC5" w14:textId="77777777" w:rsidR="00704218" w:rsidRPr="00D23308" w:rsidRDefault="00704218" w:rsidP="00704218">
      <w:r w:rsidRPr="00D23308">
        <w:t>The conduct of the studies that were provided in support of the current submission was satisfactory, the data analyses undertaken were appropriate and the analytical methods used to measure exposure levels were validated.</w:t>
      </w:r>
    </w:p>
    <w:p w14:paraId="269475A3" w14:textId="411EC5B3" w:rsidR="00704218" w:rsidRPr="00D23308" w:rsidRDefault="009A2E70" w:rsidP="00704218">
      <w:r w:rsidRPr="00D23308">
        <w:t xml:space="preserve">Drospirenone </w:t>
      </w:r>
      <w:r w:rsidR="00704218" w:rsidRPr="00D23308">
        <w:t xml:space="preserve">has been previously approved for use in Australia as part of a </w:t>
      </w:r>
      <w:r w:rsidR="00E01F72">
        <w:t>combined oral contraceptive</w:t>
      </w:r>
      <w:r w:rsidR="00E01F72" w:rsidRPr="00D23308">
        <w:t xml:space="preserve"> </w:t>
      </w:r>
      <w:r w:rsidR="00704218" w:rsidRPr="00D23308">
        <w:t xml:space="preserve">also containing </w:t>
      </w:r>
      <w:r w:rsidR="00E72922" w:rsidRPr="00D23308">
        <w:t>ethinylestradiol</w:t>
      </w:r>
      <w:r w:rsidR="00704218" w:rsidRPr="00D23308">
        <w:t>.</w:t>
      </w:r>
    </w:p>
    <w:p w14:paraId="2871C06A" w14:textId="28C8EED6" w:rsidR="00704218" w:rsidRPr="00D23308" w:rsidRDefault="00704218" w:rsidP="00704218">
      <w:r w:rsidRPr="00D23308">
        <w:t xml:space="preserve">A single dosage form and strength of the </w:t>
      </w:r>
      <w:r w:rsidR="00E01F72" w:rsidRPr="00D23308">
        <w:t>film-coated</w:t>
      </w:r>
      <w:r w:rsidR="00067428" w:rsidRPr="00D23308">
        <w:t xml:space="preserve"> tablet</w:t>
      </w:r>
      <w:r w:rsidRPr="00D23308">
        <w:t xml:space="preserve"> is proposed for marketing, which contains </w:t>
      </w:r>
      <w:r w:rsidR="009A2E70" w:rsidRPr="00D23308">
        <w:t>15 mg estetrol</w:t>
      </w:r>
      <w:r w:rsidRPr="00D23308">
        <w:t>/</w:t>
      </w:r>
      <w:r w:rsidR="009A2E70" w:rsidRPr="00D23308">
        <w:t>3 mg drospirenone</w:t>
      </w:r>
      <w:r w:rsidRPr="00D23308">
        <w:t>.</w:t>
      </w:r>
    </w:p>
    <w:p w14:paraId="2EEF5FF3" w14:textId="492DC34E" w:rsidR="00704218" w:rsidRPr="00D23308" w:rsidRDefault="009A2E70" w:rsidP="009A2E70">
      <w:pPr>
        <w:pStyle w:val="Heading6"/>
      </w:pPr>
      <w:r w:rsidRPr="00D23308">
        <w:t xml:space="preserve">Absorption, distribution, </w:t>
      </w:r>
      <w:proofErr w:type="gramStart"/>
      <w:r w:rsidRPr="00D23308">
        <w:t>metabolism</w:t>
      </w:r>
      <w:proofErr w:type="gramEnd"/>
      <w:r w:rsidRPr="00D23308">
        <w:t xml:space="preserve"> and excretion</w:t>
      </w:r>
    </w:p>
    <w:p w14:paraId="3040C505" w14:textId="3F7F5A50" w:rsidR="00704218" w:rsidRPr="00D23308" w:rsidRDefault="00704218" w:rsidP="00704218">
      <w:pPr>
        <w:pStyle w:val="ListBullet"/>
        <w:rPr>
          <w:b/>
        </w:rPr>
      </w:pPr>
      <w:r w:rsidRPr="00D23308">
        <w:t xml:space="preserve">Following a single dose of the </w:t>
      </w:r>
      <w:r w:rsidR="00E01F72" w:rsidRPr="00D23308">
        <w:t>film-coated</w:t>
      </w:r>
      <w:r w:rsidR="00067428" w:rsidRPr="00D23308">
        <w:t xml:space="preserve"> tablet</w:t>
      </w:r>
      <w:r w:rsidRPr="00D23308">
        <w:t xml:space="preserve"> containing </w:t>
      </w:r>
      <w:r w:rsidR="0080147A" w:rsidRPr="00D23308">
        <w:t>15 mg estetrol/3 mg drospirenone</w:t>
      </w:r>
      <w:r w:rsidRPr="00D23308">
        <w:t xml:space="preserve"> absorption was rapid with </w:t>
      </w:r>
      <w:r w:rsidR="009A2E70" w:rsidRPr="00D23308">
        <w:t>estetrol</w:t>
      </w:r>
      <w:r w:rsidRPr="00D23308">
        <w:t xml:space="preserve"> and </w:t>
      </w:r>
      <w:r w:rsidR="009A2E70" w:rsidRPr="00D23308">
        <w:t>drospirenone</w:t>
      </w:r>
      <w:r w:rsidRPr="00D23308">
        <w:t xml:space="preserve"> </w:t>
      </w:r>
      <w:r w:rsidR="009A2E70" w:rsidRPr="00D23308">
        <w:t xml:space="preserve">time </w:t>
      </w:r>
      <w:r w:rsidR="00883522" w:rsidRPr="00D23308">
        <w:t>to</w:t>
      </w:r>
      <w:r w:rsidR="009A2E70" w:rsidRPr="00D23308">
        <w:t xml:space="preserve"> maximum plasma concentration (</w:t>
      </w:r>
      <w:proofErr w:type="spellStart"/>
      <w:r w:rsidRPr="00D23308">
        <w:t>T</w:t>
      </w:r>
      <w:r w:rsidRPr="00D23308">
        <w:rPr>
          <w:vertAlign w:val="subscript"/>
        </w:rPr>
        <w:t>max</w:t>
      </w:r>
      <w:proofErr w:type="spellEnd"/>
      <w:r w:rsidR="009A2E70" w:rsidRPr="00D23308">
        <w:t>)</w:t>
      </w:r>
      <w:r w:rsidRPr="00D23308">
        <w:t xml:space="preserve"> values of 0.75 h and 1.67 h, respectively.</w:t>
      </w:r>
    </w:p>
    <w:p w14:paraId="3FD31F31" w14:textId="465F0E7C" w:rsidR="00704218" w:rsidRPr="00D23308" w:rsidRDefault="00704218" w:rsidP="00704218">
      <w:pPr>
        <w:pStyle w:val="ListBullet"/>
        <w:rPr>
          <w:b/>
        </w:rPr>
      </w:pPr>
      <w:r w:rsidRPr="00D23308">
        <w:t xml:space="preserve">Based on the recovery of total administered radioactivity in urine following a single oral dose of </w:t>
      </w:r>
      <w:r w:rsidR="009A2E70" w:rsidRPr="00D23308">
        <w:t>[</w:t>
      </w:r>
      <w:r w:rsidR="00883522" w:rsidRPr="00D23308">
        <w:rPr>
          <w:vertAlign w:val="superscript"/>
        </w:rPr>
        <w:t>14</w:t>
      </w:r>
      <w:r w:rsidR="00883522" w:rsidRPr="00D23308">
        <w:t>C</w:t>
      </w:r>
      <w:r w:rsidR="009A2E70" w:rsidRPr="00D23308">
        <w:t>]</w:t>
      </w:r>
      <w:r w:rsidRPr="00D23308">
        <w:t>-</w:t>
      </w:r>
      <w:r w:rsidR="009A2E70" w:rsidRPr="00D23308">
        <w:t>estetrol</w:t>
      </w:r>
      <w:r w:rsidRPr="00D23308">
        <w:t xml:space="preserve"> 15 mg the </w:t>
      </w:r>
      <w:r w:rsidR="0080147A" w:rsidRPr="00D23308">
        <w:t xml:space="preserve">bioavailability </w:t>
      </w:r>
      <w:r w:rsidRPr="00D23308">
        <w:t xml:space="preserve">of </w:t>
      </w:r>
      <w:r w:rsidR="009A2E70" w:rsidRPr="00D23308">
        <w:t>estetrol</w:t>
      </w:r>
      <w:r w:rsidRPr="00D23308">
        <w:t xml:space="preserve"> was estimated to be approximately 69%. Following a 2</w:t>
      </w:r>
      <w:r w:rsidR="0080147A" w:rsidRPr="00D23308">
        <w:t xml:space="preserve"> </w:t>
      </w:r>
      <w:r w:rsidRPr="00D23308">
        <w:t xml:space="preserve">mg dose of oral </w:t>
      </w:r>
      <w:r w:rsidR="009A2E70" w:rsidRPr="00D23308">
        <w:t>drospirenone</w:t>
      </w:r>
      <w:r w:rsidRPr="00D23308">
        <w:t xml:space="preserve">, the </w:t>
      </w:r>
      <w:r w:rsidR="0080147A" w:rsidRPr="00D23308">
        <w:t xml:space="preserve">bioavailability </w:t>
      </w:r>
      <w:r w:rsidRPr="00D23308">
        <w:t>was 76%.</w:t>
      </w:r>
    </w:p>
    <w:p w14:paraId="2160747E" w14:textId="13B88F59" w:rsidR="00704218" w:rsidRPr="00D23308" w:rsidRDefault="00704218" w:rsidP="00704218">
      <w:pPr>
        <w:pStyle w:val="ListBullet"/>
        <w:rPr>
          <w:rFonts w:asciiTheme="minorHAnsi" w:eastAsiaTheme="minorHAnsi" w:hAnsiTheme="minorHAnsi" w:cs="TimesNewRoman"/>
        </w:rPr>
      </w:pPr>
      <w:r w:rsidRPr="00D23308">
        <w:t xml:space="preserve">The formulations of the Phase </w:t>
      </w:r>
      <w:r w:rsidR="0080147A" w:rsidRPr="00D23308">
        <w:t>III</w:t>
      </w:r>
      <w:r w:rsidRPr="00D23308">
        <w:t xml:space="preserve"> and to</w:t>
      </w:r>
      <w:r w:rsidR="0080147A" w:rsidRPr="00D23308">
        <w:t xml:space="preserve"> </w:t>
      </w:r>
      <w:r w:rsidRPr="00D23308">
        <w:t>be</w:t>
      </w:r>
      <w:r w:rsidR="0080147A" w:rsidRPr="00D23308">
        <w:t xml:space="preserve"> </w:t>
      </w:r>
      <w:r w:rsidRPr="00D23308">
        <w:t xml:space="preserve">marketed </w:t>
      </w:r>
      <w:r w:rsidR="00067428" w:rsidRPr="00D23308">
        <w:t>film</w:t>
      </w:r>
      <w:r w:rsidR="00E01F72">
        <w:t>-</w:t>
      </w:r>
      <w:r w:rsidR="00067428" w:rsidRPr="00D23308">
        <w:t>coated tablet</w:t>
      </w:r>
      <w:r w:rsidRPr="00D23308">
        <w:t xml:space="preserve"> containing </w:t>
      </w:r>
      <w:r w:rsidR="006256DF" w:rsidRPr="00D23308">
        <w:t>Nextstellis</w:t>
      </w:r>
      <w:r w:rsidRPr="00D23308">
        <w:t xml:space="preserve"> are identical</w:t>
      </w:r>
      <w:r w:rsidRPr="00D23308">
        <w:rPr>
          <w:rFonts w:asciiTheme="minorHAnsi" w:eastAsiaTheme="minorHAnsi" w:hAnsiTheme="minorHAnsi" w:cs="TimesNewRoman"/>
        </w:rPr>
        <w:t>.</w:t>
      </w:r>
    </w:p>
    <w:p w14:paraId="0C61C983" w14:textId="666D9226" w:rsidR="00704218" w:rsidRPr="00D23308" w:rsidRDefault="00704218" w:rsidP="00704218">
      <w:pPr>
        <w:pStyle w:val="ListBullet"/>
        <w:rPr>
          <w:rFonts w:cs="Calibri"/>
        </w:rPr>
      </w:pPr>
      <w:r w:rsidRPr="4D8DDE64">
        <w:rPr>
          <w:rFonts w:asciiTheme="minorHAnsi" w:eastAsiaTheme="minorEastAsia" w:hAnsiTheme="minorHAnsi" w:cs="TimesNewRoman"/>
        </w:rPr>
        <w:t xml:space="preserve">There are no clinically relevant differences in </w:t>
      </w:r>
      <w:r w:rsidR="00E01F72">
        <w:rPr>
          <w:rFonts w:asciiTheme="minorHAnsi" w:eastAsiaTheme="minorEastAsia" w:hAnsiTheme="minorHAnsi" w:cs="TimesNewRoman"/>
        </w:rPr>
        <w:t xml:space="preserve">the PKs of </w:t>
      </w:r>
      <w:r w:rsidR="009A2E70" w:rsidRPr="4D8DDE64">
        <w:rPr>
          <w:rFonts w:asciiTheme="minorHAnsi" w:eastAsiaTheme="minorEastAsia" w:hAnsiTheme="minorHAnsi" w:cs="TimesNewRoman"/>
        </w:rPr>
        <w:t>estetrol</w:t>
      </w:r>
      <w:r w:rsidRPr="4D8DDE64">
        <w:rPr>
          <w:rFonts w:asciiTheme="minorHAnsi" w:eastAsiaTheme="minorEastAsia" w:hAnsiTheme="minorHAnsi" w:cs="TimesNewRoman"/>
        </w:rPr>
        <w:t>/</w:t>
      </w:r>
      <w:r w:rsidR="009A2E70" w:rsidRPr="4D8DDE64">
        <w:rPr>
          <w:rFonts w:asciiTheme="minorHAnsi" w:eastAsiaTheme="minorEastAsia" w:hAnsiTheme="minorHAnsi" w:cs="TimesNewRoman"/>
        </w:rPr>
        <w:t>drospirenone</w:t>
      </w:r>
      <w:r w:rsidRPr="4D8DDE64">
        <w:rPr>
          <w:rFonts w:asciiTheme="minorHAnsi" w:eastAsiaTheme="minorEastAsia" w:hAnsiTheme="minorHAnsi" w:cs="TimesNewRoman"/>
        </w:rPr>
        <w:t xml:space="preserve"> following administration of the </w:t>
      </w:r>
      <w:r w:rsidR="00067428" w:rsidRPr="00D23308">
        <w:t>film</w:t>
      </w:r>
      <w:r w:rsidR="00B717F4">
        <w:t>-</w:t>
      </w:r>
      <w:r w:rsidR="00067428" w:rsidRPr="00D23308">
        <w:t>coated tablet</w:t>
      </w:r>
      <w:r w:rsidRPr="4D8DDE64">
        <w:rPr>
          <w:rFonts w:asciiTheme="minorHAnsi" w:eastAsiaTheme="minorEastAsia" w:hAnsiTheme="minorHAnsi" w:cs="TimesNewRoman"/>
        </w:rPr>
        <w:t xml:space="preserve"> tablets containing </w:t>
      </w:r>
      <w:r w:rsidR="0080147A" w:rsidRPr="00D23308">
        <w:t>15 mg estetrol/3</w:t>
      </w:r>
      <w:r w:rsidR="00286A63" w:rsidRPr="00D23308">
        <w:t> </w:t>
      </w:r>
      <w:r w:rsidR="0080147A" w:rsidRPr="00D23308">
        <w:t>mg drospirenone</w:t>
      </w:r>
      <w:r w:rsidRPr="4D8DDE64">
        <w:rPr>
          <w:rFonts w:asciiTheme="minorHAnsi" w:eastAsiaTheme="minorEastAsia" w:hAnsiTheme="minorHAnsi" w:cs="TimesNewRoman"/>
        </w:rPr>
        <w:t xml:space="preserve"> and the free tablet combination </w:t>
      </w:r>
      <w:r w:rsidRPr="00D23308">
        <w:rPr>
          <w:rFonts w:cs="Calibri"/>
        </w:rPr>
        <w:t xml:space="preserve">used in the initial Phase </w:t>
      </w:r>
      <w:r w:rsidR="0080147A" w:rsidRPr="00D23308">
        <w:rPr>
          <w:rFonts w:cs="Calibri"/>
        </w:rPr>
        <w:t>II</w:t>
      </w:r>
      <w:r w:rsidRPr="00D23308">
        <w:rPr>
          <w:rFonts w:cs="Calibri"/>
        </w:rPr>
        <w:t xml:space="preserve"> studies.</w:t>
      </w:r>
    </w:p>
    <w:p w14:paraId="1E7C61DC" w14:textId="52D6F0D6" w:rsidR="00704218" w:rsidRPr="00D23308" w:rsidRDefault="00704218" w:rsidP="00704218">
      <w:pPr>
        <w:pStyle w:val="ListBullet"/>
      </w:pPr>
      <w:r w:rsidRPr="00D23308">
        <w:t xml:space="preserve">Although food significantly reduced the peak absorption </w:t>
      </w:r>
      <w:r w:rsidR="00883522" w:rsidRPr="00D23308">
        <w:t xml:space="preserve">(maximum plasma concentration </w:t>
      </w:r>
      <w:r w:rsidRPr="00D23308">
        <w:t>(</w:t>
      </w:r>
      <w:proofErr w:type="spellStart"/>
      <w:r w:rsidRPr="00D23308">
        <w:t>C</w:t>
      </w:r>
      <w:r w:rsidRPr="00D23308">
        <w:rPr>
          <w:vertAlign w:val="subscript"/>
        </w:rPr>
        <w:t>max</w:t>
      </w:r>
      <w:proofErr w:type="spellEnd"/>
      <w:r w:rsidRPr="00D23308">
        <w:t>)</w:t>
      </w:r>
      <w:r w:rsidR="00883522" w:rsidRPr="00D23308">
        <w:t>)</w:t>
      </w:r>
      <w:r w:rsidRPr="00D23308">
        <w:t xml:space="preserve"> of </w:t>
      </w:r>
      <w:proofErr w:type="spellStart"/>
      <w:r w:rsidR="009A2E70" w:rsidRPr="00D23308">
        <w:t>estetrol</w:t>
      </w:r>
      <w:proofErr w:type="spellEnd"/>
      <w:r w:rsidRPr="00D23308">
        <w:t xml:space="preserve"> and </w:t>
      </w:r>
      <w:r w:rsidR="009A2E70" w:rsidRPr="00D23308">
        <w:t>drospirenone</w:t>
      </w:r>
      <w:r w:rsidRPr="00D23308">
        <w:t xml:space="preserve">, the overall extent of absorption </w:t>
      </w:r>
      <w:r w:rsidR="00883522" w:rsidRPr="00D23308">
        <w:t>(area under the concentration</w:t>
      </w:r>
      <w:r w:rsidR="00CC74F8">
        <w:t>-</w:t>
      </w:r>
      <w:r w:rsidR="00883522" w:rsidRPr="00D23308">
        <w:t xml:space="preserve">time curve </w:t>
      </w:r>
      <w:r w:rsidRPr="00D23308">
        <w:t>(AUC)</w:t>
      </w:r>
      <w:r w:rsidR="00883522" w:rsidRPr="00D23308">
        <w:t>)</w:t>
      </w:r>
      <w:r w:rsidRPr="00D23308">
        <w:t xml:space="preserve"> was not affected; therefore, food is unlikely to have clinically relevant effects on </w:t>
      </w:r>
      <w:r w:rsidR="009A2E70" w:rsidRPr="00D23308">
        <w:t>estetrol</w:t>
      </w:r>
      <w:r w:rsidRPr="00D23308">
        <w:t>/</w:t>
      </w:r>
      <w:r w:rsidR="009A2E70" w:rsidRPr="00D23308">
        <w:t>drospirenone</w:t>
      </w:r>
      <w:r w:rsidRPr="00D23308">
        <w:t xml:space="preserve"> PK.</w:t>
      </w:r>
    </w:p>
    <w:p w14:paraId="24C30266" w14:textId="41CB27D8" w:rsidR="00704218" w:rsidRPr="00D23308" w:rsidRDefault="00704218" w:rsidP="00704218">
      <w:pPr>
        <w:pStyle w:val="ListBullet"/>
      </w:pPr>
      <w:r w:rsidRPr="00D23308">
        <w:t xml:space="preserve">Given that the current application is for a </w:t>
      </w:r>
      <w:r w:rsidR="00E01F72">
        <w:t>contraceptive</w:t>
      </w:r>
      <w:r w:rsidRPr="00D23308">
        <w:t xml:space="preserve">, the target population would include healthy pre-menopausal women. This population has been included in many of the studies described thus far as part of the current </w:t>
      </w:r>
      <w:r w:rsidR="00286A63" w:rsidRPr="00D23308">
        <w:t>clinical study report</w:t>
      </w:r>
      <w:r w:rsidRPr="00D23308">
        <w:t>.</w:t>
      </w:r>
    </w:p>
    <w:p w14:paraId="683FD5D9" w14:textId="289EB55F" w:rsidR="00704218" w:rsidRPr="00D23308" w:rsidRDefault="00704218" w:rsidP="00704218">
      <w:pPr>
        <w:pStyle w:val="ListBullet"/>
        <w:rPr>
          <w:rFonts w:cs="Calibri"/>
        </w:rPr>
      </w:pPr>
      <w:r w:rsidRPr="00D23308">
        <w:t>Following s</w:t>
      </w:r>
      <w:r w:rsidRPr="00D23308">
        <w:rPr>
          <w:rFonts w:cs="Calibri"/>
        </w:rPr>
        <w:t xml:space="preserve">ingle and multiple doses of the </w:t>
      </w:r>
      <w:r w:rsidR="00067428" w:rsidRPr="00D23308">
        <w:t>film</w:t>
      </w:r>
      <w:r w:rsidR="00323F35">
        <w:t>-</w:t>
      </w:r>
      <w:r w:rsidR="00067428" w:rsidRPr="00D23308">
        <w:t>coated tablet</w:t>
      </w:r>
      <w:r w:rsidRPr="00D23308">
        <w:rPr>
          <w:rFonts w:cs="Calibri"/>
        </w:rPr>
        <w:t xml:space="preserve"> at one to five times the therapeutic dose in healthy women, </w:t>
      </w:r>
      <w:proofErr w:type="spellStart"/>
      <w:r w:rsidRPr="00D23308">
        <w:rPr>
          <w:rFonts w:cs="Calibri"/>
        </w:rPr>
        <w:t>C</w:t>
      </w:r>
      <w:r w:rsidRPr="00D23308">
        <w:rPr>
          <w:rFonts w:cs="Calibri"/>
          <w:vertAlign w:val="subscript"/>
        </w:rPr>
        <w:t>max</w:t>
      </w:r>
      <w:proofErr w:type="spellEnd"/>
      <w:r w:rsidRPr="00D23308">
        <w:rPr>
          <w:rFonts w:cs="Calibri"/>
        </w:rPr>
        <w:t xml:space="preserve"> and AUC values for </w:t>
      </w:r>
      <w:r w:rsidR="009A2E70" w:rsidRPr="00D23308">
        <w:rPr>
          <w:rFonts w:cs="Calibri"/>
        </w:rPr>
        <w:t>estetrol</w:t>
      </w:r>
      <w:r w:rsidRPr="00D23308">
        <w:rPr>
          <w:rFonts w:cs="Calibri"/>
        </w:rPr>
        <w:t xml:space="preserve"> and </w:t>
      </w:r>
      <w:r w:rsidR="009A2E70" w:rsidRPr="00D23308">
        <w:rPr>
          <w:rFonts w:cs="Calibri"/>
        </w:rPr>
        <w:t>drospirenone</w:t>
      </w:r>
      <w:r w:rsidRPr="00D23308">
        <w:rPr>
          <w:rFonts w:cs="Calibri"/>
        </w:rPr>
        <w:t xml:space="preserve"> increased with dose. Moreover, </w:t>
      </w:r>
      <w:r w:rsidR="0013307A">
        <w:rPr>
          <w:rFonts w:cs="Calibri"/>
        </w:rPr>
        <w:t>d</w:t>
      </w:r>
      <w:r w:rsidR="0013307A" w:rsidRPr="0013307A">
        <w:rPr>
          <w:rFonts w:cs="Calibri"/>
        </w:rPr>
        <w:t>ose</w:t>
      </w:r>
      <w:r w:rsidR="00E01F72">
        <w:rPr>
          <w:rFonts w:cs="Calibri"/>
        </w:rPr>
        <w:t>-</w:t>
      </w:r>
      <w:r w:rsidR="0013307A" w:rsidRPr="0013307A">
        <w:rPr>
          <w:rFonts w:cs="Calibri"/>
        </w:rPr>
        <w:t>normali</w:t>
      </w:r>
      <w:r w:rsidR="0013307A">
        <w:rPr>
          <w:rFonts w:cs="Calibri"/>
        </w:rPr>
        <w:t>s</w:t>
      </w:r>
      <w:r w:rsidR="0013307A" w:rsidRPr="0013307A">
        <w:rPr>
          <w:rFonts w:cs="Calibri"/>
        </w:rPr>
        <w:t xml:space="preserve">ed </w:t>
      </w:r>
      <w:proofErr w:type="spellStart"/>
      <w:r w:rsidR="00E01F72">
        <w:rPr>
          <w:rFonts w:cs="Calibri"/>
        </w:rPr>
        <w:t>C</w:t>
      </w:r>
      <w:r w:rsidR="00E01F72">
        <w:rPr>
          <w:rFonts w:cs="Calibri"/>
          <w:vertAlign w:val="subscript"/>
        </w:rPr>
        <w:t>max</w:t>
      </w:r>
      <w:proofErr w:type="spellEnd"/>
      <w:r w:rsidR="0013307A" w:rsidRPr="0013307A">
        <w:rPr>
          <w:rFonts w:cs="Calibri"/>
        </w:rPr>
        <w:t xml:space="preserve"> </w:t>
      </w:r>
      <w:r w:rsidRPr="00D23308">
        <w:rPr>
          <w:rFonts w:cs="Calibri"/>
        </w:rPr>
        <w:t xml:space="preserve">and </w:t>
      </w:r>
      <w:r w:rsidR="0013307A">
        <w:rPr>
          <w:rFonts w:cs="Calibri"/>
        </w:rPr>
        <w:t>dose</w:t>
      </w:r>
      <w:r w:rsidR="00E01F72">
        <w:rPr>
          <w:rFonts w:cs="Calibri"/>
        </w:rPr>
        <w:t>-</w:t>
      </w:r>
      <w:r w:rsidR="0013307A">
        <w:rPr>
          <w:rFonts w:cs="Calibri"/>
        </w:rPr>
        <w:t>normalised a</w:t>
      </w:r>
      <w:r w:rsidR="0013307A" w:rsidRPr="0013307A">
        <w:rPr>
          <w:rFonts w:cs="Calibri"/>
        </w:rPr>
        <w:t>rea under the concentration</w:t>
      </w:r>
      <w:r w:rsidR="00CC74F8">
        <w:rPr>
          <w:rFonts w:cs="Calibri"/>
        </w:rPr>
        <w:t>-</w:t>
      </w:r>
      <w:r w:rsidR="0013307A" w:rsidRPr="0013307A">
        <w:rPr>
          <w:rFonts w:cs="Calibri"/>
        </w:rPr>
        <w:t xml:space="preserve">time curve from time zero to </w:t>
      </w:r>
      <w:r w:rsidR="0013307A">
        <w:rPr>
          <w:rFonts w:cs="Calibri"/>
        </w:rPr>
        <w:t>24 hours</w:t>
      </w:r>
      <w:r w:rsidRPr="00D23308">
        <w:rPr>
          <w:rFonts w:cs="Calibri"/>
        </w:rPr>
        <w:t xml:space="preserve"> values for </w:t>
      </w:r>
      <w:r w:rsidR="009A2E70" w:rsidRPr="00D23308">
        <w:rPr>
          <w:rFonts w:cs="Calibri"/>
        </w:rPr>
        <w:t>estetrol</w:t>
      </w:r>
      <w:r w:rsidRPr="00D23308">
        <w:rPr>
          <w:rFonts w:cs="Calibri"/>
        </w:rPr>
        <w:t xml:space="preserve"> and </w:t>
      </w:r>
      <w:r w:rsidR="009A2E70" w:rsidRPr="00D23308">
        <w:rPr>
          <w:rFonts w:cs="Calibri"/>
        </w:rPr>
        <w:t>drospirenone</w:t>
      </w:r>
      <w:r w:rsidRPr="00D23308">
        <w:rPr>
          <w:rFonts w:cs="Calibri"/>
        </w:rPr>
        <w:t xml:space="preserve"> were similar after single and following multiple doses indicating that the increases in </w:t>
      </w:r>
      <w:r w:rsidR="009A2E70" w:rsidRPr="00D23308">
        <w:rPr>
          <w:rFonts w:cs="Calibri"/>
        </w:rPr>
        <w:t>estetrol</w:t>
      </w:r>
      <w:r w:rsidRPr="00D23308">
        <w:rPr>
          <w:rFonts w:cs="Calibri"/>
        </w:rPr>
        <w:t xml:space="preserve"> and </w:t>
      </w:r>
      <w:r w:rsidR="009A2E70" w:rsidRPr="00D23308">
        <w:rPr>
          <w:rFonts w:cs="Calibri"/>
        </w:rPr>
        <w:t>drospirenone</w:t>
      </w:r>
      <w:r w:rsidRPr="00D23308">
        <w:rPr>
          <w:rFonts w:cs="Calibri"/>
        </w:rPr>
        <w:t xml:space="preserve"> exposure across the tested dose range (15</w:t>
      </w:r>
      <w:r w:rsidR="00286A63" w:rsidRPr="00D23308">
        <w:rPr>
          <w:rFonts w:cs="Calibri"/>
        </w:rPr>
        <w:t> </w:t>
      </w:r>
      <w:r w:rsidRPr="00D23308">
        <w:rPr>
          <w:rFonts w:cs="Calibri"/>
        </w:rPr>
        <w:t xml:space="preserve">mg to 75 mg for </w:t>
      </w:r>
      <w:r w:rsidR="009A2E70" w:rsidRPr="00D23308">
        <w:rPr>
          <w:rFonts w:cs="Calibri"/>
        </w:rPr>
        <w:t>estetrol</w:t>
      </w:r>
      <w:r w:rsidRPr="00D23308">
        <w:rPr>
          <w:rFonts w:cs="Calibri"/>
        </w:rPr>
        <w:t xml:space="preserve"> and 3 mg to 15 mg for </w:t>
      </w:r>
      <w:r w:rsidR="009A2E70" w:rsidRPr="00D23308">
        <w:rPr>
          <w:rFonts w:cs="Calibri"/>
        </w:rPr>
        <w:t>drospirenone</w:t>
      </w:r>
      <w:r w:rsidRPr="00D23308">
        <w:rPr>
          <w:rFonts w:cs="Calibri"/>
        </w:rPr>
        <w:t>) were dose proportional.</w:t>
      </w:r>
    </w:p>
    <w:p w14:paraId="73FBDB04" w14:textId="40499A99" w:rsidR="00704218" w:rsidRPr="00D23308" w:rsidRDefault="00704218" w:rsidP="00704218">
      <w:pPr>
        <w:pStyle w:val="ListBullet"/>
        <w:rPr>
          <w:rFonts w:cs="Calibri"/>
        </w:rPr>
      </w:pPr>
      <w:r w:rsidRPr="00D23308">
        <w:rPr>
          <w:rFonts w:eastAsia="TimesNewRoman" w:cs="Calibri"/>
          <w:color w:val="000000"/>
        </w:rPr>
        <w:t xml:space="preserve">Following multiple administrations of the </w:t>
      </w:r>
      <w:r w:rsidR="00E01F72" w:rsidRPr="00D23308">
        <w:t>film-coated</w:t>
      </w:r>
      <w:r w:rsidR="00067428" w:rsidRPr="00D23308">
        <w:t xml:space="preserve"> tablet</w:t>
      </w:r>
      <w:r w:rsidRPr="00D23308">
        <w:rPr>
          <w:rFonts w:eastAsia="TimesNewRoman" w:cs="Calibri"/>
          <w:color w:val="000000"/>
        </w:rPr>
        <w:t xml:space="preserve">, </w:t>
      </w:r>
      <w:r w:rsidR="009A2E70" w:rsidRPr="00D23308">
        <w:rPr>
          <w:rFonts w:eastAsia="TimesNewRoman" w:cs="Calibri"/>
          <w:color w:val="000000"/>
        </w:rPr>
        <w:t>estetrol</w:t>
      </w:r>
      <w:r w:rsidRPr="00D23308">
        <w:rPr>
          <w:rFonts w:eastAsia="TimesNewRoman" w:cs="Calibri"/>
          <w:color w:val="000000"/>
        </w:rPr>
        <w:t xml:space="preserve"> steady</w:t>
      </w:r>
      <w:r w:rsidR="00286A63" w:rsidRPr="00D23308">
        <w:rPr>
          <w:rFonts w:eastAsia="TimesNewRoman" w:cs="Calibri"/>
          <w:color w:val="000000"/>
        </w:rPr>
        <w:t xml:space="preserve"> </w:t>
      </w:r>
      <w:r w:rsidRPr="00D23308">
        <w:rPr>
          <w:rFonts w:eastAsia="TimesNewRoman" w:cs="Calibri"/>
          <w:color w:val="000000"/>
        </w:rPr>
        <w:t xml:space="preserve">state was achieved by the </w:t>
      </w:r>
      <w:r w:rsidR="00286A63" w:rsidRPr="00D23308">
        <w:rPr>
          <w:rFonts w:eastAsia="TimesNewRoman" w:cs="Calibri"/>
          <w:color w:val="000000"/>
        </w:rPr>
        <w:t>fifth</w:t>
      </w:r>
      <w:r w:rsidRPr="00D23308">
        <w:rPr>
          <w:rFonts w:eastAsia="TimesNewRoman" w:cs="Calibri"/>
          <w:color w:val="000000"/>
        </w:rPr>
        <w:t xml:space="preserve"> day of dosing and steady state </w:t>
      </w:r>
      <w:r w:rsidR="009A2E70" w:rsidRPr="00D23308">
        <w:rPr>
          <w:rFonts w:eastAsia="TimesNewRoman" w:cs="Calibri"/>
          <w:color w:val="000000"/>
        </w:rPr>
        <w:t>drospirenone</w:t>
      </w:r>
      <w:r w:rsidRPr="00D23308">
        <w:rPr>
          <w:rFonts w:eastAsia="TimesNewRoman" w:cs="Calibri"/>
          <w:color w:val="000000"/>
        </w:rPr>
        <w:t xml:space="preserve"> was attained following approximately 10 days of dosing. </w:t>
      </w:r>
      <w:r w:rsidRPr="00D23308">
        <w:t xml:space="preserve">The </w:t>
      </w:r>
      <w:r w:rsidR="00286A63" w:rsidRPr="00D23308">
        <w:t>geometric mean</w:t>
      </w:r>
      <w:r w:rsidRPr="00D23308">
        <w:t xml:space="preserve"> </w:t>
      </w:r>
      <w:r w:rsidR="00286A63" w:rsidRPr="00D23308">
        <w:t>accumulation ratio for the area under the concentration</w:t>
      </w:r>
      <w:r w:rsidR="00E01F72">
        <w:t>-</w:t>
      </w:r>
      <w:r w:rsidR="00286A63" w:rsidRPr="00D23308">
        <w:t xml:space="preserve">time curve </w:t>
      </w:r>
      <w:r w:rsidRPr="00D23308">
        <w:t xml:space="preserve">for </w:t>
      </w:r>
      <w:r w:rsidR="009A2E70" w:rsidRPr="00D23308">
        <w:t>estetrol</w:t>
      </w:r>
      <w:r w:rsidRPr="00D23308">
        <w:t xml:space="preserve"> was</w:t>
      </w:r>
      <w:r w:rsidRPr="00D23308">
        <w:rPr>
          <w:rFonts w:eastAsia="TimesNewRoman" w:cs="Calibri"/>
        </w:rPr>
        <w:t xml:space="preserve"> 1.62 and for </w:t>
      </w:r>
      <w:r w:rsidR="009A2E70" w:rsidRPr="00D23308">
        <w:rPr>
          <w:rFonts w:eastAsia="TimesNewRoman" w:cs="Calibri"/>
        </w:rPr>
        <w:t>drospirenone</w:t>
      </w:r>
      <w:r w:rsidRPr="00D23308">
        <w:rPr>
          <w:rFonts w:eastAsia="TimesNewRoman" w:cs="Calibri"/>
        </w:rPr>
        <w:t xml:space="preserve"> was 2.32.</w:t>
      </w:r>
    </w:p>
    <w:p w14:paraId="200E2BF4" w14:textId="52896EF8" w:rsidR="00704218" w:rsidRPr="00D23308" w:rsidRDefault="00704218" w:rsidP="00704218">
      <w:pPr>
        <w:pStyle w:val="ListBullet"/>
      </w:pPr>
      <w:r w:rsidRPr="00D23308">
        <w:t xml:space="preserve">Following oral administration of </w:t>
      </w:r>
      <w:r w:rsidR="009A2E70" w:rsidRPr="00D23308">
        <w:t>estetrol</w:t>
      </w:r>
      <w:r w:rsidRPr="00D23308">
        <w:t xml:space="preserve"> 15 mg alone or in combination with </w:t>
      </w:r>
      <w:r w:rsidR="009A2E70" w:rsidRPr="00D23308">
        <w:t>drospirenone</w:t>
      </w:r>
      <w:r w:rsidRPr="00D23308">
        <w:t xml:space="preserve">, the </w:t>
      </w:r>
      <w:r w:rsidR="00286A63" w:rsidRPr="00D23308">
        <w:t xml:space="preserve">apparent volume of distribution </w:t>
      </w:r>
      <w:r w:rsidRPr="00D23308">
        <w:t xml:space="preserve">of </w:t>
      </w:r>
      <w:r w:rsidR="009A2E70" w:rsidRPr="00D23308">
        <w:t>estetrol</w:t>
      </w:r>
      <w:r w:rsidRPr="00D23308">
        <w:t xml:space="preserve"> was high ranging from 4450 to 7460 L indicating that </w:t>
      </w:r>
      <w:r w:rsidR="009A2E70" w:rsidRPr="00D23308">
        <w:t>estetrol</w:t>
      </w:r>
      <w:r w:rsidRPr="00D23308">
        <w:t xml:space="preserve"> is widely distributed in tissues.</w:t>
      </w:r>
    </w:p>
    <w:p w14:paraId="5AB90116" w14:textId="09BAA6A1" w:rsidR="00704218" w:rsidRPr="00D23308" w:rsidRDefault="00704218" w:rsidP="00704218">
      <w:pPr>
        <w:pStyle w:val="ListBullet"/>
      </w:pPr>
      <w:r w:rsidRPr="00D23308">
        <w:t xml:space="preserve">In human plasma, </w:t>
      </w:r>
      <w:r w:rsidR="009A2E70" w:rsidRPr="00D23308">
        <w:t>estetrol</w:t>
      </w:r>
      <w:r w:rsidRPr="00D23308">
        <w:t xml:space="preserve"> plasma protein binding ranged from 45.4% to 50.4%. </w:t>
      </w:r>
      <w:r w:rsidR="009A2E70" w:rsidRPr="00D23308">
        <w:t>estetrol</w:t>
      </w:r>
      <w:r w:rsidRPr="00D23308">
        <w:t xml:space="preserve"> distribution to red blood cells was limited.</w:t>
      </w:r>
    </w:p>
    <w:p w14:paraId="066B93D8" w14:textId="11870AFF" w:rsidR="00704218" w:rsidRPr="00D23308" w:rsidRDefault="00704218" w:rsidP="00704218">
      <w:pPr>
        <w:pStyle w:val="ListBullet"/>
      </w:pPr>
      <w:r w:rsidRPr="00D23308">
        <w:lastRenderedPageBreak/>
        <w:t xml:space="preserve">Unlike other estrogens, the liver plays little role in </w:t>
      </w:r>
      <w:r w:rsidR="009A2E70" w:rsidRPr="00D23308">
        <w:t>estetrol</w:t>
      </w:r>
      <w:r w:rsidRPr="00D23308">
        <w:t xml:space="preserve"> metabolism and instead </w:t>
      </w:r>
      <w:r w:rsidR="009A2E70" w:rsidRPr="00D23308">
        <w:t>estetrol</w:t>
      </w:r>
      <w:r w:rsidRPr="00D23308">
        <w:t xml:space="preserve"> undergoes significant Phase </w:t>
      </w:r>
      <w:r w:rsidR="0080147A" w:rsidRPr="00D23308">
        <w:t>II</w:t>
      </w:r>
      <w:r w:rsidRPr="00D23308">
        <w:t xml:space="preserve"> metabolism to form glucuronide and sulphate conjugates, which have little to no estrogenic activity. Moreover, it is primarily excreted as metabolites via the urine.</w:t>
      </w:r>
    </w:p>
    <w:p w14:paraId="681379B1" w14:textId="75661249" w:rsidR="00704218" w:rsidRPr="00D23308" w:rsidRDefault="00704218" w:rsidP="00704218">
      <w:pPr>
        <w:pStyle w:val="ListBullet"/>
      </w:pPr>
      <w:r w:rsidRPr="00D23308">
        <w:t xml:space="preserve">Following administration of the </w:t>
      </w:r>
      <w:r w:rsidR="00067428" w:rsidRPr="00D23308">
        <w:t>film</w:t>
      </w:r>
      <w:r w:rsidR="00B717F4">
        <w:t>-</w:t>
      </w:r>
      <w:r w:rsidR="00067428" w:rsidRPr="00D23308">
        <w:t>coated tablet</w:t>
      </w:r>
      <w:r w:rsidRPr="00D23308">
        <w:t xml:space="preserve">, the </w:t>
      </w:r>
      <w:proofErr w:type="spellStart"/>
      <w:r w:rsidRPr="00D23308">
        <w:t>T</w:t>
      </w:r>
      <w:r w:rsidRPr="00D23308">
        <w:rPr>
          <w:vertAlign w:val="subscript"/>
        </w:rPr>
        <w:t>max</w:t>
      </w:r>
      <w:proofErr w:type="spellEnd"/>
      <w:r w:rsidRPr="00D23308">
        <w:t xml:space="preserve">, </w:t>
      </w:r>
      <w:proofErr w:type="spellStart"/>
      <w:r w:rsidRPr="00D23308">
        <w:t>C</w:t>
      </w:r>
      <w:r w:rsidRPr="00D23308">
        <w:rPr>
          <w:vertAlign w:val="subscript"/>
        </w:rPr>
        <w:t>max</w:t>
      </w:r>
      <w:proofErr w:type="spellEnd"/>
      <w:r w:rsidRPr="00D23308">
        <w:t xml:space="preserve"> and </w:t>
      </w:r>
      <w:r w:rsidR="00323F35">
        <w:t xml:space="preserve">AUC </w:t>
      </w:r>
      <w:r w:rsidR="00883522" w:rsidRPr="00D23308">
        <w:t xml:space="preserve">from time zero to infinity </w:t>
      </w:r>
      <w:r w:rsidRPr="00D23308">
        <w:t xml:space="preserve">values for </w:t>
      </w:r>
      <w:r w:rsidR="009A2E70" w:rsidRPr="00D23308">
        <w:t>estetrol</w:t>
      </w:r>
      <w:r w:rsidRPr="00D23308">
        <w:t xml:space="preserve"> were 0.5 h, 12.5 ng/mL and 76.7 ng</w:t>
      </w:r>
      <w:r w:rsidR="00EE75E2" w:rsidRPr="00D23308">
        <w:t xml:space="preserve"> </w:t>
      </w:r>
      <w:r w:rsidRPr="00D23308">
        <w:t xml:space="preserve">h/mL, respectively, the corresponding values for the </w:t>
      </w:r>
      <w:r w:rsidR="009A2E70" w:rsidRPr="00D23308">
        <w:t>estetrol</w:t>
      </w:r>
      <w:r w:rsidRPr="00D23308">
        <w:t>-3-glucuronide were 0.75 h, 44.6 ng/mL and 311 ng</w:t>
      </w:r>
      <w:r w:rsidR="00EE75E2" w:rsidRPr="00D23308">
        <w:t xml:space="preserve"> </w:t>
      </w:r>
      <w:r w:rsidRPr="00D23308">
        <w:t xml:space="preserve">h/mL, respectively and for </w:t>
      </w:r>
      <w:r w:rsidR="009A2E70" w:rsidRPr="00D23308">
        <w:t>estetrol</w:t>
      </w:r>
      <w:r w:rsidRPr="00D23308">
        <w:t>-16-glucuronide were 0.75 h, 219 ng/mL and 570</w:t>
      </w:r>
      <w:r w:rsidR="00EE75E2" w:rsidRPr="00D23308">
        <w:t> </w:t>
      </w:r>
      <w:r w:rsidRPr="00D23308">
        <w:t>ng</w:t>
      </w:r>
      <w:r w:rsidR="00EE75E2" w:rsidRPr="00D23308">
        <w:t> </w:t>
      </w:r>
      <w:r w:rsidRPr="00D23308">
        <w:t xml:space="preserve">h/mL, respectively. The glucuronide </w:t>
      </w:r>
      <w:r w:rsidR="009A2E70" w:rsidRPr="00D23308">
        <w:t>estetrol</w:t>
      </w:r>
      <w:r w:rsidRPr="00D23308">
        <w:t xml:space="preserve"> metabolites demonstrated </w:t>
      </w:r>
      <w:proofErr w:type="gramStart"/>
      <w:r w:rsidRPr="00D23308">
        <w:t>409 to 3793</w:t>
      </w:r>
      <w:r w:rsidR="00EE75E2" w:rsidRPr="00D23308">
        <w:t> </w:t>
      </w:r>
      <w:r w:rsidRPr="00D23308">
        <w:t>fold</w:t>
      </w:r>
      <w:proofErr w:type="gramEnd"/>
      <w:r w:rsidRPr="00D23308">
        <w:t xml:space="preserve"> lower potency than </w:t>
      </w:r>
      <w:r w:rsidR="009A2E70" w:rsidRPr="00D23308">
        <w:t>estetrol</w:t>
      </w:r>
      <w:r w:rsidRPr="00D23308">
        <w:t xml:space="preserve"> at </w:t>
      </w:r>
      <w:r w:rsidR="00EE75E2" w:rsidRPr="00D23308">
        <w:t>estrogen receptor</w:t>
      </w:r>
      <w:r w:rsidR="000451AA">
        <w:noBreakHyphen/>
      </w:r>
      <w:r w:rsidR="00E01F72">
        <w:t xml:space="preserve">alpha and </w:t>
      </w:r>
      <w:r w:rsidR="000451AA">
        <w:noBreakHyphen/>
      </w:r>
      <w:r w:rsidR="00E01F72">
        <w:t>beta (ER</w:t>
      </w:r>
      <w:r w:rsidRPr="00D23308">
        <w:t>α</w:t>
      </w:r>
      <w:r w:rsidR="00E01F72">
        <w:t xml:space="preserve">, </w:t>
      </w:r>
      <w:r w:rsidRPr="00D23308">
        <w:t>ERβ</w:t>
      </w:r>
      <w:r w:rsidR="00E01F72">
        <w:t>)</w:t>
      </w:r>
      <w:r w:rsidRPr="00D23308">
        <w:t>.</w:t>
      </w:r>
    </w:p>
    <w:p w14:paraId="4E306C4B" w14:textId="7D3C88C9" w:rsidR="00704218" w:rsidRPr="00D23308" w:rsidRDefault="00704218" w:rsidP="00704218">
      <w:pPr>
        <w:pStyle w:val="ListBullet"/>
      </w:pPr>
      <w:r w:rsidRPr="00D23308">
        <w:t xml:space="preserve">Following a single oral dose of </w:t>
      </w:r>
      <w:r w:rsidR="009A2E70" w:rsidRPr="00D23308">
        <w:t>[</w:t>
      </w:r>
      <w:r w:rsidR="00883522" w:rsidRPr="00D23308">
        <w:rPr>
          <w:vertAlign w:val="superscript"/>
        </w:rPr>
        <w:t>14</w:t>
      </w:r>
      <w:r w:rsidR="00883522" w:rsidRPr="00D23308">
        <w:t>C</w:t>
      </w:r>
      <w:r w:rsidR="009A2E70" w:rsidRPr="00D23308">
        <w:t>]</w:t>
      </w:r>
      <w:r w:rsidRPr="00D23308">
        <w:t>-</w:t>
      </w:r>
      <w:r w:rsidR="009A2E70" w:rsidRPr="00D23308">
        <w:t>estetrol</w:t>
      </w:r>
      <w:r w:rsidRPr="00D23308">
        <w:t xml:space="preserve"> 15 mg, 90.85% of the total administered dose of radioactivity was recovered up to 312 h post-dose, with 68.97% of radioactivity identified in the urine and a further 21.88% in faeces. Although the parent compound </w:t>
      </w:r>
      <w:r w:rsidR="009A2E70" w:rsidRPr="00D23308">
        <w:t>estetrol</w:t>
      </w:r>
      <w:r w:rsidRPr="00D23308">
        <w:t xml:space="preserve"> was not present in the urine, </w:t>
      </w:r>
      <w:proofErr w:type="gramStart"/>
      <w:r w:rsidRPr="00D23308">
        <w:t>both of the glucuronide</w:t>
      </w:r>
      <w:proofErr w:type="gramEnd"/>
      <w:r w:rsidR="00EE75E2" w:rsidRPr="00D23308">
        <w:t xml:space="preserve"> </w:t>
      </w:r>
      <w:r w:rsidRPr="00D23308">
        <w:t xml:space="preserve">isomers and the </w:t>
      </w:r>
      <w:proofErr w:type="spellStart"/>
      <w:r w:rsidR="009A2E70" w:rsidRPr="00D23308">
        <w:t>estetrol</w:t>
      </w:r>
      <w:proofErr w:type="spellEnd"/>
      <w:r w:rsidR="00EE75E2" w:rsidRPr="00D23308">
        <w:t xml:space="preserve"> </w:t>
      </w:r>
      <w:r w:rsidRPr="00D23308">
        <w:t>glucuronide</w:t>
      </w:r>
      <w:r w:rsidR="00EE75E2" w:rsidRPr="00D23308">
        <w:t xml:space="preserve"> </w:t>
      </w:r>
      <w:proofErr w:type="spellStart"/>
      <w:r w:rsidRPr="00D23308">
        <w:t>sulfate</w:t>
      </w:r>
      <w:proofErr w:type="spellEnd"/>
      <w:r w:rsidR="00EE75E2" w:rsidRPr="00D23308">
        <w:t xml:space="preserve"> </w:t>
      </w:r>
      <w:r w:rsidRPr="00D23308">
        <w:t xml:space="preserve">conjugate metabolites could be detected. </w:t>
      </w:r>
      <w:proofErr w:type="gramStart"/>
      <w:r w:rsidRPr="00D23308">
        <w:t>Whereas,</w:t>
      </w:r>
      <w:proofErr w:type="gramEnd"/>
      <w:r w:rsidRPr="00D23308">
        <w:t xml:space="preserve"> unchanged </w:t>
      </w:r>
      <w:r w:rsidR="009A2E70" w:rsidRPr="00D23308">
        <w:t>estetrol</w:t>
      </w:r>
      <w:r w:rsidRPr="00D23308">
        <w:t xml:space="preserve"> was only identified in the faeces.</w:t>
      </w:r>
    </w:p>
    <w:p w14:paraId="32B74FCA" w14:textId="62450E9E" w:rsidR="00704218" w:rsidRPr="00D23308" w:rsidRDefault="009A2E70" w:rsidP="00704218">
      <w:pPr>
        <w:pStyle w:val="ListBullet"/>
      </w:pPr>
      <w:r w:rsidRPr="00D23308">
        <w:t>Estetrol</w:t>
      </w:r>
      <w:r w:rsidR="00704218" w:rsidRPr="00D23308">
        <w:t xml:space="preserve"> </w:t>
      </w:r>
      <w:r w:rsidR="00DE13E9">
        <w:t>r</w:t>
      </w:r>
      <w:r w:rsidR="00DE13E9" w:rsidRPr="00DE13E9">
        <w:t xml:space="preserve">enal clearance </w:t>
      </w:r>
      <w:r w:rsidR="00704218" w:rsidRPr="00D23308">
        <w:t xml:space="preserve">following a single oral dose of </w:t>
      </w:r>
      <w:r w:rsidRPr="00D23308">
        <w:t>[</w:t>
      </w:r>
      <w:r w:rsidR="00883522" w:rsidRPr="00D23308">
        <w:rPr>
          <w:vertAlign w:val="superscript"/>
        </w:rPr>
        <w:t>14</w:t>
      </w:r>
      <w:r w:rsidR="00883522" w:rsidRPr="00D23308">
        <w:t>C</w:t>
      </w:r>
      <w:r w:rsidRPr="00D23308">
        <w:t>]</w:t>
      </w:r>
      <w:r w:rsidR="00704218" w:rsidRPr="00D23308">
        <w:t>-</w:t>
      </w:r>
      <w:r w:rsidRPr="00D23308">
        <w:t>estetrol</w:t>
      </w:r>
      <w:r w:rsidR="00704218" w:rsidRPr="00D23308">
        <w:t xml:space="preserve"> 15 mg was estimated to be 8.1</w:t>
      </w:r>
      <w:r w:rsidR="00EE75E2" w:rsidRPr="00D23308">
        <w:t> </w:t>
      </w:r>
      <w:r w:rsidR="00704218" w:rsidRPr="00D23308">
        <w:t>mL/min.</w:t>
      </w:r>
    </w:p>
    <w:p w14:paraId="3D7CCA5B" w14:textId="77777777" w:rsidR="00704218" w:rsidRPr="00D23308" w:rsidRDefault="00704218" w:rsidP="00AD40F0">
      <w:pPr>
        <w:pStyle w:val="Heading6"/>
      </w:pPr>
      <w:r w:rsidRPr="00D23308">
        <w:t>Variability</w:t>
      </w:r>
    </w:p>
    <w:p w14:paraId="776BD3F4" w14:textId="790009A4" w:rsidR="00704218" w:rsidRPr="00D23308" w:rsidRDefault="00704218" w:rsidP="00704218">
      <w:pPr>
        <w:pStyle w:val="ListBullet"/>
      </w:pPr>
      <w:r w:rsidRPr="00D23308">
        <w:t xml:space="preserve">The estimated inter-individual variability on </w:t>
      </w:r>
      <w:r w:rsidR="009A2E70" w:rsidRPr="00D23308">
        <w:t>estetrol</w:t>
      </w:r>
      <w:r w:rsidRPr="00D23308">
        <w:t xml:space="preserve"> </w:t>
      </w:r>
      <w:r w:rsidR="00AD40F0" w:rsidRPr="00D23308">
        <w:t>fractional clearance</w:t>
      </w:r>
      <w:r w:rsidRPr="00D23308">
        <w:t xml:space="preserve">, </w:t>
      </w:r>
      <w:r w:rsidR="00363C76" w:rsidRPr="00363C76">
        <w:t>apparent</w:t>
      </w:r>
      <w:r w:rsidR="00363C76">
        <w:t xml:space="preserve"> volume</w:t>
      </w:r>
      <w:r w:rsidRPr="00D23308">
        <w:t xml:space="preserve"> and </w:t>
      </w:r>
      <w:r w:rsidR="00363C76" w:rsidRPr="00363C76">
        <w:t>absorption rate constant</w:t>
      </w:r>
      <w:r w:rsidR="00363C76">
        <w:t xml:space="preserve"> </w:t>
      </w:r>
      <w:r w:rsidRPr="00D23308">
        <w:t xml:space="preserve">was 54.5%, 51.7% and 1.07%, respectively and an inter-occasion variability on </w:t>
      </w:r>
      <w:r w:rsidR="009A2E70" w:rsidRPr="00D23308">
        <w:t>estetrol</w:t>
      </w:r>
      <w:r w:rsidRPr="00D23308">
        <w:t xml:space="preserve"> </w:t>
      </w:r>
      <w:r w:rsidR="00AD40F0" w:rsidRPr="00D23308">
        <w:t>relative bioavailability</w:t>
      </w:r>
      <w:r w:rsidRPr="00D23308">
        <w:t xml:space="preserve"> was 66.5%.</w:t>
      </w:r>
    </w:p>
    <w:p w14:paraId="7EAF421B" w14:textId="77777777" w:rsidR="00704218" w:rsidRPr="00D23308" w:rsidRDefault="00704218" w:rsidP="00AD40F0">
      <w:pPr>
        <w:pStyle w:val="Heading6"/>
      </w:pPr>
      <w:r w:rsidRPr="00D23308">
        <w:t>Special populations</w:t>
      </w:r>
    </w:p>
    <w:p w14:paraId="2487F96D" w14:textId="4D3C9C6D" w:rsidR="00704218" w:rsidRPr="00D23308" w:rsidRDefault="00704218" w:rsidP="00704218">
      <w:pPr>
        <w:pStyle w:val="ListBullet"/>
      </w:pPr>
      <w:r w:rsidRPr="00D23308">
        <w:t xml:space="preserve">No studies were conducted to evaluate the effect of renal or hepatic disease on the PK of </w:t>
      </w:r>
      <w:r w:rsidR="009A2E70" w:rsidRPr="00D23308">
        <w:t>estetrol</w:t>
      </w:r>
      <w:r w:rsidRPr="00D23308">
        <w:t xml:space="preserve">. </w:t>
      </w:r>
      <w:r w:rsidR="007F3AB9">
        <w:t>E</w:t>
      </w:r>
      <w:r w:rsidR="009A2E70" w:rsidRPr="00D23308">
        <w:t>stetrol</w:t>
      </w:r>
      <w:r w:rsidRPr="00D23308">
        <w:t>/</w:t>
      </w:r>
      <w:r w:rsidR="009A2E70" w:rsidRPr="00D23308">
        <w:t>drospirenone</w:t>
      </w:r>
      <w:r w:rsidRPr="00D23308">
        <w:t xml:space="preserve"> is contraindicated in subjects with severe renal impairment and liver disease.</w:t>
      </w:r>
    </w:p>
    <w:p w14:paraId="0F788891" w14:textId="2949DD3D" w:rsidR="00704218" w:rsidRPr="00D23308" w:rsidRDefault="00704218" w:rsidP="00704218">
      <w:pPr>
        <w:pStyle w:val="ListBullet"/>
      </w:pPr>
      <w:r w:rsidRPr="00D23308">
        <w:t xml:space="preserve">Race, smoking </w:t>
      </w:r>
      <w:proofErr w:type="gramStart"/>
      <w:r w:rsidR="007F3AB9">
        <w:t>s</w:t>
      </w:r>
      <w:r w:rsidRPr="00D23308">
        <w:t>tatus</w:t>
      </w:r>
      <w:proofErr w:type="gramEnd"/>
      <w:r w:rsidRPr="00D23308">
        <w:t xml:space="preserve"> and body weight appeared to have little effect on </w:t>
      </w:r>
      <w:r w:rsidR="009A2E70" w:rsidRPr="00D23308">
        <w:t>estetrol</w:t>
      </w:r>
      <w:r w:rsidRPr="00D23308">
        <w:t xml:space="preserve"> PK.</w:t>
      </w:r>
    </w:p>
    <w:p w14:paraId="1E1BDE79" w14:textId="63FE102D" w:rsidR="00704218" w:rsidRPr="00D23308" w:rsidRDefault="00AD40F0" w:rsidP="00AD40F0">
      <w:pPr>
        <w:pStyle w:val="Heading6"/>
      </w:pPr>
      <w:r w:rsidRPr="00D23308">
        <w:t>Pharmacokinetic i</w:t>
      </w:r>
      <w:r w:rsidR="00704218" w:rsidRPr="00D23308">
        <w:t>nteractions</w:t>
      </w:r>
    </w:p>
    <w:p w14:paraId="2E32797C" w14:textId="0B8C9C36" w:rsidR="00704218" w:rsidRPr="00D23308" w:rsidRDefault="00AD40F0" w:rsidP="00704218">
      <w:pPr>
        <w:pStyle w:val="ListBullet"/>
      </w:pPr>
      <w:r w:rsidRPr="00D23308">
        <w:t xml:space="preserve">Estetrol </w:t>
      </w:r>
      <w:r w:rsidR="00704218" w:rsidRPr="00D23308">
        <w:t xml:space="preserve">exposure was similar in the presence and absence of </w:t>
      </w:r>
      <w:r w:rsidR="009A2E70" w:rsidRPr="00D23308">
        <w:t>drospirenone</w:t>
      </w:r>
      <w:r w:rsidR="007F3AB9">
        <w:t>.</w:t>
      </w:r>
    </w:p>
    <w:p w14:paraId="616B665B" w14:textId="2574C393" w:rsidR="00704218" w:rsidRPr="00D23308" w:rsidRDefault="00AD40F0" w:rsidP="00704218">
      <w:pPr>
        <w:pStyle w:val="ListBullet"/>
      </w:pPr>
      <w:proofErr w:type="spellStart"/>
      <w:r>
        <w:t>Estetrol</w:t>
      </w:r>
      <w:proofErr w:type="spellEnd"/>
      <w:r>
        <w:t xml:space="preserve"> </w:t>
      </w:r>
      <w:proofErr w:type="spellStart"/>
      <w:r w:rsidR="00286A63">
        <w:t>C</w:t>
      </w:r>
      <w:r w:rsidR="00286A63" w:rsidRPr="0FE85717">
        <w:rPr>
          <w:vertAlign w:val="subscript"/>
        </w:rPr>
        <w:t>max</w:t>
      </w:r>
      <w:proofErr w:type="spellEnd"/>
      <w:r w:rsidR="00704218">
        <w:t xml:space="preserve"> and AUC were significantly increased following co-administration of the </w:t>
      </w:r>
      <w:r w:rsidR="00067428">
        <w:t>film</w:t>
      </w:r>
      <w:r w:rsidR="007F3AB9">
        <w:t>-</w:t>
      </w:r>
      <w:r w:rsidR="00067428">
        <w:t>coated tablet</w:t>
      </w:r>
      <w:r w:rsidR="00704218">
        <w:t xml:space="preserve"> with </w:t>
      </w:r>
      <w:r w:rsidR="007F3AB9">
        <w:t>v</w:t>
      </w:r>
      <w:r w:rsidR="00704218">
        <w:t xml:space="preserve">alproic acid compared to when it was administered alone, with increases in adjusted </w:t>
      </w:r>
      <w:r w:rsidR="00286A63">
        <w:t>geometric mean</w:t>
      </w:r>
      <w:r w:rsidR="00704218">
        <w:t xml:space="preserve">s of approximately 36%, 25% and 13% for </w:t>
      </w:r>
      <w:proofErr w:type="spellStart"/>
      <w:r w:rsidR="00286A63">
        <w:t>C</w:t>
      </w:r>
      <w:r w:rsidR="00286A63" w:rsidRPr="0FE85717">
        <w:rPr>
          <w:vertAlign w:val="subscript"/>
        </w:rPr>
        <w:t>max</w:t>
      </w:r>
      <w:proofErr w:type="spellEnd"/>
      <w:r w:rsidR="00704218">
        <w:t xml:space="preserve">, </w:t>
      </w:r>
      <w:r w:rsidR="00523A38">
        <w:t xml:space="preserve">area under the plasma concentration versus </w:t>
      </w:r>
      <w:r w:rsidR="00323F35">
        <w:t>AUC to the last measured dose, and AUC to infinity</w:t>
      </w:r>
      <w:r w:rsidR="00704218">
        <w:t xml:space="preserve">, respectively. By contrast, co-administration of </w:t>
      </w:r>
      <w:r w:rsidR="009A2E70">
        <w:t>drospirenone</w:t>
      </w:r>
      <w:r w:rsidR="00704218">
        <w:t xml:space="preserve"> with </w:t>
      </w:r>
      <w:r>
        <w:t xml:space="preserve">valproic acid </w:t>
      </w:r>
      <w:r w:rsidR="00704218">
        <w:t xml:space="preserve">did not affect </w:t>
      </w:r>
      <w:r w:rsidR="009A2E70">
        <w:t>drospirenone</w:t>
      </w:r>
      <w:r w:rsidR="00704218">
        <w:t xml:space="preserve"> PK.</w:t>
      </w:r>
    </w:p>
    <w:p w14:paraId="7042A8DE" w14:textId="48537C8C" w:rsidR="00704218" w:rsidRPr="00D23308" w:rsidRDefault="296676D1" w:rsidP="00704218">
      <w:pPr>
        <w:pStyle w:val="ListBullet"/>
      </w:pPr>
      <w:r w:rsidRPr="1477BE3D">
        <w:rPr>
          <w:i/>
          <w:iCs/>
        </w:rPr>
        <w:t>In vitro</w:t>
      </w:r>
      <w:r>
        <w:t xml:space="preserve"> studies indicated that </w:t>
      </w:r>
      <w:r w:rsidR="711AD1DB">
        <w:t>estetrol</w:t>
      </w:r>
      <w:r>
        <w:t xml:space="preserve"> was a weak inhibitor of CYP3A4, </w:t>
      </w:r>
      <w:proofErr w:type="gramStart"/>
      <w:r>
        <w:t>whereas,</w:t>
      </w:r>
      <w:proofErr w:type="gramEnd"/>
      <w:r>
        <w:t xml:space="preserve"> it did not inhibit CYP1A2, CYP2B6, CYP2C8, CYP2C9, CYP2C19, CYP2D6 and CYP2E1.</w:t>
      </w:r>
      <w:r w:rsidR="007F3AB9" w:rsidRPr="00145304">
        <w:rPr>
          <w:vertAlign w:val="superscript"/>
        </w:rPr>
        <w:fldChar w:fldCharType="begin"/>
      </w:r>
      <w:r w:rsidR="007F3AB9" w:rsidRPr="00145304">
        <w:rPr>
          <w:vertAlign w:val="superscript"/>
        </w:rPr>
        <w:instrText xml:space="preserve"> NOTEREF _Ref108117555 \h </w:instrText>
      </w:r>
      <w:r w:rsidR="007F3AB9">
        <w:rPr>
          <w:vertAlign w:val="superscript"/>
        </w:rPr>
        <w:instrText xml:space="preserve"> \* MERGEFORMAT </w:instrText>
      </w:r>
      <w:r w:rsidR="007F3AB9" w:rsidRPr="00145304">
        <w:rPr>
          <w:vertAlign w:val="superscript"/>
        </w:rPr>
      </w:r>
      <w:r w:rsidR="007F3AB9" w:rsidRPr="00145304">
        <w:rPr>
          <w:vertAlign w:val="superscript"/>
        </w:rPr>
        <w:fldChar w:fldCharType="separate"/>
      </w:r>
      <w:r w:rsidR="005319AF">
        <w:rPr>
          <w:vertAlign w:val="superscript"/>
        </w:rPr>
        <w:t>11</w:t>
      </w:r>
      <w:r w:rsidR="007F3AB9" w:rsidRPr="00145304">
        <w:rPr>
          <w:vertAlign w:val="superscript"/>
        </w:rPr>
        <w:fldChar w:fldCharType="end"/>
      </w:r>
      <w:r>
        <w:t xml:space="preserve"> In addition, </w:t>
      </w:r>
      <w:proofErr w:type="spellStart"/>
      <w:r w:rsidR="711AD1DB">
        <w:t>estetrol</w:t>
      </w:r>
      <w:proofErr w:type="spellEnd"/>
      <w:r>
        <w:t xml:space="preserve"> displayed no clinically relevant inhibition of </w:t>
      </w:r>
      <w:r w:rsidR="26B8779B">
        <w:t xml:space="preserve">uridine diphosphate </w:t>
      </w:r>
      <w:proofErr w:type="spellStart"/>
      <w:r w:rsidR="26B8779B">
        <w:t>glucuronyltransferase</w:t>
      </w:r>
      <w:proofErr w:type="spellEnd"/>
      <w:r>
        <w:t xml:space="preserve">, </w:t>
      </w:r>
      <w:r w:rsidR="26B8779B">
        <w:t>P-glycoprotein</w:t>
      </w:r>
      <w:r>
        <w:t xml:space="preserve"> or </w:t>
      </w:r>
      <w:r w:rsidR="26B8779B">
        <w:t>breast cancer resistance protein</w:t>
      </w:r>
      <w:r>
        <w:t xml:space="preserve">. </w:t>
      </w:r>
      <w:r w:rsidR="007F3AB9">
        <w:t>E</w:t>
      </w:r>
      <w:r w:rsidR="711AD1DB">
        <w:t>stetrol</w:t>
      </w:r>
      <w:r>
        <w:t xml:space="preserve"> did not induce CYP1A2, </w:t>
      </w:r>
      <w:r w:rsidR="26B8779B">
        <w:t>CYP</w:t>
      </w:r>
      <w:r>
        <w:t xml:space="preserve">2B6 or </w:t>
      </w:r>
      <w:r w:rsidR="26B8779B">
        <w:t>CYP</w:t>
      </w:r>
      <w:r>
        <w:t>3A4 in human hepatocytes.</w:t>
      </w:r>
    </w:p>
    <w:p w14:paraId="4855377F" w14:textId="5EA6C51F" w:rsidR="00704218" w:rsidRPr="00D23308" w:rsidRDefault="00704218" w:rsidP="00704218">
      <w:pPr>
        <w:pStyle w:val="ListBullet"/>
      </w:pPr>
      <w:r w:rsidRPr="00D23308">
        <w:t>The proposed</w:t>
      </w:r>
      <w:r w:rsidR="00AD40F0" w:rsidRPr="00D23308">
        <w:t xml:space="preserve"> </w:t>
      </w:r>
      <w:r w:rsidRPr="00D23308">
        <w:t xml:space="preserve">PI appears to accurately describe the results of the PK studies undertaken with </w:t>
      </w:r>
      <w:r w:rsidR="009A2E70" w:rsidRPr="00D23308">
        <w:t>estetrol</w:t>
      </w:r>
      <w:r w:rsidRPr="00D23308">
        <w:t xml:space="preserve"> and the </w:t>
      </w:r>
      <w:r w:rsidR="009A2E70" w:rsidRPr="00D23308">
        <w:t>estetrol</w:t>
      </w:r>
      <w:r w:rsidRPr="00D23308">
        <w:t>/</w:t>
      </w:r>
      <w:r w:rsidR="009A2E70" w:rsidRPr="00D23308">
        <w:t>drospirenone</w:t>
      </w:r>
      <w:r w:rsidRPr="00D23308">
        <w:t xml:space="preserve"> combination.</w:t>
      </w:r>
    </w:p>
    <w:p w14:paraId="083EDDE1" w14:textId="52226D94" w:rsidR="00704218" w:rsidRPr="00D23308" w:rsidRDefault="00704218" w:rsidP="00704218">
      <w:pPr>
        <w:pStyle w:val="Heading5"/>
      </w:pPr>
      <w:r w:rsidRPr="00D23308">
        <w:t xml:space="preserve">Population </w:t>
      </w:r>
      <w:r w:rsidR="00AD40F0" w:rsidRPr="00D23308">
        <w:t>pha</w:t>
      </w:r>
      <w:r w:rsidR="00B81261">
        <w:t>r</w:t>
      </w:r>
      <w:r w:rsidR="00AD40F0" w:rsidRPr="00D23308">
        <w:t>macok</w:t>
      </w:r>
      <w:r w:rsidR="009D74F1">
        <w:t>i</w:t>
      </w:r>
      <w:r w:rsidR="00AD40F0" w:rsidRPr="00D23308">
        <w:t>netic</w:t>
      </w:r>
      <w:r w:rsidRPr="00D23308">
        <w:t xml:space="preserve"> data</w:t>
      </w:r>
    </w:p>
    <w:p w14:paraId="6ED2B2F0" w14:textId="32AE9D1D" w:rsidR="00704218" w:rsidRPr="00D23308" w:rsidRDefault="00704218" w:rsidP="00704218">
      <w:r w:rsidRPr="00D23308">
        <w:t xml:space="preserve">An exploratory model based on an approximation to a two-compartment model with first order absorption was used to describe </w:t>
      </w:r>
      <w:r w:rsidR="009A2E70" w:rsidRPr="00D23308">
        <w:t>estetrol</w:t>
      </w:r>
      <w:r w:rsidRPr="00D23308">
        <w:t xml:space="preserve"> PK based on the results of </w:t>
      </w:r>
      <w:r w:rsidR="007F3AB9" w:rsidRPr="00D23308">
        <w:t>three</w:t>
      </w:r>
      <w:r w:rsidRPr="00D23308">
        <w:t xml:space="preserve"> clinical </w:t>
      </w:r>
      <w:r w:rsidRPr="00D23308">
        <w:lastRenderedPageBreak/>
        <w:t xml:space="preserve">trials; however, possibly </w:t>
      </w:r>
      <w:proofErr w:type="gramStart"/>
      <w:r w:rsidRPr="00D23308">
        <w:t>as a result of</w:t>
      </w:r>
      <w:proofErr w:type="gramEnd"/>
      <w:r w:rsidRPr="00D23308">
        <w:t xml:space="preserve"> </w:t>
      </w:r>
      <w:r w:rsidR="00AD40F0" w:rsidRPr="00D23308">
        <w:t>entero-hepatic recirculation</w:t>
      </w:r>
      <w:r w:rsidRPr="00D23308">
        <w:t xml:space="preserve">, a reliable </w:t>
      </w:r>
      <w:r w:rsidR="00AD40F0" w:rsidRPr="00D23308">
        <w:t>population pharmacokinetic (</w:t>
      </w:r>
      <w:proofErr w:type="spellStart"/>
      <w:r w:rsidRPr="00D23308">
        <w:t>popPK</w:t>
      </w:r>
      <w:proofErr w:type="spellEnd"/>
      <w:r w:rsidR="00AD40F0" w:rsidRPr="00D23308">
        <w:t>)</w:t>
      </w:r>
      <w:r w:rsidRPr="00D23308">
        <w:t xml:space="preserve"> model could not be generated.</w:t>
      </w:r>
    </w:p>
    <w:p w14:paraId="242795DA" w14:textId="0609C779" w:rsidR="00704218" w:rsidRPr="00D23308" w:rsidRDefault="00704218" w:rsidP="00704218">
      <w:pPr>
        <w:pStyle w:val="Heading5"/>
      </w:pPr>
      <w:r w:rsidRPr="00D23308">
        <w:t>Pharmacodynamics</w:t>
      </w:r>
    </w:p>
    <w:p w14:paraId="1DAC9EFE" w14:textId="6A86065A" w:rsidR="00704218" w:rsidRPr="00D23308" w:rsidRDefault="00AD40F0" w:rsidP="00704218">
      <w:r w:rsidRPr="00D23308">
        <w:t xml:space="preserve">Combined oral contraceptives </w:t>
      </w:r>
      <w:r w:rsidR="00704218" w:rsidRPr="00D23308">
        <w:t>prevent pregnancy primarily by suppressing ovulation.</w:t>
      </w:r>
    </w:p>
    <w:p w14:paraId="025C451A" w14:textId="05FF2B20" w:rsidR="00704218" w:rsidRPr="00D23308" w:rsidRDefault="00704218" w:rsidP="0096551F">
      <w:pPr>
        <w:pStyle w:val="Heading6"/>
      </w:pPr>
      <w:r w:rsidRPr="00D23308">
        <w:t xml:space="preserve">Primary </w:t>
      </w:r>
      <w:r w:rsidR="00AD40F0" w:rsidRPr="00D23308">
        <w:t>pharmacodynamics</w:t>
      </w:r>
    </w:p>
    <w:p w14:paraId="28D3AD38" w14:textId="0097D5A7" w:rsidR="00704218" w:rsidRPr="00D23308" w:rsidRDefault="00704218" w:rsidP="00704218">
      <w:pPr>
        <w:pStyle w:val="ListBullet"/>
      </w:pPr>
      <w:r>
        <w:t xml:space="preserve">Following the </w:t>
      </w:r>
      <w:r w:rsidR="00AD40F0">
        <w:t>first c</w:t>
      </w:r>
      <w:r>
        <w:t xml:space="preserve">ycle of treatment with </w:t>
      </w:r>
      <w:r w:rsidR="00286A63">
        <w:t>15 mg estetrol/3 mg drospirenone</w:t>
      </w:r>
      <w:r>
        <w:t xml:space="preserve">, ovulation was inhibited in healthy female subjects aged 18 to 35 years as evidenced by a decrease in Hoogland scores </w:t>
      </w:r>
      <w:r w:rsidR="007F3AB9">
        <w:t xml:space="preserve">(a measure of ovulation inhibition) </w:t>
      </w:r>
      <w:r>
        <w:t>compared to pre</w:t>
      </w:r>
      <w:r w:rsidR="007F3AB9">
        <w:noBreakHyphen/>
      </w:r>
      <w:r>
        <w:t xml:space="preserve">treatment, a decrease in maximum follicle size and frequency and slightly lower LH and </w:t>
      </w:r>
      <w:r w:rsidR="00AD40F0">
        <w:t>F</w:t>
      </w:r>
      <w:r>
        <w:t>SH levels.</w:t>
      </w:r>
    </w:p>
    <w:p w14:paraId="5BA90EB8" w14:textId="309F63E9" w:rsidR="00704218" w:rsidRPr="00D23308" w:rsidRDefault="00704218" w:rsidP="00704218">
      <w:pPr>
        <w:pStyle w:val="ListBullet"/>
      </w:pPr>
      <w:r w:rsidRPr="00D23308">
        <w:t>In contrast, to the pre-treatment and post-treatment cycles, mean endometrial thickness was constant following both active treatments and below 5</w:t>
      </w:r>
      <w:r w:rsidR="00AD40F0" w:rsidRPr="00D23308">
        <w:t> </w:t>
      </w:r>
      <w:r w:rsidRPr="00D23308">
        <w:t>mm.</w:t>
      </w:r>
    </w:p>
    <w:p w14:paraId="7FA67D5C" w14:textId="31CF55A2" w:rsidR="00704218" w:rsidRPr="00D23308" w:rsidRDefault="00704218" w:rsidP="00704218">
      <w:pPr>
        <w:pStyle w:val="ListBullet"/>
      </w:pPr>
      <w:r w:rsidRPr="00D23308">
        <w:t xml:space="preserve">Most subjects recommenced ovulation between 12 and 15 days after the last active tablet intake of </w:t>
      </w:r>
      <w:r w:rsidR="009A2E70" w:rsidRPr="00D23308">
        <w:t>estetrol</w:t>
      </w:r>
      <w:r w:rsidRPr="00D23308">
        <w:t>/</w:t>
      </w:r>
      <w:r w:rsidR="009A2E70" w:rsidRPr="00D23308">
        <w:t>drospirenone</w:t>
      </w:r>
      <w:r w:rsidRPr="00D23308">
        <w:t xml:space="preserve">, whereas, ovulation recommenced generally later, at 15 and 18 days, following the last active tablet dose of </w:t>
      </w:r>
      <w:r w:rsidR="009A2E70" w:rsidRPr="00D23308">
        <w:t>estetrol</w:t>
      </w:r>
      <w:r w:rsidRPr="00D23308">
        <w:t>/</w:t>
      </w:r>
      <w:r w:rsidR="009A2E70" w:rsidRPr="00D23308">
        <w:t>drospirenone</w:t>
      </w:r>
      <w:r w:rsidRPr="00D23308">
        <w:t>.</w:t>
      </w:r>
    </w:p>
    <w:p w14:paraId="31242E6E" w14:textId="091B0D9A" w:rsidR="00704218" w:rsidRPr="00D23308" w:rsidRDefault="00704218" w:rsidP="0096551F">
      <w:pPr>
        <w:pStyle w:val="Heading6"/>
      </w:pPr>
      <w:r w:rsidRPr="00D23308">
        <w:t>Concentration</w:t>
      </w:r>
      <w:r w:rsidR="00A83CAC" w:rsidRPr="00D23308">
        <w:t xml:space="preserve"> and </w:t>
      </w:r>
      <w:r w:rsidRPr="00D23308">
        <w:t>effect</w:t>
      </w:r>
    </w:p>
    <w:p w14:paraId="5415FD1D" w14:textId="43113A38" w:rsidR="00704218" w:rsidRPr="00D23308" w:rsidRDefault="00A83CAC" w:rsidP="00704218">
      <w:pPr>
        <w:pStyle w:val="ListBullet"/>
      </w:pPr>
      <w:r w:rsidRPr="00D23308">
        <w:t xml:space="preserve">Estetrol </w:t>
      </w:r>
      <w:r w:rsidR="00704218" w:rsidRPr="00D23308">
        <w:t>induced a clear dose</w:t>
      </w:r>
      <w:r w:rsidRPr="00D23308">
        <w:t xml:space="preserve"> </w:t>
      </w:r>
      <w:r w:rsidR="00704218" w:rsidRPr="00D23308">
        <w:t xml:space="preserve">dependent inhibition of plasma LH and FSH following single and multiple doses in healthy post-menopausal women. By contrast, following </w:t>
      </w:r>
      <w:r w:rsidRPr="00D23308">
        <w:t>Once daily</w:t>
      </w:r>
      <w:r w:rsidR="00704218" w:rsidRPr="00D23308">
        <w:t xml:space="preserve"> doses of 10 mg or 20 mg </w:t>
      </w:r>
      <w:r w:rsidR="009A2E70" w:rsidRPr="00D23308">
        <w:t>estetrol</w:t>
      </w:r>
      <w:r w:rsidR="00704218" w:rsidRPr="00D23308">
        <w:t xml:space="preserve"> in healthy women aged 18 to 40 years, both LH and FSH levels increased.</w:t>
      </w:r>
    </w:p>
    <w:p w14:paraId="6A9C227D" w14:textId="57E41C2F" w:rsidR="00704218" w:rsidRPr="00D23308" w:rsidRDefault="00704218" w:rsidP="0096551F">
      <w:pPr>
        <w:pStyle w:val="Heading6"/>
      </w:pPr>
      <w:r w:rsidRPr="00D23308">
        <w:t xml:space="preserve">Secondary </w:t>
      </w:r>
      <w:proofErr w:type="spellStart"/>
      <w:r w:rsidR="00A83CAC" w:rsidRPr="00D23308">
        <w:t>phamacodynamics</w:t>
      </w:r>
      <w:proofErr w:type="spellEnd"/>
    </w:p>
    <w:p w14:paraId="02E41744" w14:textId="651A1FBF" w:rsidR="00704218" w:rsidRPr="00D23308" w:rsidRDefault="00704218" w:rsidP="00704218">
      <w:pPr>
        <w:pStyle w:val="ListBullet"/>
      </w:pPr>
      <w:r w:rsidRPr="00D23308">
        <w:t>Multiple therapeutic (</w:t>
      </w:r>
      <w:r w:rsidR="00286A63" w:rsidRPr="00D23308">
        <w:t>15 mg estetrol/3 mg drospirenone</w:t>
      </w:r>
      <w:r w:rsidRPr="00D23308">
        <w:t>) and supratherapeutic-doses (</w:t>
      </w:r>
      <w:r w:rsidR="00286A63" w:rsidRPr="00D23308">
        <w:t>75 mg estetrol/15 mg drospirenone</w:t>
      </w:r>
      <w:r w:rsidRPr="00D23308">
        <w:t>) had little effect on</w:t>
      </w:r>
      <w:r w:rsidR="00BF2A8F" w:rsidRPr="00D23308">
        <w:t xml:space="preserve"> the</w:t>
      </w:r>
      <w:r w:rsidRPr="00D23308">
        <w:t xml:space="preserve"> </w:t>
      </w:r>
      <w:r w:rsidR="00BF2A8F" w:rsidRPr="00D23308">
        <w:t>corrected QT interval (</w:t>
      </w:r>
      <w:r w:rsidRPr="00D23308">
        <w:t>QTc</w:t>
      </w:r>
      <w:r w:rsidR="00BF2A8F" w:rsidRPr="00D23308">
        <w:t>);</w:t>
      </w:r>
      <w:bookmarkStart w:id="42" w:name="_Ref106365133"/>
      <w:r w:rsidR="00BF2A8F" w:rsidRPr="00D23308">
        <w:rPr>
          <w:rStyle w:val="FootnoteReference"/>
        </w:rPr>
        <w:footnoteReference w:id="14"/>
      </w:r>
      <w:bookmarkEnd w:id="42"/>
      <w:r w:rsidRPr="00D23308">
        <w:t xml:space="preserve"> and </w:t>
      </w:r>
      <w:r w:rsidR="00A83CAC" w:rsidRPr="00D23308">
        <w:t>heart rate</w:t>
      </w:r>
      <w:r w:rsidRPr="00D23308">
        <w:t>.</w:t>
      </w:r>
    </w:p>
    <w:p w14:paraId="035D36DE" w14:textId="279CCC7E" w:rsidR="00704218" w:rsidRPr="00D23308" w:rsidRDefault="00704218" w:rsidP="00704218">
      <w:pPr>
        <w:pStyle w:val="ListBullet"/>
      </w:pPr>
      <w:r w:rsidRPr="00D23308">
        <w:t xml:space="preserve">Following administration of </w:t>
      </w:r>
      <w:r w:rsidR="00286A63" w:rsidRPr="00D23308">
        <w:t>15 mg estetrol/3 mg drospirenone</w:t>
      </w:r>
      <w:r w:rsidRPr="00D23308">
        <w:t xml:space="preserve">, </w:t>
      </w:r>
      <w:r w:rsidR="005465BA" w:rsidRPr="00D23308">
        <w:t>30 µg </w:t>
      </w:r>
      <w:r w:rsidR="00E72922" w:rsidRPr="00D23308">
        <w:t>ethinylestradiol</w:t>
      </w:r>
      <w:r w:rsidRPr="00D23308">
        <w:t>/</w:t>
      </w:r>
      <w:r w:rsidR="005465BA" w:rsidRPr="00D23308">
        <w:t xml:space="preserve">150 µg </w:t>
      </w:r>
      <w:r w:rsidR="00A83CAC" w:rsidRPr="00D23308">
        <w:t>levonorgestrel</w:t>
      </w:r>
      <w:r w:rsidRPr="00D23308">
        <w:t xml:space="preserve"> or </w:t>
      </w:r>
      <w:r w:rsidR="005465BA" w:rsidRPr="00D23308">
        <w:t xml:space="preserve">20 µg </w:t>
      </w:r>
      <w:r w:rsidR="00E72922" w:rsidRPr="00D23308">
        <w:t>ethinylestradiol</w:t>
      </w:r>
      <w:r w:rsidRPr="00D23308">
        <w:t>/</w:t>
      </w:r>
      <w:r w:rsidR="005465BA" w:rsidRPr="00D23308">
        <w:t xml:space="preserve">3 mg </w:t>
      </w:r>
      <w:r w:rsidR="009A2E70" w:rsidRPr="00D23308">
        <w:t>drospirenone</w:t>
      </w:r>
      <w:r w:rsidRPr="00D23308">
        <w:t xml:space="preserve"> to healthy women aged 18 to 47 years, the three </w:t>
      </w:r>
      <w:r w:rsidR="007F3AB9">
        <w:t>oral contraceptives</w:t>
      </w:r>
      <w:r w:rsidR="007F3AB9" w:rsidRPr="00D23308">
        <w:t xml:space="preserve"> </w:t>
      </w:r>
      <w:r w:rsidRPr="00D23308">
        <w:t xml:space="preserve">had little to no effect on the following haemostatic parameters including fibrinogen, factor VIII activity, von Willebrand factor, </w:t>
      </w:r>
      <w:r w:rsidR="005465BA" w:rsidRPr="00D23308">
        <w:t>plasminogen activator inhibitor-1</w:t>
      </w:r>
      <w:r w:rsidRPr="00D23308">
        <w:t>, soluble E-selectin, prothrombin fragments 1</w:t>
      </w:r>
      <w:r w:rsidR="005465BA" w:rsidRPr="00D23308">
        <w:t xml:space="preserve"> </w:t>
      </w:r>
      <w:r w:rsidRPr="00D23308">
        <w:t>+</w:t>
      </w:r>
      <w:r w:rsidR="005465BA" w:rsidRPr="00D23308">
        <w:t xml:space="preserve"> </w:t>
      </w:r>
      <w:r w:rsidRPr="00D23308">
        <w:t>2, prothrombin activity (factor II), antithrombin, protein</w:t>
      </w:r>
      <w:r w:rsidR="005465BA" w:rsidRPr="00D23308">
        <w:t> </w:t>
      </w:r>
      <w:r w:rsidRPr="00D23308">
        <w:t xml:space="preserve">C activity, free </w:t>
      </w:r>
      <w:r w:rsidR="005465BA" w:rsidRPr="00D23308">
        <w:t>tissue factor pathway inhibitor</w:t>
      </w:r>
      <w:r w:rsidRPr="00D23308">
        <w:t xml:space="preserve">, </w:t>
      </w:r>
      <w:r w:rsidR="005465BA" w:rsidRPr="00D23308">
        <w:t>activated protein C</w:t>
      </w:r>
      <w:r w:rsidRPr="00D23308">
        <w:t xml:space="preserve"> resistance, D</w:t>
      </w:r>
      <w:r w:rsidR="005465BA" w:rsidRPr="00D23308">
        <w:noBreakHyphen/>
      </w:r>
      <w:r w:rsidRPr="00D23308">
        <w:t xml:space="preserve">dimer and activated coagulation time. Moreover, treatment with </w:t>
      </w:r>
      <w:r w:rsidR="009A2E70" w:rsidRPr="00D23308">
        <w:t>estetrol</w:t>
      </w:r>
      <w:r w:rsidRPr="00D23308">
        <w:t>/</w:t>
      </w:r>
      <w:r w:rsidR="009A2E70" w:rsidRPr="00D23308">
        <w:t>drospirenone</w:t>
      </w:r>
      <w:r w:rsidRPr="00D23308">
        <w:t xml:space="preserve">, unlike the other </w:t>
      </w:r>
      <w:r w:rsidR="00001DFF">
        <w:t>combined oral contraceptive</w:t>
      </w:r>
      <w:r w:rsidRPr="00D23308">
        <w:t>s, did not result in any apparent changes in factor VII, protein</w:t>
      </w:r>
      <w:r w:rsidR="005465BA" w:rsidRPr="00D23308">
        <w:t> </w:t>
      </w:r>
      <w:r w:rsidRPr="00D23308">
        <w:t xml:space="preserve">S activity, protein (S) free, plasminogen, </w:t>
      </w:r>
      <w:r w:rsidR="00E439D4" w:rsidRPr="00E439D4">
        <w:t>tissue plasminogen activator</w:t>
      </w:r>
      <w:r w:rsidRPr="00D23308">
        <w:t xml:space="preserve">, or </w:t>
      </w:r>
      <w:r w:rsidR="005465BA" w:rsidRPr="00D23308">
        <w:t>activated protein C</w:t>
      </w:r>
      <w:r w:rsidRPr="00D23308">
        <w:t xml:space="preserve"> resistance (</w:t>
      </w:r>
      <w:r w:rsidR="0013307A" w:rsidRPr="0013307A">
        <w:t>endogenous thrombin potential</w:t>
      </w:r>
      <w:r w:rsidRPr="00D23308">
        <w:t>).</w:t>
      </w:r>
    </w:p>
    <w:p w14:paraId="2A0E87BE" w14:textId="37AD7E2F" w:rsidR="00704218" w:rsidRPr="00D23308" w:rsidRDefault="00704218" w:rsidP="00704218">
      <w:pPr>
        <w:pStyle w:val="ListBullet"/>
      </w:pPr>
      <w:r>
        <w:t xml:space="preserve">The three </w:t>
      </w:r>
      <w:r w:rsidR="00D6600A">
        <w:t xml:space="preserve">combined oral contraceptives </w:t>
      </w:r>
      <w:r>
        <w:t xml:space="preserve">had little to no effect on dehydroepiandrosterone sulphate, dihydrotestosterone, testosterone, prolactin, free triiodothyronine, free </w:t>
      </w:r>
      <w:proofErr w:type="gramStart"/>
      <w:r>
        <w:t>thyroxine</w:t>
      </w:r>
      <w:proofErr w:type="gramEnd"/>
      <w:r>
        <w:t xml:space="preserve"> or thyrotropin levels. By contrast, androstenedione, progesterone, free </w:t>
      </w:r>
      <w:proofErr w:type="gramStart"/>
      <w:r>
        <w:t>testosterone</w:t>
      </w:r>
      <w:proofErr w:type="gramEnd"/>
      <w:r>
        <w:t xml:space="preserve"> and estradiol levels decreased following treatment with all </w:t>
      </w:r>
      <w:r w:rsidR="00D6600A">
        <w:t>three combined contraceptives</w:t>
      </w:r>
      <w:r>
        <w:t xml:space="preserve">. FSH and LH also increased following treatment with </w:t>
      </w:r>
      <w:r w:rsidR="009A2E70">
        <w:t>estetrol</w:t>
      </w:r>
      <w:r>
        <w:t>/</w:t>
      </w:r>
      <w:r w:rsidR="009A2E70">
        <w:t>drospirenone</w:t>
      </w:r>
      <w:r>
        <w:t xml:space="preserve">, whereas they decreased with </w:t>
      </w:r>
      <w:r w:rsidR="00E72922">
        <w:lastRenderedPageBreak/>
        <w:t>ethinylestradiol</w:t>
      </w:r>
      <w:r>
        <w:t>/</w:t>
      </w:r>
      <w:r w:rsidR="00A83CAC">
        <w:t>levonorgestrel</w:t>
      </w:r>
      <w:r>
        <w:t xml:space="preserve"> and </w:t>
      </w:r>
      <w:r w:rsidR="00E72922">
        <w:t>ethinylestradiol</w:t>
      </w:r>
      <w:r>
        <w:t>/</w:t>
      </w:r>
      <w:r w:rsidR="009A2E70">
        <w:t>drospirenone</w:t>
      </w:r>
      <w:r>
        <w:t xml:space="preserve">. Aldosterone levels were increased after </w:t>
      </w:r>
      <w:r w:rsidR="009A2E70">
        <w:t>estetrol</w:t>
      </w:r>
      <w:r>
        <w:t>/</w:t>
      </w:r>
      <w:r w:rsidR="009A2E70">
        <w:t>drospirenone</w:t>
      </w:r>
      <w:r>
        <w:t xml:space="preserve"> and </w:t>
      </w:r>
      <w:r w:rsidR="00E72922">
        <w:t>ethinylestradiol</w:t>
      </w:r>
      <w:r>
        <w:t>/</w:t>
      </w:r>
      <w:r w:rsidR="009A2E70">
        <w:t>drospirenone</w:t>
      </w:r>
      <w:r>
        <w:t xml:space="preserve">, whereas they were slightly decreased following </w:t>
      </w:r>
      <w:r w:rsidR="00E72922">
        <w:t>ethinylestradiol</w:t>
      </w:r>
      <w:r>
        <w:t>/</w:t>
      </w:r>
      <w:r w:rsidR="00A83CAC">
        <w:t>levonorgestrel</w:t>
      </w:r>
      <w:r>
        <w:t xml:space="preserve"> treatment. Cortisol levels were also increased after </w:t>
      </w:r>
      <w:r w:rsidR="00E72922">
        <w:t>ethinylestradiol</w:t>
      </w:r>
      <w:r>
        <w:t>/</w:t>
      </w:r>
      <w:r w:rsidR="00A83CAC">
        <w:t>levonorgestrel</w:t>
      </w:r>
      <w:r>
        <w:t xml:space="preserve"> and </w:t>
      </w:r>
      <w:r w:rsidR="00E72922">
        <w:t>ethinylestradiol</w:t>
      </w:r>
      <w:r>
        <w:t>/</w:t>
      </w:r>
      <w:r w:rsidR="009A2E70">
        <w:t>drospirenone</w:t>
      </w:r>
      <w:r>
        <w:t xml:space="preserve">, </w:t>
      </w:r>
      <w:proofErr w:type="gramStart"/>
      <w:r>
        <w:t>whereas,</w:t>
      </w:r>
      <w:proofErr w:type="gramEnd"/>
      <w:r>
        <w:t xml:space="preserve"> they were relatively unchanged following </w:t>
      </w:r>
      <w:r w:rsidR="009A2E70">
        <w:t>estetrol</w:t>
      </w:r>
      <w:r>
        <w:t>/</w:t>
      </w:r>
      <w:r w:rsidR="009A2E70">
        <w:t>drospirenone</w:t>
      </w:r>
      <w:r>
        <w:t>.</w:t>
      </w:r>
    </w:p>
    <w:p w14:paraId="0A7A4B20" w14:textId="31A86566" w:rsidR="00704218" w:rsidRPr="00D23308" w:rsidRDefault="005465BA" w:rsidP="00704218">
      <w:pPr>
        <w:pStyle w:val="ListBullet"/>
      </w:pPr>
      <w:r>
        <w:t xml:space="preserve">C-reactive protein </w:t>
      </w:r>
      <w:r w:rsidR="00704218">
        <w:t xml:space="preserve">levels were unchanged with all </w:t>
      </w:r>
      <w:r w:rsidR="00D6600A">
        <w:t>three combined oral contraceptives</w:t>
      </w:r>
      <w:r w:rsidR="00704218">
        <w:t xml:space="preserve">, whereas, angiotensinogen and </w:t>
      </w:r>
      <w:r>
        <w:t>cortisol binding globulin</w:t>
      </w:r>
      <w:r w:rsidR="00704218">
        <w:t xml:space="preserve">, </w:t>
      </w:r>
      <w:r>
        <w:t xml:space="preserve">sex hormone binding globulin </w:t>
      </w:r>
      <w:r w:rsidR="00704218">
        <w:t xml:space="preserve">and </w:t>
      </w:r>
      <w:r>
        <w:t>thyroxine binding globulin</w:t>
      </w:r>
      <w:r w:rsidR="00704218">
        <w:t xml:space="preserve"> levels were increased.</w:t>
      </w:r>
    </w:p>
    <w:p w14:paraId="10A0BD51" w14:textId="4D301EDF" w:rsidR="00704218" w:rsidRPr="00D23308" w:rsidRDefault="00704218" w:rsidP="00704218">
      <w:pPr>
        <w:pStyle w:val="ListBullet"/>
      </w:pPr>
      <w:r w:rsidRPr="00D23308">
        <w:t xml:space="preserve">All </w:t>
      </w:r>
      <w:r w:rsidR="00D6600A">
        <w:t>three</w:t>
      </w:r>
      <w:r w:rsidRPr="00D23308">
        <w:t xml:space="preserve"> </w:t>
      </w:r>
      <w:r w:rsidR="00D6600A">
        <w:t>combined oral contraceptives</w:t>
      </w:r>
      <w:r w:rsidRPr="00D23308">
        <w:t xml:space="preserve"> induced no clear changes in apolipoprotein B1, cholesterol, </w:t>
      </w:r>
      <w:r w:rsidR="005465BA" w:rsidRPr="00D23308">
        <w:t>low density lipoprotein</w:t>
      </w:r>
      <w:r w:rsidRPr="00D23308">
        <w:t xml:space="preserve"> cholesterol, </w:t>
      </w:r>
      <w:r w:rsidR="005465BA" w:rsidRPr="00D23308">
        <w:t>high density lipoprotein</w:t>
      </w:r>
      <w:r w:rsidRPr="00D23308">
        <w:t>/</w:t>
      </w:r>
      <w:r w:rsidR="005465BA" w:rsidRPr="00D23308">
        <w:t xml:space="preserve">low density lipoprotein </w:t>
      </w:r>
      <w:r w:rsidRPr="00D23308">
        <w:t>cholesterol and lipoprotein</w:t>
      </w:r>
      <w:r w:rsidR="005465BA" w:rsidRPr="00D23308">
        <w:t xml:space="preserve"> </w:t>
      </w:r>
      <w:r w:rsidRPr="00D23308">
        <w:t xml:space="preserve">a </w:t>
      </w:r>
      <w:proofErr w:type="gramStart"/>
      <w:r w:rsidRPr="00D23308">
        <w:t>levels</w:t>
      </w:r>
      <w:proofErr w:type="gramEnd"/>
      <w:r w:rsidRPr="00D23308">
        <w:t xml:space="preserve">. By contrast, triglycerides were increased after </w:t>
      </w:r>
      <w:r w:rsidR="00E72922" w:rsidRPr="00D23308">
        <w:t>ethinylestradiol</w:t>
      </w:r>
      <w:r w:rsidRPr="00D23308">
        <w:t>/</w:t>
      </w:r>
      <w:r w:rsidR="009A2E70" w:rsidRPr="00D23308">
        <w:t>drospirenone</w:t>
      </w:r>
      <w:r w:rsidRPr="00D23308">
        <w:t xml:space="preserve"> and but not with </w:t>
      </w:r>
      <w:r w:rsidR="009A2E70" w:rsidRPr="00D23308">
        <w:t>estetrol</w:t>
      </w:r>
      <w:r w:rsidRPr="00D23308">
        <w:t>/</w:t>
      </w:r>
      <w:r w:rsidR="009A2E70" w:rsidRPr="00D23308">
        <w:t>drospirenone</w:t>
      </w:r>
      <w:r w:rsidRPr="00D23308">
        <w:t xml:space="preserve"> and </w:t>
      </w:r>
      <w:r w:rsidR="00E72922" w:rsidRPr="00D23308">
        <w:t>ethinylestradiol</w:t>
      </w:r>
      <w:r w:rsidRPr="00D23308">
        <w:t>/</w:t>
      </w:r>
      <w:r w:rsidR="00A83CAC" w:rsidRPr="00D23308">
        <w:t>levonorgestrel</w:t>
      </w:r>
      <w:r w:rsidRPr="00D23308">
        <w:t>.</w:t>
      </w:r>
    </w:p>
    <w:p w14:paraId="018B8E7B" w14:textId="5B2FE84E" w:rsidR="00704218" w:rsidRPr="00D23308" w:rsidRDefault="00704218" w:rsidP="00704218">
      <w:pPr>
        <w:pStyle w:val="ListBullet"/>
      </w:pPr>
      <w:r w:rsidRPr="00D23308">
        <w:t xml:space="preserve">The three </w:t>
      </w:r>
      <w:r w:rsidR="00001DFF">
        <w:t>combined oral contraceptive</w:t>
      </w:r>
      <w:r w:rsidRPr="00D23308">
        <w:t>s had little to no effect on insulin, glucose, C</w:t>
      </w:r>
      <w:r w:rsidR="000451AA">
        <w:noBreakHyphen/>
      </w:r>
      <w:r w:rsidRPr="00D23308">
        <w:t xml:space="preserve">peptide and </w:t>
      </w:r>
      <w:r w:rsidR="005465BA" w:rsidRPr="00D23308">
        <w:t>glycated haemoglobin A1C (</w:t>
      </w:r>
      <w:r w:rsidRPr="00D23308">
        <w:t>HbA1c</w:t>
      </w:r>
      <w:r w:rsidR="005465BA" w:rsidRPr="00D23308">
        <w:t>)</w:t>
      </w:r>
      <w:r w:rsidRPr="00D23308">
        <w:t>.</w:t>
      </w:r>
      <w:r w:rsidR="001A7E03" w:rsidRPr="00D23308">
        <w:rPr>
          <w:rStyle w:val="FootnoteReference"/>
        </w:rPr>
        <w:footnoteReference w:id="15"/>
      </w:r>
    </w:p>
    <w:p w14:paraId="61E5A96F" w14:textId="77777777" w:rsidR="00704218" w:rsidRPr="00D23308" w:rsidRDefault="00704218" w:rsidP="00704218">
      <w:pPr>
        <w:pStyle w:val="Heading4"/>
      </w:pPr>
      <w:r w:rsidRPr="00D23308">
        <w:t>Efficacy</w:t>
      </w:r>
    </w:p>
    <w:p w14:paraId="42A1F7FB" w14:textId="77777777" w:rsidR="00704218" w:rsidRPr="00D23308" w:rsidRDefault="00704218" w:rsidP="00704218">
      <w:pPr>
        <w:pStyle w:val="Heading5"/>
      </w:pPr>
      <w:r w:rsidRPr="00D23308">
        <w:t>Dosage selection for the pivotal studies</w:t>
      </w:r>
    </w:p>
    <w:p w14:paraId="5AB32E0D" w14:textId="7EC1AAEB" w:rsidR="00704218" w:rsidRPr="00D23308" w:rsidRDefault="00704218" w:rsidP="00704218">
      <w:r w:rsidRPr="00D23308">
        <w:t xml:space="preserve">The selected daily dose of 3 mg </w:t>
      </w:r>
      <w:r w:rsidR="009A2E70" w:rsidRPr="00D23308">
        <w:t>drospirenone</w:t>
      </w:r>
      <w:r w:rsidRPr="00D23308">
        <w:t xml:space="preserve"> combined with 14.2 mg </w:t>
      </w:r>
      <w:r w:rsidR="009A2E70" w:rsidRPr="00D23308">
        <w:t>estetrol</w:t>
      </w:r>
      <w:r w:rsidRPr="00D23308">
        <w:t xml:space="preserve"> for the Phase </w:t>
      </w:r>
      <w:r w:rsidR="0080147A" w:rsidRPr="00D23308">
        <w:t>III</w:t>
      </w:r>
      <w:r w:rsidRPr="00D23308">
        <w:t xml:space="preserve"> studies was based on adequate ovulation inhibition and optimal cycle control.</w:t>
      </w:r>
    </w:p>
    <w:p w14:paraId="1AE6AD90" w14:textId="57EFF205" w:rsidR="00704218" w:rsidRPr="00D23308" w:rsidRDefault="00704218" w:rsidP="00704218">
      <w:pPr>
        <w:pStyle w:val="Heading6"/>
      </w:pPr>
      <w:r w:rsidRPr="00D23308">
        <w:t xml:space="preserve">The feasibility </w:t>
      </w:r>
      <w:proofErr w:type="gramStart"/>
      <w:r w:rsidR="00D6600A">
        <w:t>s</w:t>
      </w:r>
      <w:r w:rsidRPr="00D23308">
        <w:t>tudy</w:t>
      </w:r>
      <w:proofErr w:type="gramEnd"/>
    </w:p>
    <w:p w14:paraId="26FA88B5" w14:textId="35571751" w:rsidR="00704218" w:rsidRPr="00D23308" w:rsidRDefault="00704218" w:rsidP="00704218">
      <w:bookmarkStart w:id="43" w:name="_Hlk106372023"/>
      <w:r w:rsidRPr="00D23308">
        <w:t xml:space="preserve">Study PR3081 </w:t>
      </w:r>
      <w:bookmarkEnd w:id="43"/>
      <w:r w:rsidRPr="00D23308">
        <w:t xml:space="preserve">showed that </w:t>
      </w:r>
      <w:r w:rsidR="009A2E70" w:rsidRPr="00D23308">
        <w:t>estetrol</w:t>
      </w:r>
      <w:r w:rsidRPr="00D23308">
        <w:t xml:space="preserve"> suppressed ovarian activity in a dose</w:t>
      </w:r>
      <w:r w:rsidR="005465BA" w:rsidRPr="00D23308">
        <w:t xml:space="preserve"> </w:t>
      </w:r>
      <w:r w:rsidRPr="00D23308">
        <w:t xml:space="preserve">dependent manner. However, </w:t>
      </w:r>
      <w:r w:rsidR="009A2E70" w:rsidRPr="00D23308">
        <w:t>estetrol</w:t>
      </w:r>
      <w:r w:rsidRPr="00D23308">
        <w:t xml:space="preserve"> alone in daily doses of up to 18.9 mg was not capable of consistently inhibiting ovulation. Therefore, the </w:t>
      </w:r>
      <w:r w:rsidR="00395F07" w:rsidRPr="00D23308">
        <w:t>sponsor</w:t>
      </w:r>
      <w:r w:rsidRPr="00D23308">
        <w:t xml:space="preserve"> conducted 2 additional </w:t>
      </w:r>
      <w:r w:rsidR="00A83CAC" w:rsidRPr="00D23308">
        <w:t>pharmacodynamic</w:t>
      </w:r>
      <w:r w:rsidRPr="00D23308">
        <w:t xml:space="preserve"> studies (Studies ES-C01 and ES-C02) using different doses of </w:t>
      </w:r>
      <w:r w:rsidR="009A2E70" w:rsidRPr="00D23308">
        <w:t>estetrol</w:t>
      </w:r>
      <w:r w:rsidRPr="00D23308">
        <w:t xml:space="preserve"> in combination with approved progestins, </w:t>
      </w:r>
      <w:r w:rsidR="005465BA" w:rsidRPr="00D23308">
        <w:t>that is</w:t>
      </w:r>
      <w:r w:rsidRPr="00D23308">
        <w:t xml:space="preserve">, </w:t>
      </w:r>
      <w:r w:rsidR="009A2E70" w:rsidRPr="00D23308">
        <w:t>drospirenone</w:t>
      </w:r>
      <w:r w:rsidRPr="00D23308">
        <w:t xml:space="preserve"> at 3 mg or </w:t>
      </w:r>
      <w:r w:rsidR="00A83CAC" w:rsidRPr="00D23308">
        <w:t>levonorgestrel</w:t>
      </w:r>
      <w:r w:rsidRPr="00D23308">
        <w:t xml:space="preserve"> at 0.15 mg.</w:t>
      </w:r>
    </w:p>
    <w:p w14:paraId="36684F32" w14:textId="77777777" w:rsidR="00704218" w:rsidRPr="00D23308" w:rsidRDefault="00704218" w:rsidP="00704218">
      <w:pPr>
        <w:pStyle w:val="Heading6"/>
      </w:pPr>
      <w:r w:rsidRPr="00D23308">
        <w:t>Ovulation inhibition</w:t>
      </w:r>
    </w:p>
    <w:p w14:paraId="745B5560" w14:textId="0648ACD4" w:rsidR="00704218" w:rsidRPr="00D23308" w:rsidRDefault="00704218" w:rsidP="00704218">
      <w:r w:rsidRPr="00D23308">
        <w:t xml:space="preserve">Study ES-C01 showed that 4.7 and 9.5 mg </w:t>
      </w:r>
      <w:r w:rsidR="009A2E70" w:rsidRPr="00D23308">
        <w:t>estetrol</w:t>
      </w:r>
      <w:r w:rsidRPr="00D23308">
        <w:t xml:space="preserve"> combined with 3 mg </w:t>
      </w:r>
      <w:r w:rsidR="009A2E70" w:rsidRPr="00D23308">
        <w:t>drospirenone</w:t>
      </w:r>
      <w:r w:rsidRPr="00D23308">
        <w:t xml:space="preserve">, and 4.7, 9.5 and 18.9 mg </w:t>
      </w:r>
      <w:r w:rsidR="009A2E70" w:rsidRPr="00D23308">
        <w:t>estetrol</w:t>
      </w:r>
      <w:r w:rsidRPr="00D23308">
        <w:t xml:space="preserve"> combined with 0.15 mg </w:t>
      </w:r>
      <w:r w:rsidR="00A83CAC" w:rsidRPr="00D23308">
        <w:t>levonorgestrel</w:t>
      </w:r>
      <w:r w:rsidRPr="00D23308">
        <w:t xml:space="preserve"> inhibited ovulation in all cycles and the most significant effect on ovarian suppression was achieved with </w:t>
      </w:r>
      <w:r w:rsidR="005465BA" w:rsidRPr="00D23308">
        <w:t xml:space="preserve">0.15 mg </w:t>
      </w:r>
      <w:r w:rsidR="00A83CAC" w:rsidRPr="00D23308">
        <w:t>levonorgestrel</w:t>
      </w:r>
      <w:r w:rsidRPr="00D23308">
        <w:t>/</w:t>
      </w:r>
      <w:r w:rsidR="005465BA" w:rsidRPr="00D23308">
        <w:t xml:space="preserve">18.9 mg </w:t>
      </w:r>
      <w:r w:rsidR="009A2E70" w:rsidRPr="00D23308">
        <w:t>estetrol</w:t>
      </w:r>
      <w:r w:rsidRPr="00D23308">
        <w:t>.</w:t>
      </w:r>
    </w:p>
    <w:p w14:paraId="0055F0E9" w14:textId="77777777" w:rsidR="00704218" w:rsidRPr="00D23308" w:rsidRDefault="00704218" w:rsidP="00704218">
      <w:pPr>
        <w:pStyle w:val="Heading6"/>
      </w:pPr>
      <w:r w:rsidRPr="00D23308">
        <w:t>Cycle control</w:t>
      </w:r>
    </w:p>
    <w:p w14:paraId="6EE74AF8" w14:textId="2B24830F" w:rsidR="00704218" w:rsidRPr="00D23308" w:rsidRDefault="00704218" w:rsidP="00704218">
      <w:r w:rsidRPr="00D23308">
        <w:t xml:space="preserve">Study ES-C02 assessed the cycle control of </w:t>
      </w:r>
      <w:r w:rsidR="005465BA" w:rsidRPr="00D23308">
        <w:t xml:space="preserve">3 mg </w:t>
      </w:r>
      <w:r w:rsidR="009A2E70" w:rsidRPr="00D23308">
        <w:t>drospirenone</w:t>
      </w:r>
      <w:r w:rsidRPr="00D23308">
        <w:t>/</w:t>
      </w:r>
      <w:r w:rsidR="005465BA" w:rsidRPr="00D23308">
        <w:t xml:space="preserve">14.2 mg </w:t>
      </w:r>
      <w:r w:rsidR="009A2E70" w:rsidRPr="00D23308">
        <w:t>estetrol</w:t>
      </w:r>
      <w:r w:rsidRPr="00D23308">
        <w:t xml:space="preserve"> and </w:t>
      </w:r>
      <w:r w:rsidR="005465BA" w:rsidRPr="00D23308">
        <w:t xml:space="preserve">0.15 mg </w:t>
      </w:r>
      <w:r w:rsidR="00A83CAC" w:rsidRPr="00D23308">
        <w:t>levonorgestrel</w:t>
      </w:r>
      <w:r w:rsidRPr="00D23308">
        <w:t>/</w:t>
      </w:r>
      <w:r w:rsidR="005465BA" w:rsidRPr="00D23308">
        <w:t xml:space="preserve">18.9 mg </w:t>
      </w:r>
      <w:r w:rsidR="009A2E70" w:rsidRPr="00D23308">
        <w:t>estetrol</w:t>
      </w:r>
      <w:r w:rsidRPr="00D23308">
        <w:t xml:space="preserve"> in a 24/4</w:t>
      </w:r>
      <w:r w:rsidR="00D6600A">
        <w:t>-day</w:t>
      </w:r>
      <w:r w:rsidRPr="00D23308">
        <w:t xml:space="preserve"> regimen for 6 cycles compared to marketed </w:t>
      </w:r>
      <w:r w:rsidR="00D6600A">
        <w:t>combined oral contraceptives</w:t>
      </w:r>
      <w:r w:rsidR="00D6600A" w:rsidRPr="00D23308">
        <w:t xml:space="preserve"> </w:t>
      </w:r>
      <w:r w:rsidRPr="00D23308">
        <w:t xml:space="preserve">containing </w:t>
      </w:r>
      <w:proofErr w:type="spellStart"/>
      <w:r w:rsidRPr="00D23308">
        <w:t>estradiol</w:t>
      </w:r>
      <w:proofErr w:type="spellEnd"/>
      <w:r w:rsidRPr="00D23308">
        <w:t xml:space="preserve"> valerate and </w:t>
      </w:r>
      <w:proofErr w:type="spellStart"/>
      <w:r w:rsidR="005465BA" w:rsidRPr="00D23308">
        <w:t>dienogest</w:t>
      </w:r>
      <w:proofErr w:type="spellEnd"/>
      <w:r w:rsidR="005465BA" w:rsidRPr="00D23308">
        <w:t xml:space="preserve"> </w:t>
      </w:r>
      <w:r w:rsidRPr="00D23308">
        <w:t>(</w:t>
      </w:r>
      <w:proofErr w:type="spellStart"/>
      <w:r w:rsidRPr="00D23308">
        <w:t>Qlaira</w:t>
      </w:r>
      <w:proofErr w:type="spellEnd"/>
      <w:r w:rsidRPr="00D23308">
        <w:t>).</w:t>
      </w:r>
      <w:bookmarkStart w:id="44" w:name="_Ref106369607"/>
      <w:r w:rsidR="00C270AA">
        <w:rPr>
          <w:rStyle w:val="FootnoteReference"/>
        </w:rPr>
        <w:footnoteReference w:id="16"/>
      </w:r>
      <w:bookmarkEnd w:id="44"/>
      <w:r w:rsidRPr="00D23308">
        <w:t xml:space="preserve"> Of the studied groups, </w:t>
      </w:r>
      <w:r w:rsidR="005A1CC0" w:rsidRPr="00D23308">
        <w:t xml:space="preserve">3 mg </w:t>
      </w:r>
      <w:proofErr w:type="spellStart"/>
      <w:r w:rsidR="009A2E70" w:rsidRPr="00D23308">
        <w:t>drospirenone</w:t>
      </w:r>
      <w:proofErr w:type="spellEnd"/>
      <w:r w:rsidRPr="00D23308">
        <w:t>/</w:t>
      </w:r>
      <w:r w:rsidR="005A1CC0" w:rsidRPr="00D23308">
        <w:t xml:space="preserve">14.2 mg </w:t>
      </w:r>
      <w:proofErr w:type="spellStart"/>
      <w:r w:rsidR="009A2E70" w:rsidRPr="00D23308">
        <w:t>estetrol</w:t>
      </w:r>
      <w:proofErr w:type="spellEnd"/>
      <w:r w:rsidRPr="00D23308">
        <w:t xml:space="preserve"> showed the lowest </w:t>
      </w:r>
      <w:r w:rsidRPr="00D23308">
        <w:lastRenderedPageBreak/>
        <w:t>incidence of unscheduled bleeding (16.9% subjects in Cycle 6) and the lowest incidence (3.5% subjects in Cycle 6) of an absence of withdrawal bleeding.</w:t>
      </w:r>
    </w:p>
    <w:p w14:paraId="4D961B25" w14:textId="77777777" w:rsidR="00704218" w:rsidRPr="00D23308" w:rsidRDefault="00704218" w:rsidP="00704218">
      <w:pPr>
        <w:pStyle w:val="Heading6"/>
      </w:pPr>
      <w:r w:rsidRPr="00D23308">
        <w:t>Dose confirmation study</w:t>
      </w:r>
    </w:p>
    <w:p w14:paraId="3A33F91D" w14:textId="071F5C55" w:rsidR="00704218" w:rsidRPr="00D23308" w:rsidRDefault="00704218" w:rsidP="00704218">
      <w:r w:rsidRPr="00D23308">
        <w:t xml:space="preserve">Study MIT-Es0001-C202 confirmed the ovulation inhibition from the selected dose combination of </w:t>
      </w:r>
      <w:r w:rsidR="005A1CC0" w:rsidRPr="00D23308">
        <w:t xml:space="preserve">3 mg </w:t>
      </w:r>
      <w:proofErr w:type="spellStart"/>
      <w:r w:rsidR="009A2E70" w:rsidRPr="00D23308">
        <w:t>drospirenone</w:t>
      </w:r>
      <w:proofErr w:type="spellEnd"/>
      <w:r w:rsidRPr="00D23308">
        <w:t>/</w:t>
      </w:r>
      <w:r w:rsidR="005A1CC0" w:rsidRPr="00D23308">
        <w:t xml:space="preserve">14.2 mg </w:t>
      </w:r>
      <w:proofErr w:type="spellStart"/>
      <w:r w:rsidR="009A2E70" w:rsidRPr="00D23308">
        <w:t>estetrol</w:t>
      </w:r>
      <w:proofErr w:type="spellEnd"/>
      <w:r w:rsidRPr="00D23308">
        <w:t xml:space="preserve"> using </w:t>
      </w:r>
      <w:proofErr w:type="spellStart"/>
      <w:r w:rsidRPr="00D23308">
        <w:t>Yaz</w:t>
      </w:r>
      <w:proofErr w:type="spellEnd"/>
      <w:r w:rsidRPr="00D23308">
        <w:t>,</w:t>
      </w:r>
      <w:r w:rsidR="00205C3C">
        <w:rPr>
          <w:rStyle w:val="FootnoteReference"/>
        </w:rPr>
        <w:footnoteReference w:id="17"/>
      </w:r>
      <w:r w:rsidRPr="00D23308">
        <w:t xml:space="preserve"> a marketed </w:t>
      </w:r>
      <w:r w:rsidR="00263FD5">
        <w:t xml:space="preserve">combined </w:t>
      </w:r>
      <w:r w:rsidR="009C5CCD">
        <w:t>oral contraceptive containing</w:t>
      </w:r>
      <w:r w:rsidR="009C5CCD" w:rsidRPr="009C5CCD">
        <w:t xml:space="preserve"> 3</w:t>
      </w:r>
      <w:r w:rsidR="009C5CCD">
        <w:t xml:space="preserve"> </w:t>
      </w:r>
      <w:r w:rsidR="009C5CCD" w:rsidRPr="009C5CCD">
        <w:t xml:space="preserve">mg </w:t>
      </w:r>
      <w:r w:rsidR="009C5CCD">
        <w:t>drospirenone</w:t>
      </w:r>
      <w:r w:rsidR="009C5CCD" w:rsidRPr="009C5CCD">
        <w:t xml:space="preserve">/20 </w:t>
      </w:r>
      <w:r w:rsidR="009C5CCD">
        <w:t xml:space="preserve">µg </w:t>
      </w:r>
      <w:r w:rsidR="009C5CCD" w:rsidRPr="009C5CCD">
        <w:t>ethinylestradiol</w:t>
      </w:r>
      <w:r w:rsidRPr="00D23308">
        <w:t>, as a comparator.</w:t>
      </w:r>
    </w:p>
    <w:p w14:paraId="76E8B276" w14:textId="32C496BD" w:rsidR="00704218" w:rsidRPr="00D23308" w:rsidRDefault="00704218" w:rsidP="00704218">
      <w:r w:rsidRPr="00D23308">
        <w:t xml:space="preserve">In addition, the </w:t>
      </w:r>
      <w:r w:rsidR="009A2E70" w:rsidRPr="00D23308">
        <w:t>estetrol</w:t>
      </w:r>
      <w:r w:rsidRPr="00D23308">
        <w:t>/</w:t>
      </w:r>
      <w:r w:rsidR="009A2E70" w:rsidRPr="00D23308">
        <w:t>drospirenone</w:t>
      </w:r>
      <w:r w:rsidRPr="00D23308">
        <w:t xml:space="preserve"> combinations demonstrated a good safety and tolerability profile. A low frequency of adverse events (AEs) with the 15 mg </w:t>
      </w:r>
      <w:r w:rsidR="009A2E70" w:rsidRPr="00D23308">
        <w:t>estetrol</w:t>
      </w:r>
      <w:r w:rsidRPr="00D23308">
        <w:t>/3</w:t>
      </w:r>
      <w:r w:rsidR="005A1CC0" w:rsidRPr="00D23308">
        <w:t> </w:t>
      </w:r>
      <w:r w:rsidRPr="00D23308">
        <w:t xml:space="preserve">mg </w:t>
      </w:r>
      <w:r w:rsidR="009A2E70" w:rsidRPr="00D23308">
        <w:t>drospirenone</w:t>
      </w:r>
      <w:r w:rsidRPr="00D23308">
        <w:t xml:space="preserve"> combination was recorded and all AEs were </w:t>
      </w:r>
      <w:proofErr w:type="gramStart"/>
      <w:r w:rsidRPr="00D23308">
        <w:t>similar to</w:t>
      </w:r>
      <w:proofErr w:type="gramEnd"/>
      <w:r w:rsidRPr="00D23308">
        <w:t xml:space="preserve"> those classically observed with </w:t>
      </w:r>
      <w:r w:rsidR="009C5CCD">
        <w:t>oral contraceptives</w:t>
      </w:r>
      <w:r w:rsidRPr="00D23308">
        <w:t>.</w:t>
      </w:r>
    </w:p>
    <w:p w14:paraId="58134C68" w14:textId="0312F4DC" w:rsidR="00704218" w:rsidRPr="00D23308" w:rsidRDefault="00704218" w:rsidP="00704218">
      <w:r w:rsidRPr="00D23308">
        <w:t xml:space="preserve">Based on the results for minimum effective dose for inhibition of ovulation, acceptable vaginal bleeding patterns and safety/tolerability observed from the Phase </w:t>
      </w:r>
      <w:r w:rsidR="0080147A" w:rsidRPr="00D23308">
        <w:t>II</w:t>
      </w:r>
      <w:r w:rsidRPr="00D23308">
        <w:t xml:space="preserve"> studies, the regimen of 15 mg </w:t>
      </w:r>
      <w:r w:rsidR="009A2E70" w:rsidRPr="00D23308">
        <w:t>estetrol</w:t>
      </w:r>
      <w:r w:rsidRPr="00D23308">
        <w:t xml:space="preserve"> combined with 3 mg </w:t>
      </w:r>
      <w:r w:rsidR="009A2E70" w:rsidRPr="00D23308">
        <w:t>drospirenone</w:t>
      </w:r>
      <w:r w:rsidRPr="00D23308">
        <w:t xml:space="preserve"> was selected for the Phase</w:t>
      </w:r>
      <w:r w:rsidR="005A1CC0" w:rsidRPr="00D23308">
        <w:t> </w:t>
      </w:r>
      <w:r w:rsidR="0080147A" w:rsidRPr="00D23308">
        <w:t>III</w:t>
      </w:r>
      <w:r w:rsidRPr="00D23308">
        <w:t xml:space="preserve"> program.</w:t>
      </w:r>
    </w:p>
    <w:p w14:paraId="19F887FE" w14:textId="1DFB9E5A" w:rsidR="0096551F" w:rsidRPr="00D23308" w:rsidRDefault="00704218" w:rsidP="0096551F">
      <w:pPr>
        <w:pStyle w:val="Heading5"/>
        <w:rPr>
          <w:lang w:val="en-US"/>
        </w:rPr>
      </w:pPr>
      <w:bookmarkStart w:id="45" w:name="_Ref243301615"/>
      <w:bookmarkStart w:id="46" w:name="_Ref271040927"/>
      <w:bookmarkStart w:id="47" w:name="_Ref271040932"/>
      <w:bookmarkStart w:id="48" w:name="_Toc272414653"/>
      <w:bookmarkStart w:id="49" w:name="_Toc290888501"/>
      <w:bookmarkStart w:id="50" w:name="_Toc416353717"/>
      <w:bookmarkStart w:id="51" w:name="_Ref108162212"/>
      <w:r w:rsidRPr="00D23308">
        <w:t xml:space="preserve">Study </w:t>
      </w:r>
      <w:bookmarkEnd w:id="45"/>
      <w:bookmarkEnd w:id="46"/>
      <w:bookmarkEnd w:id="47"/>
      <w:bookmarkEnd w:id="48"/>
      <w:bookmarkEnd w:id="49"/>
      <w:bookmarkEnd w:id="50"/>
      <w:r w:rsidRPr="00D23308">
        <w:rPr>
          <w:lang w:val="en-US"/>
        </w:rPr>
        <w:t>MIT-Es0001-C301</w:t>
      </w:r>
      <w:r w:rsidR="0096551F" w:rsidRPr="00D23308">
        <w:rPr>
          <w:lang w:val="en-US"/>
        </w:rPr>
        <w:t xml:space="preserve"> (pivotal study)</w:t>
      </w:r>
      <w:bookmarkEnd w:id="51"/>
    </w:p>
    <w:p w14:paraId="1D25EA9E" w14:textId="3CEA32B8" w:rsidR="00704218" w:rsidRDefault="00704218" w:rsidP="00704218">
      <w:r w:rsidRPr="00D23308">
        <w:t xml:space="preserve">This was a Phase </w:t>
      </w:r>
      <w:r w:rsidR="0080147A" w:rsidRPr="00D23308">
        <w:t>III</w:t>
      </w:r>
      <w:r w:rsidRPr="00D23308">
        <w:t>, multicentre, open</w:t>
      </w:r>
      <w:r w:rsidR="005A1CC0" w:rsidRPr="00D23308">
        <w:t xml:space="preserve"> </w:t>
      </w:r>
      <w:r w:rsidRPr="00D23308">
        <w:t>label, single</w:t>
      </w:r>
      <w:r w:rsidR="005A1CC0" w:rsidRPr="00D23308">
        <w:t xml:space="preserve"> </w:t>
      </w:r>
      <w:r w:rsidRPr="00D23308">
        <w:t xml:space="preserve">arm study to evaluate the contraceptive efficacy and safety of a </w:t>
      </w:r>
      <w:r w:rsidR="009C5CCD">
        <w:t>combined oral contraceptives</w:t>
      </w:r>
      <w:r w:rsidR="009C5CCD" w:rsidRPr="00D23308">
        <w:t xml:space="preserve"> </w:t>
      </w:r>
      <w:r w:rsidR="005A1CC0" w:rsidRPr="00D23308">
        <w:t>c</w:t>
      </w:r>
      <w:r w:rsidRPr="00D23308">
        <w:t>ontaining 14.2</w:t>
      </w:r>
      <w:r w:rsidR="005A1CC0" w:rsidRPr="00D23308">
        <w:t> </w:t>
      </w:r>
      <w:r w:rsidRPr="00D23308">
        <w:t xml:space="preserve">mg </w:t>
      </w:r>
      <w:r w:rsidR="005A1CC0" w:rsidRPr="00D23308">
        <w:t xml:space="preserve">estetrol </w:t>
      </w:r>
      <w:r w:rsidRPr="00D23308">
        <w:t>and 3</w:t>
      </w:r>
      <w:r w:rsidR="005A1CC0" w:rsidRPr="00D23308">
        <w:t> </w:t>
      </w:r>
      <w:r w:rsidRPr="00D23308">
        <w:t xml:space="preserve">mg </w:t>
      </w:r>
      <w:r w:rsidR="005A1CC0" w:rsidRPr="00D23308">
        <w:t>drospirenone</w:t>
      </w:r>
      <w:r w:rsidR="00C71808">
        <w:t xml:space="preserve">; also known as the </w:t>
      </w:r>
      <w:r w:rsidR="00363C76">
        <w:t>E4</w:t>
      </w:r>
      <w:r w:rsidRPr="00D23308">
        <w:t xml:space="preserve"> </w:t>
      </w:r>
      <w:r w:rsidR="00363C76" w:rsidRPr="00D23308">
        <w:t>FREEDOM</w:t>
      </w:r>
      <w:r w:rsidR="00F75441">
        <w:t xml:space="preserve"> trial, study title: </w:t>
      </w:r>
      <w:r w:rsidR="005A1CC0" w:rsidRPr="00D23308">
        <w:t xml:space="preserve">female response concerning efficacy and safety of estetrol/drospirenone as oral contraceptive in a </w:t>
      </w:r>
      <w:r w:rsidR="009C5CCD" w:rsidRPr="00D23308">
        <w:t>multicentre</w:t>
      </w:r>
      <w:r w:rsidR="005A1CC0" w:rsidRPr="00D23308">
        <w:t xml:space="preserve"> study</w:t>
      </w:r>
      <w:r w:rsidRPr="00D23308">
        <w:t>.</w:t>
      </w:r>
    </w:p>
    <w:p w14:paraId="0BF461E4" w14:textId="2156F9B7" w:rsidR="00C71808" w:rsidRPr="00D23308" w:rsidRDefault="00C71808" w:rsidP="00EB0EAC">
      <w:pPr>
        <w:pStyle w:val="Heading6"/>
      </w:pPr>
      <w:r>
        <w:t>Primary objective</w:t>
      </w:r>
    </w:p>
    <w:p w14:paraId="52A6772E" w14:textId="340425C9" w:rsidR="00704218" w:rsidRPr="00D23308" w:rsidRDefault="00704218" w:rsidP="00704218">
      <w:r w:rsidRPr="00D23308">
        <w:t>The primary objective of this study was to evaluate the contraceptive efficacy of 15</w:t>
      </w:r>
      <w:r w:rsidR="005A1CC0" w:rsidRPr="00D23308">
        <w:t> </w:t>
      </w:r>
      <w:r w:rsidRPr="00D23308">
        <w:t>mg estetrol/3</w:t>
      </w:r>
      <w:r w:rsidR="005A1CC0" w:rsidRPr="00D23308">
        <w:t> </w:t>
      </w:r>
      <w:r w:rsidRPr="00D23308">
        <w:t>mg drospirenone using the Pearl Index</w:t>
      </w:r>
      <w:r w:rsidR="00363C76">
        <w:t>;</w:t>
      </w:r>
      <w:r w:rsidR="00363C76">
        <w:rPr>
          <w:rStyle w:val="FootnoteReference"/>
        </w:rPr>
        <w:footnoteReference w:id="18"/>
      </w:r>
      <w:r w:rsidRPr="00D23308">
        <w:t xml:space="preserve"> in subjects aged 18 to 35 years, inclusive, at the time of screening.</w:t>
      </w:r>
    </w:p>
    <w:p w14:paraId="5736FA00" w14:textId="0C3F804C" w:rsidR="00704218" w:rsidRPr="00D23308" w:rsidRDefault="005A1CC0" w:rsidP="005A1CC0">
      <w:pPr>
        <w:pStyle w:val="Heading6"/>
      </w:pPr>
      <w:r w:rsidRPr="00D23308">
        <w:t>S</w:t>
      </w:r>
      <w:r w:rsidR="00704218" w:rsidRPr="00D23308">
        <w:t>econdary objectives</w:t>
      </w:r>
    </w:p>
    <w:p w14:paraId="7321A71E" w14:textId="1E2A594B" w:rsidR="00704218" w:rsidRPr="00D23308" w:rsidRDefault="00704218" w:rsidP="00704218">
      <w:pPr>
        <w:pStyle w:val="ListBullet"/>
      </w:pPr>
      <w:r>
        <w:t xml:space="preserve">To evaluate the contraceptive efficacy of 15 mg </w:t>
      </w:r>
      <w:r w:rsidR="009A2E70">
        <w:t>estetrol</w:t>
      </w:r>
      <w:r>
        <w:t xml:space="preserve">/3 mg </w:t>
      </w:r>
      <w:r w:rsidR="009A2E70">
        <w:t>drospirenone</w:t>
      </w:r>
      <w:r>
        <w:t xml:space="preserve"> using the </w:t>
      </w:r>
      <w:r w:rsidR="004A44A5">
        <w:t>method failure</w:t>
      </w:r>
      <w:r w:rsidR="00F818E9">
        <w:t xml:space="preserve"> </w:t>
      </w:r>
      <w:r>
        <w:t>Pearl Index and life</w:t>
      </w:r>
      <w:r w:rsidR="005A1CC0">
        <w:t xml:space="preserve"> </w:t>
      </w:r>
      <w:r>
        <w:t>table analysis in subjects aged 18 to 35 years, inclusive, at the time of screening.</w:t>
      </w:r>
    </w:p>
    <w:p w14:paraId="6D1510EC" w14:textId="59B04F33" w:rsidR="00704218" w:rsidRPr="00D23308" w:rsidRDefault="00704218" w:rsidP="00704218">
      <w:pPr>
        <w:pStyle w:val="ListBullet"/>
      </w:pPr>
      <w:r>
        <w:t xml:space="preserve">To evaluate the contraceptive efficacy of 15 mg </w:t>
      </w:r>
      <w:r w:rsidR="009A2E70">
        <w:t>estetrol</w:t>
      </w:r>
      <w:r>
        <w:t xml:space="preserve">/3 mg </w:t>
      </w:r>
      <w:r w:rsidR="009A2E70">
        <w:t>drospirenone</w:t>
      </w:r>
      <w:r>
        <w:t xml:space="preserve"> using the Pearl Index, the </w:t>
      </w:r>
      <w:r w:rsidR="004A44A5">
        <w:t>method failure</w:t>
      </w:r>
      <w:r w:rsidR="00F818E9">
        <w:t xml:space="preserve"> </w:t>
      </w:r>
      <w:r>
        <w:t>Pearl Index and life</w:t>
      </w:r>
      <w:r w:rsidR="0039354E">
        <w:t xml:space="preserve"> </w:t>
      </w:r>
      <w:r>
        <w:t>table analysis in the overall study population.</w:t>
      </w:r>
    </w:p>
    <w:p w14:paraId="5C3724A5" w14:textId="5BDB3B85" w:rsidR="00704218" w:rsidRPr="00D23308" w:rsidRDefault="00704218" w:rsidP="00704218">
      <w:pPr>
        <w:pStyle w:val="ListBullet"/>
      </w:pPr>
      <w:r>
        <w:t xml:space="preserve">To evaluate cycle control and bleeding pattern associated with 15 mg </w:t>
      </w:r>
      <w:r w:rsidR="009A2E70">
        <w:t>estetrol</w:t>
      </w:r>
      <w:r>
        <w:t>/3</w:t>
      </w:r>
      <w:r w:rsidR="005A1CC0">
        <w:t> </w:t>
      </w:r>
      <w:r>
        <w:t xml:space="preserve">mg </w:t>
      </w:r>
      <w:r w:rsidR="009A2E70">
        <w:t>drospirenone</w:t>
      </w:r>
      <w:r>
        <w:t>.</w:t>
      </w:r>
    </w:p>
    <w:p w14:paraId="4A85B1F8" w14:textId="04873357" w:rsidR="00704218" w:rsidRPr="00D23308" w:rsidRDefault="00704218" w:rsidP="00704218">
      <w:pPr>
        <w:pStyle w:val="ListBullet"/>
      </w:pPr>
      <w:r>
        <w:t xml:space="preserve">To evaluate general safety of 15 mg </w:t>
      </w:r>
      <w:r w:rsidR="009A2E70">
        <w:t>estetrol</w:t>
      </w:r>
      <w:r>
        <w:t xml:space="preserve">/3 mg </w:t>
      </w:r>
      <w:r w:rsidR="009A2E70">
        <w:t>drospirenone</w:t>
      </w:r>
      <w:r>
        <w:t>.</w:t>
      </w:r>
    </w:p>
    <w:p w14:paraId="060963BE" w14:textId="3719713B" w:rsidR="00704218" w:rsidRPr="00D23308" w:rsidRDefault="296676D1" w:rsidP="00704218">
      <w:pPr>
        <w:pStyle w:val="ListBullet"/>
      </w:pPr>
      <w:r>
        <w:t xml:space="preserve">To evaluate the impact of 15 mg </w:t>
      </w:r>
      <w:r w:rsidR="711AD1DB">
        <w:t>estetrol</w:t>
      </w:r>
      <w:r>
        <w:t xml:space="preserve">/3 mg </w:t>
      </w:r>
      <w:r w:rsidR="711AD1DB">
        <w:t>drospirenone</w:t>
      </w:r>
      <w:r>
        <w:t xml:space="preserve"> on physical, psychological, and social functioning and </w:t>
      </w:r>
      <w:r w:rsidR="00F75441">
        <w:t>wellbeing</w:t>
      </w:r>
      <w:r>
        <w:t>.</w:t>
      </w:r>
    </w:p>
    <w:p w14:paraId="31443209" w14:textId="694FACEE" w:rsidR="00704218" w:rsidRPr="00D23308" w:rsidRDefault="00704218" w:rsidP="00704218">
      <w:pPr>
        <w:pStyle w:val="ListBullet"/>
      </w:pPr>
      <w:r w:rsidRPr="00D23308">
        <w:t>To evaluate the endometrial safety using histological assessment of endometrial biopsy samples in a subset of subjects aged 18 to 50 years, inclusive, at the time of screening (</w:t>
      </w:r>
      <w:r w:rsidR="005A1CC0" w:rsidRPr="00D23308">
        <w:t>endometrial safety sub-study</w:t>
      </w:r>
      <w:r w:rsidRPr="00D23308">
        <w:t>).</w:t>
      </w:r>
    </w:p>
    <w:p w14:paraId="20405E16" w14:textId="6619B4FB" w:rsidR="00704218" w:rsidRPr="00D23308" w:rsidRDefault="00704218" w:rsidP="00704218">
      <w:r w:rsidRPr="00D23308">
        <w:t xml:space="preserve">Eligible subjects were to be treated with 15 mg </w:t>
      </w:r>
      <w:r w:rsidR="009A2E70" w:rsidRPr="00D23308">
        <w:t>estetrol</w:t>
      </w:r>
      <w:r w:rsidRPr="00D23308">
        <w:t xml:space="preserve">/3 mg </w:t>
      </w:r>
      <w:r w:rsidR="009A2E70" w:rsidRPr="00D23308">
        <w:t>drospirenone</w:t>
      </w:r>
      <w:r w:rsidRPr="00D23308">
        <w:t xml:space="preserve"> for a maximum of 13 consecutive cycles. The investigational product was supplied as tablets in </w:t>
      </w:r>
      <w:r w:rsidRPr="00D23308">
        <w:lastRenderedPageBreak/>
        <w:t xml:space="preserve">blister packs with 24 active pink tablets containing 15 mg </w:t>
      </w:r>
      <w:r w:rsidR="009A2E70" w:rsidRPr="00D23308">
        <w:t>estetrol</w:t>
      </w:r>
      <w:r w:rsidRPr="00D23308">
        <w:t xml:space="preserve">/3 mg </w:t>
      </w:r>
      <w:r w:rsidR="009A2E70" w:rsidRPr="00D23308">
        <w:t>drospirenone</w:t>
      </w:r>
      <w:r w:rsidRPr="00D23308">
        <w:t xml:space="preserve"> and 4</w:t>
      </w:r>
      <w:r w:rsidR="005A1CC0" w:rsidRPr="00D23308">
        <w:t> </w:t>
      </w:r>
      <w:r w:rsidRPr="00D23308">
        <w:t>white placebo tablets. The treatment was to be taken once daily at approximately the same time of the day in a 24/4</w:t>
      </w:r>
      <w:r w:rsidR="009C5CCD">
        <w:t>-</w:t>
      </w:r>
      <w:r w:rsidRPr="00D23308">
        <w:t xml:space="preserve">day regimen, </w:t>
      </w:r>
      <w:r w:rsidR="005465BA" w:rsidRPr="00D23308">
        <w:t>that is</w:t>
      </w:r>
      <w:r w:rsidRPr="00D23308">
        <w:t>, 24 active tablets followed by 4 placebo tablets (</w:t>
      </w:r>
      <w:proofErr w:type="gramStart"/>
      <w:r w:rsidRPr="00D23308">
        <w:t>4</w:t>
      </w:r>
      <w:r w:rsidR="005A1CC0" w:rsidRPr="00D23308">
        <w:t xml:space="preserve"> </w:t>
      </w:r>
      <w:r w:rsidRPr="00D23308">
        <w:t>day</w:t>
      </w:r>
      <w:proofErr w:type="gramEnd"/>
      <w:r w:rsidRPr="00D23308">
        <w:t xml:space="preserve"> hormone</w:t>
      </w:r>
      <w:r w:rsidR="005A1CC0" w:rsidRPr="00D23308">
        <w:t xml:space="preserve"> </w:t>
      </w:r>
      <w:r w:rsidRPr="00D23308">
        <w:t>free interval).</w:t>
      </w:r>
    </w:p>
    <w:p w14:paraId="60662B29" w14:textId="6676BF30" w:rsidR="00704218" w:rsidRPr="00D23308" w:rsidRDefault="00704218" w:rsidP="00704218">
      <w:r w:rsidRPr="00D23308">
        <w:t xml:space="preserve">Those subjects who discontinued due to a pregnancy wish were to be followed-up for a maximum of </w:t>
      </w:r>
      <w:r w:rsidR="005A1CC0" w:rsidRPr="00D23308">
        <w:t>one</w:t>
      </w:r>
      <w:r w:rsidRPr="00D23308">
        <w:t xml:space="preserve"> year after study discontinuation for return of post-treatment spontaneous menstruation and until pregnancy or initiation of a new contraceptive method, whichever occurred first.</w:t>
      </w:r>
    </w:p>
    <w:p w14:paraId="4A92B470" w14:textId="27232E3E" w:rsidR="00704218" w:rsidRPr="00D23308" w:rsidRDefault="00704218" w:rsidP="00704218">
      <w:r w:rsidRPr="00D23308">
        <w:t xml:space="preserve">An </w:t>
      </w:r>
      <w:r w:rsidR="005A1CC0" w:rsidRPr="00D23308">
        <w:t xml:space="preserve">endometrial safety sub-study </w:t>
      </w:r>
      <w:r w:rsidRPr="00D23308">
        <w:t xml:space="preserve">was performed in subjects from selected sites in Finland, Germany and Poland and endometrial biopsies were obtained from these subjects at the </w:t>
      </w:r>
      <w:r w:rsidR="005A1CC0" w:rsidRPr="00D23308">
        <w:t xml:space="preserve">screening visit and </w:t>
      </w:r>
      <w:r w:rsidRPr="00D23308">
        <w:t>at Visit 7a if the subject had completed at least 10 cycles of treatment.</w:t>
      </w:r>
    </w:p>
    <w:p w14:paraId="7920FFC8" w14:textId="77777777" w:rsidR="00704218" w:rsidRPr="00D23308" w:rsidRDefault="00704218" w:rsidP="00704218">
      <w:r w:rsidRPr="00D23308">
        <w:t>This study was conducted at 69 centres in Europe and Russia.</w:t>
      </w:r>
    </w:p>
    <w:p w14:paraId="0201865C" w14:textId="0BB1CE3A" w:rsidR="00704218" w:rsidRPr="00D23308" w:rsidRDefault="00704218" w:rsidP="005A1CC0">
      <w:pPr>
        <w:pStyle w:val="Heading6"/>
      </w:pPr>
      <w:r w:rsidRPr="00D23308">
        <w:t>Key inclusion criteria</w:t>
      </w:r>
    </w:p>
    <w:p w14:paraId="0F8C1DB7" w14:textId="4D48579B" w:rsidR="00704218" w:rsidRPr="00D23308" w:rsidRDefault="00704218" w:rsidP="00704218">
      <w:pPr>
        <w:pStyle w:val="ListBullet"/>
      </w:pPr>
      <w:r w:rsidRPr="00D23308">
        <w:t>Heterosexually active female at risk for pregnancy and requesting contraception.</w:t>
      </w:r>
    </w:p>
    <w:p w14:paraId="0D5CA1FE" w14:textId="4683A69B" w:rsidR="00704218" w:rsidRPr="00D23308" w:rsidRDefault="00704218" w:rsidP="00704218">
      <w:pPr>
        <w:pStyle w:val="ListBullet"/>
      </w:pPr>
      <w:r w:rsidRPr="00D23308">
        <w:t xml:space="preserve">Negative serum pregnancy test at subject </w:t>
      </w:r>
      <w:r w:rsidR="005A1CC0" w:rsidRPr="00D23308">
        <w:t>enrolment</w:t>
      </w:r>
      <w:r w:rsidRPr="00D23308">
        <w:t>.</w:t>
      </w:r>
    </w:p>
    <w:p w14:paraId="35BF53B5" w14:textId="294A86D0" w:rsidR="00704218" w:rsidRPr="00D23308" w:rsidRDefault="00704218" w:rsidP="00704218">
      <w:pPr>
        <w:pStyle w:val="ListBullet"/>
      </w:pPr>
      <w:r w:rsidRPr="00D23308">
        <w:t>Aged 18 to 50 years (inclusive) at the time of signing the informed consent.</w:t>
      </w:r>
    </w:p>
    <w:p w14:paraId="07FB16B5" w14:textId="77777777" w:rsidR="00704218" w:rsidRPr="00D23308" w:rsidRDefault="00704218" w:rsidP="00704218">
      <w:pPr>
        <w:pStyle w:val="ListBullet"/>
      </w:pPr>
      <w:r w:rsidRPr="00D23308">
        <w:t>Willing to use the investigational product as the primary method of contraception for 13 consecutive cycles.</w:t>
      </w:r>
    </w:p>
    <w:p w14:paraId="46A2C9F6" w14:textId="0E722613" w:rsidR="00704218" w:rsidRPr="00D23308" w:rsidRDefault="00704218" w:rsidP="00704218">
      <w:pPr>
        <w:pStyle w:val="ListBullet"/>
        <w:rPr>
          <w:vertAlign w:val="superscript"/>
        </w:rPr>
      </w:pPr>
      <w:r w:rsidRPr="00D23308">
        <w:t xml:space="preserve">Body mass index (BMI) </w:t>
      </w:r>
      <w:r w:rsidR="00335952" w:rsidRPr="00D23308">
        <w:t>≤</w:t>
      </w:r>
      <w:r w:rsidRPr="00D23308">
        <w:t xml:space="preserve"> 35.0 kg/m</w:t>
      </w:r>
      <w:r w:rsidRPr="00D23308">
        <w:rPr>
          <w:vertAlign w:val="superscript"/>
        </w:rPr>
        <w:t>2</w:t>
      </w:r>
    </w:p>
    <w:p w14:paraId="6E2AC2A6" w14:textId="01223A38" w:rsidR="00704218" w:rsidRPr="00D23308" w:rsidRDefault="00335952" w:rsidP="00335952">
      <w:pPr>
        <w:pStyle w:val="Heading7"/>
        <w:rPr>
          <w:sz w:val="22"/>
          <w:szCs w:val="28"/>
        </w:rPr>
      </w:pPr>
      <w:r w:rsidRPr="00D23308">
        <w:rPr>
          <w:sz w:val="22"/>
          <w:szCs w:val="28"/>
        </w:rPr>
        <w:t>Key inclusion criteria f</w:t>
      </w:r>
      <w:r w:rsidR="00704218" w:rsidRPr="00D23308">
        <w:rPr>
          <w:sz w:val="22"/>
          <w:szCs w:val="28"/>
        </w:rPr>
        <w:t xml:space="preserve">or the </w:t>
      </w:r>
      <w:r w:rsidRPr="00D23308">
        <w:rPr>
          <w:sz w:val="22"/>
          <w:szCs w:val="28"/>
        </w:rPr>
        <w:t>endometrial safety sub-study</w:t>
      </w:r>
    </w:p>
    <w:p w14:paraId="797A43CD" w14:textId="0D020CBF" w:rsidR="00704218" w:rsidRPr="00D23308" w:rsidRDefault="00335952" w:rsidP="00704218">
      <w:pPr>
        <w:pStyle w:val="ListBullet"/>
      </w:pPr>
      <w:r w:rsidRPr="00D23308">
        <w:t xml:space="preserve">Subjects </w:t>
      </w:r>
      <w:r w:rsidR="00704218" w:rsidRPr="00D23308">
        <w:t xml:space="preserve">from the main study willing to participate in the </w:t>
      </w:r>
      <w:r w:rsidRPr="00D23308">
        <w:t xml:space="preserve">endometrial safety sub-study by giving </w:t>
      </w:r>
      <w:r w:rsidR="00704218" w:rsidRPr="00D23308">
        <w:t>their consent.</w:t>
      </w:r>
    </w:p>
    <w:p w14:paraId="62880615" w14:textId="7910D945" w:rsidR="00704218" w:rsidRPr="00D23308" w:rsidRDefault="00335952" w:rsidP="00704218">
      <w:pPr>
        <w:pStyle w:val="ListBullet"/>
      </w:pPr>
      <w:r w:rsidRPr="00D23308">
        <w:t xml:space="preserve">Endometrial </w:t>
      </w:r>
      <w:r w:rsidR="00704218" w:rsidRPr="00D23308">
        <w:t xml:space="preserve">biopsy taken at screening revealed no abnormal results, </w:t>
      </w:r>
      <w:r w:rsidR="005465BA" w:rsidRPr="00D23308">
        <w:t>that is</w:t>
      </w:r>
      <w:r w:rsidR="00704218" w:rsidRPr="00D23308">
        <w:t>, presence of hyperplasia (simple or complex, with or without atypia) or presence of carcinoma.</w:t>
      </w:r>
    </w:p>
    <w:p w14:paraId="175E4227" w14:textId="4E675FE5" w:rsidR="00704218" w:rsidRPr="00D23308" w:rsidRDefault="00704218" w:rsidP="00335952">
      <w:pPr>
        <w:pStyle w:val="Heading6"/>
      </w:pPr>
      <w:r w:rsidRPr="00D23308">
        <w:t>Key exclusion criteria</w:t>
      </w:r>
    </w:p>
    <w:p w14:paraId="161C8293" w14:textId="77777777" w:rsidR="00704218" w:rsidRPr="00D23308" w:rsidRDefault="00704218" w:rsidP="00704218">
      <w:pPr>
        <w:pStyle w:val="ListBullet"/>
      </w:pPr>
      <w:r w:rsidRPr="00D23308">
        <w:t>For subjects who were not using hormonal contraception at screening, a menstrual cycle length shorter than 21 days or longer than 35 days</w:t>
      </w:r>
    </w:p>
    <w:p w14:paraId="5ECA01EA" w14:textId="462E0D00" w:rsidR="00704218" w:rsidRPr="00D23308" w:rsidRDefault="00704218" w:rsidP="00704218">
      <w:pPr>
        <w:pStyle w:val="ListBullet"/>
      </w:pPr>
      <w:r w:rsidRPr="00D23308">
        <w:t>Smoking nicotine</w:t>
      </w:r>
      <w:r w:rsidR="00335952" w:rsidRPr="00D23308">
        <w:t xml:space="preserve"> </w:t>
      </w:r>
      <w:r w:rsidRPr="00D23308">
        <w:t xml:space="preserve">containing products if </w:t>
      </w:r>
      <w:r w:rsidR="00335952" w:rsidRPr="00D23308">
        <w:t>≥</w:t>
      </w:r>
      <w:r w:rsidRPr="00D23308">
        <w:t xml:space="preserve"> 35 years old.</w:t>
      </w:r>
    </w:p>
    <w:p w14:paraId="06B856E9" w14:textId="25BD1411" w:rsidR="00704218" w:rsidRPr="00D23308" w:rsidRDefault="00704218" w:rsidP="00704218">
      <w:pPr>
        <w:pStyle w:val="ListBullet"/>
      </w:pPr>
      <w:proofErr w:type="spellStart"/>
      <w:r w:rsidRPr="00D23308">
        <w:t>Dyslipoproteinemia</w:t>
      </w:r>
      <w:proofErr w:type="spellEnd"/>
      <w:r w:rsidRPr="00D23308">
        <w:t xml:space="preserve"> requiring active treatment with antilipidemic agent, </w:t>
      </w:r>
      <w:r w:rsidR="00335952" w:rsidRPr="00D23308">
        <w:t>diabetes mellitus with vascular involvement, any arterial hy</w:t>
      </w:r>
      <w:r w:rsidRPr="00D23308">
        <w:t>pertension</w:t>
      </w:r>
      <w:r w:rsidR="00335952" w:rsidRPr="00D23308">
        <w:t>.</w:t>
      </w:r>
    </w:p>
    <w:p w14:paraId="68EAE782" w14:textId="391DF2E1" w:rsidR="00704218" w:rsidRPr="00D23308" w:rsidRDefault="00704218" w:rsidP="00704218">
      <w:pPr>
        <w:pStyle w:val="ListBullet"/>
      </w:pPr>
      <w:r w:rsidRPr="00D23308">
        <w:t xml:space="preserve">Personal history of deep vein thrombosis or pulmonary embolism, known </w:t>
      </w:r>
      <w:proofErr w:type="spellStart"/>
      <w:r w:rsidRPr="00D23308">
        <w:t>hypercoagulopathies</w:t>
      </w:r>
      <w:proofErr w:type="spellEnd"/>
      <w:r w:rsidR="00335952" w:rsidRPr="00D23308">
        <w:t>.</w:t>
      </w:r>
    </w:p>
    <w:p w14:paraId="16C04F47" w14:textId="4CFB8338" w:rsidR="00704218" w:rsidRPr="00D23308" w:rsidRDefault="00704218" w:rsidP="00704218">
      <w:pPr>
        <w:pStyle w:val="ListBullet"/>
      </w:pPr>
      <w:r w:rsidRPr="00D23308">
        <w:t>Within the past 6 months, had undiagnosed (unexplained) abnormal vaginal bleeding</w:t>
      </w:r>
      <w:r w:rsidR="00335952" w:rsidRPr="00D23308">
        <w:t>.</w:t>
      </w:r>
    </w:p>
    <w:p w14:paraId="6AAE2398" w14:textId="59752D42" w:rsidR="00704218" w:rsidRPr="00D23308" w:rsidRDefault="00704218" w:rsidP="00704218">
      <w:pPr>
        <w:pStyle w:val="ListBullet"/>
      </w:pPr>
      <w:r w:rsidRPr="00D23308">
        <w:t>Presence or history of hormone</w:t>
      </w:r>
      <w:r w:rsidR="004D11AC">
        <w:t>-</w:t>
      </w:r>
      <w:r w:rsidRPr="00D23308">
        <w:t>related malignancy</w:t>
      </w:r>
      <w:r w:rsidR="00335952" w:rsidRPr="00D23308">
        <w:t>.</w:t>
      </w:r>
    </w:p>
    <w:p w14:paraId="35985F07" w14:textId="78FF08EC" w:rsidR="00704218" w:rsidRPr="00D23308" w:rsidRDefault="00704218" w:rsidP="00704218">
      <w:pPr>
        <w:pStyle w:val="ListBullet"/>
      </w:pPr>
      <w:r w:rsidRPr="00D23308">
        <w:t>Renal or hepatic impairment</w:t>
      </w:r>
      <w:r w:rsidR="00335952" w:rsidRPr="00D23308">
        <w:t>.</w:t>
      </w:r>
    </w:p>
    <w:p w14:paraId="31825D18" w14:textId="230225D1" w:rsidR="00704218" w:rsidRPr="00D23308" w:rsidRDefault="00335952" w:rsidP="00335952">
      <w:pPr>
        <w:pStyle w:val="Heading7"/>
        <w:rPr>
          <w:sz w:val="22"/>
          <w:szCs w:val="28"/>
        </w:rPr>
      </w:pPr>
      <w:r w:rsidRPr="00D23308">
        <w:rPr>
          <w:sz w:val="22"/>
          <w:szCs w:val="28"/>
        </w:rPr>
        <w:t>Key exclusion criteria f</w:t>
      </w:r>
      <w:r w:rsidR="00704218" w:rsidRPr="00D23308">
        <w:rPr>
          <w:sz w:val="22"/>
          <w:szCs w:val="28"/>
        </w:rPr>
        <w:t xml:space="preserve">or the </w:t>
      </w:r>
      <w:r w:rsidRPr="00D23308">
        <w:rPr>
          <w:sz w:val="22"/>
          <w:szCs w:val="28"/>
        </w:rPr>
        <w:t>endometrial safety sub-study</w:t>
      </w:r>
    </w:p>
    <w:p w14:paraId="713A3B7B" w14:textId="0F829D1C" w:rsidR="00704218" w:rsidRPr="00D23308" w:rsidRDefault="00704218" w:rsidP="00704218">
      <w:pPr>
        <w:pStyle w:val="ListBullet"/>
      </w:pPr>
      <w:r w:rsidRPr="00D23308">
        <w:t>The use of hormone</w:t>
      </w:r>
      <w:r w:rsidR="00335952" w:rsidRPr="00D23308">
        <w:t xml:space="preserve"> </w:t>
      </w:r>
      <w:r w:rsidRPr="00D23308">
        <w:t>releasing intrauterine system immediately prior to the study treatment.</w:t>
      </w:r>
    </w:p>
    <w:p w14:paraId="6208CEC0" w14:textId="7B871366" w:rsidR="00704218" w:rsidRPr="00D23308" w:rsidRDefault="00704218" w:rsidP="00704218">
      <w:pPr>
        <w:pStyle w:val="ListBullet"/>
      </w:pPr>
      <w:r w:rsidRPr="00D23308">
        <w:t xml:space="preserve">Acute genital infection as diagnosed at the discretion of the </w:t>
      </w:r>
      <w:r w:rsidR="00335952" w:rsidRPr="00D23308">
        <w:t>investigator</w:t>
      </w:r>
      <w:r w:rsidRPr="00D23308">
        <w:t>.</w:t>
      </w:r>
    </w:p>
    <w:p w14:paraId="06F07957" w14:textId="2CEC9D5F" w:rsidR="00704218" w:rsidRPr="00D23308" w:rsidRDefault="00704218" w:rsidP="00704218">
      <w:r w:rsidRPr="00D23308">
        <w:t xml:space="preserve">Sample size was based on needing </w:t>
      </w:r>
      <w:proofErr w:type="gramStart"/>
      <w:r w:rsidRPr="00D23308">
        <w:t>a sufficient number of</w:t>
      </w:r>
      <w:proofErr w:type="gramEnd"/>
      <w:r w:rsidRPr="00D23308">
        <w:t xml:space="preserve"> cycles such that the difference between the Pearl Index and the upper limit of the </w:t>
      </w:r>
      <w:r w:rsidR="009C5CCD" w:rsidRPr="00D23308">
        <w:t>two</w:t>
      </w:r>
      <w:r w:rsidR="009C5CCD">
        <w:t>-</w:t>
      </w:r>
      <w:r w:rsidRPr="00D23308">
        <w:t xml:space="preserve">sided 95% </w:t>
      </w:r>
      <w:r w:rsidR="00335952" w:rsidRPr="00D23308">
        <w:t>confidence intervals (</w:t>
      </w:r>
      <w:r w:rsidRPr="00D23308">
        <w:t>C</w:t>
      </w:r>
      <w:r w:rsidR="00335952" w:rsidRPr="00D23308">
        <w:t>I</w:t>
      </w:r>
      <w:r w:rsidRPr="00D23308">
        <w:t>s</w:t>
      </w:r>
      <w:r w:rsidR="00335952" w:rsidRPr="00D23308">
        <w:t>)</w:t>
      </w:r>
      <w:r w:rsidRPr="00D23308">
        <w:t xml:space="preserve"> for the Pearl Index did not exceed </w:t>
      </w:r>
      <w:r w:rsidR="00335952" w:rsidRPr="00D23308">
        <w:t>one</w:t>
      </w:r>
      <w:r w:rsidRPr="00D23308">
        <w:t xml:space="preserve">. Assuming that the true Pearl Index was 1.0 and that a Poisson model was used to derive the CIs, then at least 12,337 </w:t>
      </w:r>
      <w:r w:rsidR="009B40BE">
        <w:t>at-risk</w:t>
      </w:r>
      <w:r w:rsidRPr="00D23308">
        <w:t xml:space="preserve"> cycles </w:t>
      </w:r>
      <w:r w:rsidRPr="00D23308">
        <w:lastRenderedPageBreak/>
        <w:t xml:space="preserve">were required for a power of 90% in the </w:t>
      </w:r>
      <w:proofErr w:type="gramStart"/>
      <w:r w:rsidRPr="00D23308">
        <w:t>18 to 35</w:t>
      </w:r>
      <w:r w:rsidR="00335952" w:rsidRPr="00D23308">
        <w:t xml:space="preserve"> </w:t>
      </w:r>
      <w:r w:rsidRPr="00D23308">
        <w:t>year old</w:t>
      </w:r>
      <w:proofErr w:type="gramEnd"/>
      <w:r w:rsidRPr="00D23308">
        <w:t xml:space="preserve"> population.</w:t>
      </w:r>
      <w:r w:rsidR="009200E5">
        <w:rPr>
          <w:rStyle w:val="FootnoteReference"/>
        </w:rPr>
        <w:footnoteReference w:id="19"/>
      </w:r>
      <w:r w:rsidRPr="00D23308">
        <w:t xml:space="preserve"> Assuming a not </w:t>
      </w:r>
      <w:r w:rsidR="009B40BE">
        <w:t>at-risk</w:t>
      </w:r>
      <w:r w:rsidRPr="00D23308">
        <w:t xml:space="preserve"> cycle rate of 10% and a dropout rate of approximately 30% (assuming that there was an average of 4 cycles for subjects that discontinued), approximately 1,350 subjects aged 18 to 35 years needed to be </w:t>
      </w:r>
      <w:r w:rsidR="0039354E" w:rsidRPr="00D23308">
        <w:t>enrolled</w:t>
      </w:r>
      <w:r w:rsidRPr="00D23308">
        <w:t xml:space="preserve">. Additionally, it was planned to </w:t>
      </w:r>
      <w:r w:rsidR="0039354E" w:rsidRPr="00D23308">
        <w:t>enrol</w:t>
      </w:r>
      <w:r w:rsidRPr="00D23308">
        <w:t xml:space="preserve"> a maximum of 200 subjects aged 36 to 50 years. Hence, </w:t>
      </w:r>
      <w:proofErr w:type="gramStart"/>
      <w:r w:rsidRPr="00D23308">
        <w:t>overall</w:t>
      </w:r>
      <w:proofErr w:type="gramEnd"/>
      <w:r w:rsidRPr="00D23308">
        <w:t xml:space="preserve"> 1,550 subjects were planned to be enrolled in the study.</w:t>
      </w:r>
    </w:p>
    <w:p w14:paraId="526BAD0F" w14:textId="7588EA70" w:rsidR="00704218" w:rsidRPr="00D23308" w:rsidRDefault="00704218" w:rsidP="00704218">
      <w:r w:rsidRPr="00D23308">
        <w:t>As this was a single</w:t>
      </w:r>
      <w:r w:rsidR="005A1CC0" w:rsidRPr="00D23308">
        <w:t xml:space="preserve"> </w:t>
      </w:r>
      <w:r w:rsidRPr="00D23308">
        <w:t>arm study, no formal statistical analyses were performed. Descriptive statistics presented for all continuous variables.</w:t>
      </w:r>
    </w:p>
    <w:p w14:paraId="07DB09F8" w14:textId="0DB88E9A" w:rsidR="00704218" w:rsidRPr="00D23308" w:rsidRDefault="00704218" w:rsidP="00704218">
      <w:r w:rsidRPr="00D23308">
        <w:t xml:space="preserve">The primary variable was summarised using the Pearl Index in the </w:t>
      </w:r>
      <w:r w:rsidR="00D23308" w:rsidRPr="00D23308">
        <w:t>intention-to-treat (</w:t>
      </w:r>
      <w:r w:rsidRPr="00D23308">
        <w:t>ITT</w:t>
      </w:r>
      <w:r w:rsidR="00D23308" w:rsidRPr="00D23308">
        <w:t>)</w:t>
      </w:r>
      <w:r w:rsidR="00D23308" w:rsidRPr="00D23308">
        <w:rPr>
          <w:rStyle w:val="FootnoteReference"/>
        </w:rPr>
        <w:footnoteReference w:id="20"/>
      </w:r>
      <w:r w:rsidRPr="00D23308">
        <w:t xml:space="preserve"> population of women aged 18 to 35 years with </w:t>
      </w:r>
      <w:r w:rsidR="009B40BE">
        <w:t>at-risk</w:t>
      </w:r>
      <w:r w:rsidRPr="00D23308">
        <w:t xml:space="preserve"> cycles. The Pearl Index was presented with corresponding 95% CIs, using a Poisson distribution. The same method was used for the secondary variables in which the Pearl Index and the </w:t>
      </w:r>
      <w:r w:rsidR="004A44A5" w:rsidRPr="00D23308">
        <w:t>method failure</w:t>
      </w:r>
      <w:r w:rsidR="00F818E9" w:rsidRPr="00D23308">
        <w:t xml:space="preserve"> </w:t>
      </w:r>
      <w:r w:rsidRPr="00D23308">
        <w:t xml:space="preserve">Pearl Index were presented in all subjects and with different definitions of cycles in the denominator (all cycles, modified </w:t>
      </w:r>
      <w:r w:rsidR="009B40BE">
        <w:t>at-risk</w:t>
      </w:r>
      <w:r w:rsidRPr="00D23308">
        <w:t xml:space="preserve"> cycles, protocol compliant </w:t>
      </w:r>
      <w:r w:rsidR="009B40BE">
        <w:t>at-risk</w:t>
      </w:r>
      <w:r w:rsidRPr="00D23308">
        <w:t xml:space="preserve"> cycles). Life</w:t>
      </w:r>
      <w:r w:rsidR="0039354E" w:rsidRPr="00D23308">
        <w:t xml:space="preserve"> </w:t>
      </w:r>
      <w:r w:rsidRPr="00D23308">
        <w:t xml:space="preserve">table analyses with </w:t>
      </w:r>
      <w:r w:rsidR="00335952" w:rsidRPr="00D23308">
        <w:t xml:space="preserve">one </w:t>
      </w:r>
      <w:r w:rsidRPr="00D23308">
        <w:t>year life</w:t>
      </w:r>
      <w:r w:rsidR="00335952" w:rsidRPr="00D23308">
        <w:t xml:space="preserve"> </w:t>
      </w:r>
      <w:r w:rsidRPr="00D23308">
        <w:t>table pregnancy rates were presented for each efficacy variable (</w:t>
      </w:r>
      <w:r w:rsidR="005465BA" w:rsidRPr="00D23308">
        <w:t>that is</w:t>
      </w:r>
      <w:r w:rsidRPr="00D23308">
        <w:t>, for all pregnancies as used in the Pearl Index and for all method</w:t>
      </w:r>
      <w:r w:rsidR="001A7716" w:rsidRPr="00D23308">
        <w:t xml:space="preserve"> </w:t>
      </w:r>
      <w:r w:rsidRPr="00D23308">
        <w:t xml:space="preserve">failure pregnancies as used in the </w:t>
      </w:r>
      <w:r w:rsidR="004A44A5" w:rsidRPr="00D23308">
        <w:t>method failure</w:t>
      </w:r>
      <w:r w:rsidR="00F818E9" w:rsidRPr="00D23308">
        <w:t xml:space="preserve"> </w:t>
      </w:r>
      <w:r w:rsidRPr="00D23308">
        <w:t>Pearl Index). The rate of pregnancy and 95% CIs were calculated based on Kaplan-Meier estimates for each cycle and the estimated survival function against time (cycle) was also provided.</w:t>
      </w:r>
    </w:p>
    <w:p w14:paraId="791A29AF" w14:textId="77777777" w:rsidR="00704218" w:rsidRPr="00D23308" w:rsidRDefault="00704218" w:rsidP="0096551F">
      <w:pPr>
        <w:pStyle w:val="Heading6"/>
      </w:pPr>
      <w:r w:rsidRPr="00D23308">
        <w:t>Results</w:t>
      </w:r>
    </w:p>
    <w:p w14:paraId="7BBE206C" w14:textId="68F816AD" w:rsidR="00704218" w:rsidRPr="00D23308" w:rsidRDefault="00704218" w:rsidP="00704218">
      <w:r w:rsidRPr="00D23308">
        <w:t>A total of 1,744 subjects were screened. Of whom 1,577 were enrolled in the study: 1,373</w:t>
      </w:r>
      <w:r w:rsidR="00297451">
        <w:t> </w:t>
      </w:r>
      <w:r w:rsidRPr="00D23308">
        <w:t xml:space="preserve">subjects aged 18 to 35 years and 204 subjects aged </w:t>
      </w:r>
      <w:r w:rsidR="00297451">
        <w:t xml:space="preserve">over </w:t>
      </w:r>
      <w:r w:rsidRPr="00D23308">
        <w:t>35 years. Overall, 1,553 of 1,577 (98.5%) enrolled subjects took study medication (</w:t>
      </w:r>
      <w:r w:rsidR="005465BA" w:rsidRPr="00D23308">
        <w:t>that is</w:t>
      </w:r>
      <w:r w:rsidRPr="00D23308">
        <w:t xml:space="preserve">, </w:t>
      </w:r>
      <w:r w:rsidR="001A7716" w:rsidRPr="00D23308">
        <w:t xml:space="preserve">subjects in the safety </w:t>
      </w:r>
      <w:r w:rsidRPr="00D23308">
        <w:t xml:space="preserve">and ITT </w:t>
      </w:r>
      <w:r w:rsidR="001A7716" w:rsidRPr="00D23308">
        <w:t>populations</w:t>
      </w:r>
      <w:r w:rsidRPr="00D23308">
        <w:t>)</w:t>
      </w:r>
      <w:r w:rsidR="00297451">
        <w:t>.</w:t>
      </w:r>
      <w:r w:rsidRPr="00D23308">
        <w:t xml:space="preserve"> The most common reasons for study discontinuation were </w:t>
      </w:r>
      <w:r w:rsidR="00297451">
        <w:t>AEs</w:t>
      </w:r>
      <w:r w:rsidR="00297451" w:rsidRPr="00D23308">
        <w:t xml:space="preserve"> </w:t>
      </w:r>
      <w:r w:rsidRPr="00D23308">
        <w:t>not related to bleeding (104 subjects, 6.6%), consent withdrawal (86</w:t>
      </w:r>
      <w:r w:rsidR="00297451">
        <w:t> </w:t>
      </w:r>
      <w:r w:rsidRPr="00D23308">
        <w:t>subjects, 5.5%), AEs related to bleeding (54 subjects, 3.4%) and loss to follow-up (41</w:t>
      </w:r>
      <w:r w:rsidR="00297451">
        <w:t> </w:t>
      </w:r>
      <w:r w:rsidRPr="00D23308">
        <w:t>subjects, 2.6%).</w:t>
      </w:r>
    </w:p>
    <w:p w14:paraId="47EEC732" w14:textId="3701905F" w:rsidR="00704218" w:rsidRPr="00C34B5A" w:rsidRDefault="001A7716" w:rsidP="00C34B5A">
      <w:pPr>
        <w:pStyle w:val="FigureTitle"/>
      </w:pPr>
      <w:r w:rsidRPr="00C34B5A">
        <w:lastRenderedPageBreak/>
        <w:t xml:space="preserve">Figure </w:t>
      </w:r>
      <w:r w:rsidRPr="00C34B5A">
        <w:fldChar w:fldCharType="begin"/>
      </w:r>
      <w:r w:rsidRPr="00C34B5A">
        <w:instrText>SEQ Figure \* ARABIC</w:instrText>
      </w:r>
      <w:r w:rsidRPr="00C34B5A">
        <w:fldChar w:fldCharType="separate"/>
      </w:r>
      <w:r w:rsidR="005319AF">
        <w:rPr>
          <w:noProof/>
        </w:rPr>
        <w:t>3</w:t>
      </w:r>
      <w:r w:rsidRPr="00C34B5A">
        <w:fldChar w:fldCharType="end"/>
      </w:r>
      <w:r w:rsidRPr="00C34B5A">
        <w:t>: Study MIT-Es0001-C301</w:t>
      </w:r>
      <w:r w:rsidR="00704218" w:rsidRPr="00C34B5A">
        <w:t xml:space="preserve"> </w:t>
      </w:r>
      <w:r w:rsidR="0090198B" w:rsidRPr="00C34B5A">
        <w:t>Subject disposition</w:t>
      </w:r>
    </w:p>
    <w:p w14:paraId="2E5C9BA9" w14:textId="6AA20651" w:rsidR="00704218" w:rsidRDefault="00704218" w:rsidP="00C34B5A">
      <w:r w:rsidRPr="00D23308">
        <w:rPr>
          <w:noProof/>
          <w:shd w:val="clear" w:color="auto" w:fill="E6E6E6"/>
          <w:lang w:val="en-GB" w:eastAsia="en-GB"/>
        </w:rPr>
        <w:drawing>
          <wp:inline distT="0" distB="0" distL="0" distR="0" wp14:anchorId="605DB1F4" wp14:editId="0FF0AC33">
            <wp:extent cx="5731510" cy="3442855"/>
            <wp:effectExtent l="0" t="0" r="2540" b="5715"/>
            <wp:docPr id="8" name="Picture 8" descr="Figure 3: Study MIT-Es0001-C301 Subject disposition&#10;&#10;Of 1,744 subjects who were screened (1515 and 229 subjects aged 18 to 35 years and aged &gt; 35 years, respectively), 1577 were enrolled in the study (1373 and 204, respectively). majority (98.5%) of the enrolled subjects started the study treatment with 15 mg estetrol /3 mg drospirenone (1553/1577 subjects aged 18 to 50 years, 1353/1373 aged 18 to 35 years), and 78% of these completed the study (1218/1553 subjects aged 18 to 50 years, 1,052/1,353 aged 18 to 35 years). The most common reasons for discontinuing the study among all subjects were AEs not related to bleeding (104 subjects, 6.0%), consent withdrawal (86 subjects, 4.9%), adverse events related to bleeding (54 subjects, 3.1%), pregnancy wish (15 subjects, 0.9%) and pregnancy (11 subjects, 0.6%); 14 subjects (0.8%) discontinued the study due to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Study MIT-Es0001-C301 Subject disposition&#10;&#10;Of 1,744 subjects who were screened (1515 and 229 subjects aged 18 to 35 years and aged &gt; 35 years, respectively), 1577 were enrolled in the study (1373 and 204, respectively). majority (98.5%) of the enrolled subjects started the study treatment with 15 mg estetrol /3 mg drospirenone (1553/1577 subjects aged 18 to 50 years, 1353/1373 aged 18 to 35 years), and 78% of these completed the study (1218/1553 subjects aged 18 to 50 years, 1,052/1,353 aged 18 to 35 years). The most common reasons for discontinuing the study among all subjects were AEs not related to bleeding (104 subjects, 6.0%), consent withdrawal (86 subjects, 4.9%), adverse events related to bleeding (54 subjects, 3.1%), pregnancy wish (15 subjects, 0.9%) and pregnancy (11 subjects, 0.6%); 14 subjects (0.8%) discontinued the study due to protocol deviations."/>
                    <pic:cNvPicPr/>
                  </pic:nvPicPr>
                  <pic:blipFill>
                    <a:blip r:embed="rId21"/>
                    <a:stretch>
                      <a:fillRect/>
                    </a:stretch>
                  </pic:blipFill>
                  <pic:spPr>
                    <a:xfrm>
                      <a:off x="0" y="0"/>
                      <a:ext cx="5735999" cy="3445551"/>
                    </a:xfrm>
                    <a:prstGeom prst="rect">
                      <a:avLst/>
                    </a:prstGeom>
                  </pic:spPr>
                </pic:pic>
              </a:graphicData>
            </a:graphic>
          </wp:inline>
        </w:drawing>
      </w:r>
    </w:p>
    <w:p w14:paraId="64D952D3" w14:textId="7D681EB9" w:rsidR="00E439D4" w:rsidRPr="00C34B5A" w:rsidRDefault="00297451" w:rsidP="00C34B5A">
      <w:pPr>
        <w:pStyle w:val="FigureDescription"/>
      </w:pPr>
      <w:r w:rsidRPr="00C34B5A">
        <w:t xml:space="preserve">Abbreviation: </w:t>
      </w:r>
      <w:r w:rsidR="00E439D4" w:rsidRPr="00C34B5A">
        <w:t>N = population size.</w:t>
      </w:r>
    </w:p>
    <w:p w14:paraId="31CC7BB6" w14:textId="0C4B588A" w:rsidR="00704218" w:rsidRPr="00D23308" w:rsidRDefault="00704218" w:rsidP="00704218">
      <w:r w:rsidRPr="00D23308">
        <w:t xml:space="preserve">Subjects’ demographics and baseline characteristics in the ITT </w:t>
      </w:r>
      <w:r w:rsidR="001A7716" w:rsidRPr="00D23308">
        <w:t>population</w:t>
      </w:r>
      <w:r w:rsidRPr="00D23308">
        <w:t xml:space="preserve">; </w:t>
      </w:r>
      <w:r w:rsidR="00297451">
        <w:t>9</w:t>
      </w:r>
      <w:r w:rsidRPr="00D23308">
        <w:t>8.6% of the subjects were white (98.6% in subjects aged 18 to 35 years), and 0.5% were black or African American (0.6% in subjects aged 18 to 35 years). The subjects’ mean age was 27.1</w:t>
      </w:r>
      <w:r w:rsidR="001A7716" w:rsidRPr="00D23308">
        <w:t> </w:t>
      </w:r>
      <w:r w:rsidRPr="00D23308">
        <w:t xml:space="preserve">years old (25.0 in subjects aged 18 to 35 years). Mean </w:t>
      </w:r>
      <w:r w:rsidR="005A1CC0" w:rsidRPr="00D23308">
        <w:t>B</w:t>
      </w:r>
      <w:r w:rsidR="00335952" w:rsidRPr="00D23308">
        <w:t>MI</w:t>
      </w:r>
      <w:r w:rsidRPr="00D23308">
        <w:t xml:space="preserve"> was 23.0 kg/</w:t>
      </w:r>
      <w:r w:rsidR="00335952" w:rsidRPr="00D23308">
        <w:t>m</w:t>
      </w:r>
      <w:r w:rsidR="00335952" w:rsidRPr="00D23308">
        <w:rPr>
          <w:vertAlign w:val="superscript"/>
        </w:rPr>
        <w:t>2</w:t>
      </w:r>
      <w:r w:rsidRPr="00D23308">
        <w:t xml:space="preserve"> (22.9 in subjects 18 to 35 years of age).</w:t>
      </w:r>
    </w:p>
    <w:p w14:paraId="0CB2BC61" w14:textId="3078A326" w:rsidR="00704218" w:rsidRPr="00D23308" w:rsidRDefault="00704218" w:rsidP="00704218">
      <w:r w:rsidRPr="00D23308">
        <w:t>About two thirds (61%) were ‘switchers’ (</w:t>
      </w:r>
      <w:r w:rsidR="005465BA" w:rsidRPr="00D23308">
        <w:t>that is</w:t>
      </w:r>
      <w:r w:rsidRPr="00D23308">
        <w:t xml:space="preserve"> subjects who had used hormonal contraceptives within the 3 months prior to the date of first dose of investigational product.), while 39% were ‘starters’ (subjects who had not used hormonal contraceptive(s) within the 3 months prior to the date of first dose of investigational product). Approximately 25% of subjects were true new users (subjects who had never been using hormonal contraception; </w:t>
      </w:r>
      <w:r w:rsidR="005465BA" w:rsidRPr="00D23308">
        <w:t>that is</w:t>
      </w:r>
      <w:r w:rsidRPr="00D23308">
        <w:t xml:space="preserve"> a subset of the starter subgroup). The proportion of switchers and starters are generally equal among the groups and therefore it is not considered that this has impacted the overall study outcomes/primary endpoints.</w:t>
      </w:r>
    </w:p>
    <w:p w14:paraId="3FF17EC0" w14:textId="50A43B98" w:rsidR="00704218" w:rsidRPr="00D23308" w:rsidRDefault="001A7716" w:rsidP="00E55048">
      <w:pPr>
        <w:pStyle w:val="Heading6"/>
      </w:pPr>
      <w:r w:rsidRPr="00D23308">
        <w:t>Primary endpoint</w:t>
      </w:r>
    </w:p>
    <w:p w14:paraId="2E98575B" w14:textId="241481B1" w:rsidR="00704218" w:rsidRPr="00D23308" w:rsidRDefault="00704218" w:rsidP="001A7716">
      <w:r w:rsidRPr="00D23308">
        <w:t xml:space="preserve">During the study, </w:t>
      </w:r>
      <w:r w:rsidR="00297451" w:rsidRPr="00D23308">
        <w:t>five</w:t>
      </w:r>
      <w:r w:rsidRPr="00D23308">
        <w:t xml:space="preserve"> on-treatment pregnancies were reported, all of which occurred in subjects aged 18 to 35 years at screening. 1,313 subjects aged 18 to 35 years with at least </w:t>
      </w:r>
      <w:r w:rsidR="001A7716" w:rsidRPr="00D23308">
        <w:t xml:space="preserve">one </w:t>
      </w:r>
      <w:r w:rsidR="009B40BE">
        <w:t>at-risk</w:t>
      </w:r>
      <w:r w:rsidRPr="00D23308">
        <w:t xml:space="preserve"> cycle reported 13,692 </w:t>
      </w:r>
      <w:r w:rsidR="009B40BE">
        <w:t>at-risk</w:t>
      </w:r>
      <w:r w:rsidRPr="00D23308">
        <w:t xml:space="preserve"> cycles. The Pearl Index was 0.47 per 100</w:t>
      </w:r>
      <w:r w:rsidR="001A7716" w:rsidRPr="00D23308">
        <w:t> </w:t>
      </w:r>
      <w:r w:rsidRPr="00D23308">
        <w:t>women</w:t>
      </w:r>
      <w:r w:rsidR="00335952" w:rsidRPr="00D23308">
        <w:t> </w:t>
      </w:r>
      <w:r w:rsidRPr="00D23308">
        <w:t>year (95% CI: 0.15, 1.11)</w:t>
      </w:r>
      <w:r w:rsidR="001A7716" w:rsidRPr="00D23308">
        <w:t xml:space="preserve"> (s</w:t>
      </w:r>
      <w:r w:rsidRPr="00D23308">
        <w:t xml:space="preserve">ee </w:t>
      </w:r>
      <w:r w:rsidR="001A7716" w:rsidRPr="00D23308">
        <w:rPr>
          <w:color w:val="2B579A"/>
          <w:shd w:val="clear" w:color="auto" w:fill="E6E6E6"/>
        </w:rPr>
        <w:fldChar w:fldCharType="begin"/>
      </w:r>
      <w:r w:rsidR="001A7716" w:rsidRPr="00D23308">
        <w:instrText xml:space="preserve"> REF _Ref106286342 \h  \* MERGEFORMAT </w:instrText>
      </w:r>
      <w:r w:rsidR="001A7716" w:rsidRPr="00D23308">
        <w:rPr>
          <w:color w:val="2B579A"/>
          <w:shd w:val="clear" w:color="auto" w:fill="E6E6E6"/>
        </w:rPr>
      </w:r>
      <w:r w:rsidR="001A7716" w:rsidRPr="00D23308">
        <w:rPr>
          <w:color w:val="2B579A"/>
          <w:shd w:val="clear" w:color="auto" w:fill="E6E6E6"/>
        </w:rPr>
        <w:fldChar w:fldCharType="separate"/>
      </w:r>
      <w:r w:rsidR="005319AF" w:rsidRPr="00C34B5A">
        <w:t xml:space="preserve">Table </w:t>
      </w:r>
      <w:r w:rsidR="005319AF">
        <w:t>3</w:t>
      </w:r>
      <w:r w:rsidR="001A7716" w:rsidRPr="00D23308">
        <w:rPr>
          <w:color w:val="2B579A"/>
          <w:shd w:val="clear" w:color="auto" w:fill="E6E6E6"/>
        </w:rPr>
        <w:fldChar w:fldCharType="end"/>
      </w:r>
      <w:r w:rsidRPr="00D23308">
        <w:t xml:space="preserve"> below</w:t>
      </w:r>
      <w:r w:rsidR="001A7716" w:rsidRPr="00D23308">
        <w:t>)</w:t>
      </w:r>
      <w:r w:rsidRPr="00D23308">
        <w:t>.</w:t>
      </w:r>
    </w:p>
    <w:p w14:paraId="255BFC1A" w14:textId="50FDED5E" w:rsidR="00704218" w:rsidRPr="00C34B5A" w:rsidRDefault="001A7716" w:rsidP="00C34B5A">
      <w:pPr>
        <w:pStyle w:val="Tabletitle0"/>
      </w:pPr>
      <w:bookmarkStart w:id="52" w:name="_Ref106286342"/>
      <w:r w:rsidRPr="00C34B5A">
        <w:lastRenderedPageBreak/>
        <w:t xml:space="preserve">Table </w:t>
      </w:r>
      <w:r w:rsidRPr="00C34B5A">
        <w:fldChar w:fldCharType="begin"/>
      </w:r>
      <w:r w:rsidRPr="00C34B5A">
        <w:instrText>SEQ Table \* ARABIC</w:instrText>
      </w:r>
      <w:r w:rsidRPr="00C34B5A">
        <w:fldChar w:fldCharType="separate"/>
      </w:r>
      <w:r w:rsidR="005319AF">
        <w:rPr>
          <w:noProof/>
        </w:rPr>
        <w:t>3</w:t>
      </w:r>
      <w:r w:rsidRPr="00C34B5A">
        <w:fldChar w:fldCharType="end"/>
      </w:r>
      <w:bookmarkEnd w:id="52"/>
      <w:r w:rsidRPr="00C34B5A">
        <w:t>:</w:t>
      </w:r>
      <w:r w:rsidR="00704218" w:rsidRPr="00C34B5A">
        <w:t xml:space="preserve"> </w:t>
      </w:r>
      <w:r w:rsidRPr="00C34B5A">
        <w:t xml:space="preserve">Study MIT-Es0001-C301 </w:t>
      </w:r>
      <w:r w:rsidR="00704218" w:rsidRPr="00C34B5A">
        <w:t xml:space="preserve">Summary </w:t>
      </w:r>
      <w:r w:rsidRPr="00C34B5A">
        <w:t xml:space="preserve">and analysis </w:t>
      </w:r>
      <w:r w:rsidR="00704218" w:rsidRPr="00C34B5A">
        <w:t xml:space="preserve">of Pearl Index in </w:t>
      </w:r>
      <w:r w:rsidRPr="00C34B5A">
        <w:t xml:space="preserve">subjects aged 18 to 35 years with </w:t>
      </w:r>
      <w:r w:rsidR="009B40BE" w:rsidRPr="00C34B5A">
        <w:t>at-risk</w:t>
      </w:r>
      <w:r w:rsidRPr="00C34B5A">
        <w:t xml:space="preserve"> cycles </w:t>
      </w:r>
      <w:r w:rsidR="00704218" w:rsidRPr="00C34B5A">
        <w:t>(</w:t>
      </w:r>
      <w:r w:rsidRPr="00C34B5A">
        <w:t>intention-to-treat p</w:t>
      </w:r>
      <w:r w:rsidR="00704218" w:rsidRPr="00C34B5A">
        <w:t>opulation)</w:t>
      </w:r>
    </w:p>
    <w:p w14:paraId="6AAF0634" w14:textId="0523E117" w:rsidR="002C09E7" w:rsidRDefault="002C09E7" w:rsidP="00C34B5A">
      <w:r>
        <w:rPr>
          <w:noProof/>
          <w:shd w:val="clear" w:color="auto" w:fill="E6E6E6"/>
          <w:lang w:val="en-GB" w:eastAsia="en-GB"/>
        </w:rPr>
        <w:drawing>
          <wp:inline distT="0" distB="0" distL="0" distR="0" wp14:anchorId="3CAC18EE" wp14:editId="03F89EC3">
            <wp:extent cx="5400040" cy="1484630"/>
            <wp:effectExtent l="0" t="0" r="0" b="1270"/>
            <wp:docPr id="4" name="Picture 4" descr="Table 3: Study MIT-Es0001-C301 Summary and analysis of Pearl Index in subjects aged 18 to 35 years with at-risk cycl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3: Study MIT-Es0001-C301 Summary and analysis of Pearl Index in subjects aged 18 to 35 years with at-risk cycles (intention-to-treat population)"/>
                    <pic:cNvPicPr/>
                  </pic:nvPicPr>
                  <pic:blipFill>
                    <a:blip r:embed="rId22"/>
                    <a:stretch>
                      <a:fillRect/>
                    </a:stretch>
                  </pic:blipFill>
                  <pic:spPr>
                    <a:xfrm>
                      <a:off x="0" y="0"/>
                      <a:ext cx="5400040" cy="1484630"/>
                    </a:xfrm>
                    <a:prstGeom prst="rect">
                      <a:avLst/>
                    </a:prstGeom>
                  </pic:spPr>
                </pic:pic>
              </a:graphicData>
            </a:graphic>
          </wp:inline>
        </w:drawing>
      </w:r>
    </w:p>
    <w:p w14:paraId="61EC572F" w14:textId="6DFC3E1F" w:rsidR="007E600C" w:rsidRPr="00C34B5A" w:rsidRDefault="00297451" w:rsidP="00C34B5A">
      <w:pPr>
        <w:pStyle w:val="TableDescription"/>
      </w:pPr>
      <w:r w:rsidRPr="00C34B5A">
        <w:t xml:space="preserve">Abbreviations: </w:t>
      </w:r>
      <w:r w:rsidR="007E600C" w:rsidRPr="00C34B5A">
        <w:t xml:space="preserve">CI= confidence intervals; </w:t>
      </w:r>
      <w:r w:rsidR="004D11AC" w:rsidRPr="00C34B5A">
        <w:t xml:space="preserve">DRSP = drospirenone; E4 = estetrol; </w:t>
      </w:r>
      <w:r w:rsidR="007E600C" w:rsidRPr="00C34B5A">
        <w:t>ITT= intention-to-treat; N</w:t>
      </w:r>
      <w:r w:rsidRPr="00C34B5A">
        <w:t> </w:t>
      </w:r>
      <w:r w:rsidR="007E600C" w:rsidRPr="00C34B5A">
        <w:t>=</w:t>
      </w:r>
      <w:r w:rsidRPr="00C34B5A">
        <w:t> </w:t>
      </w:r>
      <w:r w:rsidR="007E600C" w:rsidRPr="00C34B5A">
        <w:t>number of subjects; n = number of subjects aged 18 to 25 years at screening with at least one cycle included in the denominator.</w:t>
      </w:r>
    </w:p>
    <w:p w14:paraId="2F65CAA7" w14:textId="248B88F6" w:rsidR="007E600C" w:rsidRPr="00C34B5A" w:rsidRDefault="007E600C" w:rsidP="00C34B5A">
      <w:pPr>
        <w:pStyle w:val="TableDescription"/>
      </w:pPr>
      <w:r w:rsidRPr="00C34B5A">
        <w:t xml:space="preserve">a </w:t>
      </w:r>
      <w:proofErr w:type="gramStart"/>
      <w:r w:rsidR="004D11AC" w:rsidRPr="00C34B5A">
        <w:t>Confidence intervals</w:t>
      </w:r>
      <w:proofErr w:type="gramEnd"/>
      <w:r w:rsidRPr="00C34B5A">
        <w:t xml:space="preserve"> are calculated using a Poisson distribution. </w:t>
      </w:r>
      <w:r w:rsidR="009B40BE" w:rsidRPr="00C34B5A">
        <w:t>At-risk</w:t>
      </w:r>
      <w:r w:rsidRPr="00C34B5A">
        <w:t xml:space="preserve"> cycles are defined as cycles with no other methods of birth control (including condoms) and confirmed sexual intercourse.</w:t>
      </w:r>
    </w:p>
    <w:p w14:paraId="54E33435" w14:textId="235D43EB" w:rsidR="00704218" w:rsidRPr="00C34B5A" w:rsidRDefault="007E600C" w:rsidP="00C34B5A">
      <w:pPr>
        <w:pStyle w:val="TableDescription"/>
      </w:pPr>
      <w:r w:rsidRPr="00C34B5A">
        <w:t>On-treatment pregnancy: a pregnancy with estimated date of conception after the date of the first dose of investigational product to 2 days after the last dose investigational product (regardless of whether the last dose was an active or inactive tablet) inclusive.</w:t>
      </w:r>
    </w:p>
    <w:p w14:paraId="2B56A906" w14:textId="02A0D1AC" w:rsidR="00704218" w:rsidRPr="00D23308" w:rsidRDefault="00704218" w:rsidP="00C41EBD">
      <w:r w:rsidRPr="00D23308">
        <w:t xml:space="preserve">This fulfilled the criterion on the precision of the estimate in the EMA </w:t>
      </w:r>
      <w:r w:rsidR="00EF115C">
        <w:t>g</w:t>
      </w:r>
      <w:r w:rsidRPr="00D23308">
        <w:t>uideline</w:t>
      </w:r>
      <w:r w:rsidR="00EF115C">
        <w:t>;</w:t>
      </w:r>
      <w:r w:rsidR="00EF115C" w:rsidRPr="00EF115C">
        <w:rPr>
          <w:color w:val="2B579A"/>
          <w:shd w:val="clear" w:color="auto" w:fill="E6E6E6"/>
          <w:vertAlign w:val="superscript"/>
        </w:rPr>
        <w:fldChar w:fldCharType="begin"/>
      </w:r>
      <w:r w:rsidR="00EF115C" w:rsidRPr="00EF115C">
        <w:rPr>
          <w:vertAlign w:val="superscript"/>
        </w:rPr>
        <w:instrText xml:space="preserve"> NOTEREF _Ref106367821 \h </w:instrText>
      </w:r>
      <w:r w:rsidR="00EF115C">
        <w:rPr>
          <w:vertAlign w:val="superscript"/>
        </w:rPr>
        <w:instrText xml:space="preserve"> \* MERGEFORMAT </w:instrText>
      </w:r>
      <w:r w:rsidR="00EF115C" w:rsidRPr="00EF115C">
        <w:rPr>
          <w:color w:val="2B579A"/>
          <w:shd w:val="clear" w:color="auto" w:fill="E6E6E6"/>
          <w:vertAlign w:val="superscript"/>
        </w:rPr>
      </w:r>
      <w:r w:rsidR="00EF115C" w:rsidRPr="00EF115C">
        <w:rPr>
          <w:color w:val="2B579A"/>
          <w:shd w:val="clear" w:color="auto" w:fill="E6E6E6"/>
          <w:vertAlign w:val="superscript"/>
        </w:rPr>
        <w:fldChar w:fldCharType="separate"/>
      </w:r>
      <w:r w:rsidR="005319AF">
        <w:rPr>
          <w:vertAlign w:val="superscript"/>
        </w:rPr>
        <w:t>20</w:t>
      </w:r>
      <w:r w:rsidR="00EF115C" w:rsidRPr="00EF115C">
        <w:rPr>
          <w:color w:val="2B579A"/>
          <w:shd w:val="clear" w:color="auto" w:fill="E6E6E6"/>
          <w:vertAlign w:val="superscript"/>
        </w:rPr>
        <w:fldChar w:fldCharType="end"/>
      </w:r>
      <w:r w:rsidRPr="00D23308">
        <w:t xml:space="preserve"> that the difference between the upper limit of the corresponding </w:t>
      </w:r>
      <w:r w:rsidR="00297451">
        <w:t>two-</w:t>
      </w:r>
      <w:r w:rsidRPr="00D23308">
        <w:t xml:space="preserve">sided 95% CI for the Pearl Index </w:t>
      </w:r>
      <w:r w:rsidR="00BE2FE6">
        <w:t xml:space="preserve">(1.11) </w:t>
      </w:r>
      <w:r w:rsidRPr="00D23308">
        <w:t xml:space="preserve">and the point estimate </w:t>
      </w:r>
      <w:r w:rsidR="00BE2FE6">
        <w:t xml:space="preserve">(0.47) </w:t>
      </w:r>
      <w:r w:rsidRPr="00D23308">
        <w:t xml:space="preserve">did not exceed </w:t>
      </w:r>
      <w:r w:rsidR="00E55048" w:rsidRPr="00D23308">
        <w:t>one</w:t>
      </w:r>
      <w:r w:rsidRPr="00D23308">
        <w:t xml:space="preserve"> (1.11 </w:t>
      </w:r>
      <w:r w:rsidR="00145304">
        <w:t>-</w:t>
      </w:r>
      <w:r w:rsidRPr="00D23308">
        <w:t xml:space="preserve"> 0.47 </w:t>
      </w:r>
      <w:r w:rsidR="00E55048" w:rsidRPr="00D23308">
        <w:t>=</w:t>
      </w:r>
      <w:r w:rsidRPr="00D23308">
        <w:t xml:space="preserve"> 0.64).</w:t>
      </w:r>
    </w:p>
    <w:p w14:paraId="369F27DE" w14:textId="77777777" w:rsidR="00704218" w:rsidRPr="00D23308" w:rsidRDefault="00704218" w:rsidP="0096551F">
      <w:pPr>
        <w:pStyle w:val="Heading6"/>
        <w:rPr>
          <w:lang w:val="en-US"/>
        </w:rPr>
      </w:pPr>
      <w:r w:rsidRPr="00D23308">
        <w:rPr>
          <w:lang w:val="en-US"/>
        </w:rPr>
        <w:t>Subgroup analysis of primary endpoint</w:t>
      </w:r>
    </w:p>
    <w:p w14:paraId="6AE84BB8" w14:textId="77777777" w:rsidR="00C41EBD" w:rsidRPr="00D23308" w:rsidRDefault="00704218" w:rsidP="00C41EBD">
      <w:pPr>
        <w:pStyle w:val="Heading7"/>
        <w:rPr>
          <w:sz w:val="22"/>
          <w:szCs w:val="28"/>
        </w:rPr>
      </w:pPr>
      <w:r w:rsidRPr="00D23308">
        <w:rPr>
          <w:sz w:val="22"/>
          <w:szCs w:val="28"/>
        </w:rPr>
        <w:t>Age</w:t>
      </w:r>
    </w:p>
    <w:p w14:paraId="12C93D94" w14:textId="6669065D" w:rsidR="00704218" w:rsidRPr="00D23308" w:rsidRDefault="00704218" w:rsidP="00C41EBD">
      <w:r w:rsidRPr="00D23308">
        <w:t xml:space="preserve">For subjects aged ≥ 18 to ≤ 25 years at screening, there were </w:t>
      </w:r>
      <w:r w:rsidR="00BE2FE6">
        <w:t>three</w:t>
      </w:r>
      <w:r w:rsidRPr="00D23308">
        <w:t xml:space="preserve"> on-treatment pregnancies, giving a slightly higher Pearl Index of 0.50 (95% CI: 0.10</w:t>
      </w:r>
      <w:r w:rsidR="00E55048" w:rsidRPr="00D23308">
        <w:t xml:space="preserve">, </w:t>
      </w:r>
      <w:r w:rsidRPr="00D23308">
        <w:t>1.46). For subjects aged &gt; 25 to ≤</w:t>
      </w:r>
      <w:r w:rsidR="00E55048" w:rsidRPr="00D23308">
        <w:t> </w:t>
      </w:r>
      <w:r w:rsidRPr="00D23308">
        <w:t xml:space="preserve">35 years, there were </w:t>
      </w:r>
      <w:r w:rsidR="00BE2FE6" w:rsidRPr="00D23308">
        <w:t>two</w:t>
      </w:r>
      <w:r w:rsidRPr="00D23308">
        <w:t xml:space="preserve"> on-treatment pregnancies </w:t>
      </w:r>
      <w:r w:rsidR="006256DF" w:rsidRPr="00D23308">
        <w:t>(</w:t>
      </w:r>
      <w:r w:rsidRPr="00D23308">
        <w:t>Pearl Index of 0.44 (95% CI: 0.05</w:t>
      </w:r>
      <w:r w:rsidR="00E55048" w:rsidRPr="00D23308">
        <w:t xml:space="preserve">, </w:t>
      </w:r>
      <w:r w:rsidRPr="00D23308">
        <w:t>1.60)</w:t>
      </w:r>
      <w:r w:rsidR="006256DF" w:rsidRPr="00D23308">
        <w:t>)</w:t>
      </w:r>
      <w:r w:rsidRPr="00D23308">
        <w:t xml:space="preserve">. No on-treatment pregnancies occurred among the 197 subjects with </w:t>
      </w:r>
      <w:r w:rsidR="009B40BE">
        <w:t>at-risk</w:t>
      </w:r>
      <w:r w:rsidRPr="00D23308">
        <w:t xml:space="preserve"> cycles aged &gt; 35 to ≤ 50 years </w:t>
      </w:r>
      <w:r w:rsidR="006256DF" w:rsidRPr="00D23308">
        <w:t>(</w:t>
      </w:r>
      <w:r w:rsidRPr="00D23308">
        <w:t xml:space="preserve">Pearl Index of </w:t>
      </w:r>
      <w:r w:rsidR="00E55048" w:rsidRPr="00D23308">
        <w:t>zero</w:t>
      </w:r>
      <w:r w:rsidRPr="00D23308">
        <w:t xml:space="preserve"> (95% CI: 0.00</w:t>
      </w:r>
      <w:r w:rsidR="00E55048" w:rsidRPr="00D23308">
        <w:t xml:space="preserve">, </w:t>
      </w:r>
      <w:r w:rsidRPr="00D23308">
        <w:t>2.22)</w:t>
      </w:r>
      <w:r w:rsidR="006256DF" w:rsidRPr="00D23308">
        <w:t>)</w:t>
      </w:r>
      <w:r w:rsidRPr="00D23308">
        <w:t>.</w:t>
      </w:r>
    </w:p>
    <w:p w14:paraId="46E6912C" w14:textId="1039C26E" w:rsidR="00C41EBD" w:rsidRPr="00D23308" w:rsidRDefault="005A1CC0" w:rsidP="00C41EBD">
      <w:pPr>
        <w:pStyle w:val="Heading7"/>
        <w:rPr>
          <w:sz w:val="22"/>
          <w:szCs w:val="28"/>
        </w:rPr>
      </w:pPr>
      <w:r w:rsidRPr="00D23308">
        <w:rPr>
          <w:sz w:val="22"/>
          <w:szCs w:val="28"/>
        </w:rPr>
        <w:t>Body mass index</w:t>
      </w:r>
    </w:p>
    <w:p w14:paraId="4D4C06A5" w14:textId="3E16BFC2" w:rsidR="00704218" w:rsidRPr="00D23308" w:rsidRDefault="00704218" w:rsidP="00C41EBD">
      <w:r w:rsidRPr="00D23308">
        <w:t>No comparison for the BMI subgroups could be made as there were no on-treatment pregnancies reported in subjects aged 18 to 35 years with a BMI ≥ 30 mg/kg</w:t>
      </w:r>
      <w:r w:rsidRPr="00D23308">
        <w:rPr>
          <w:vertAlign w:val="superscript"/>
        </w:rPr>
        <w:t>2</w:t>
      </w:r>
      <w:r w:rsidRPr="00D23308">
        <w:t xml:space="preserve"> </w:t>
      </w:r>
      <w:r w:rsidR="006256DF" w:rsidRPr="00D23308">
        <w:t>(</w:t>
      </w:r>
      <w:r w:rsidRPr="00D23308">
        <w:t xml:space="preserve">Pearl Index of </w:t>
      </w:r>
      <w:r w:rsidR="00E55048" w:rsidRPr="00D23308">
        <w:t>zero</w:t>
      </w:r>
      <w:r w:rsidRPr="00D23308">
        <w:t xml:space="preserve"> (95% CI: 0.00</w:t>
      </w:r>
      <w:r w:rsidR="00E55048" w:rsidRPr="00D23308">
        <w:t xml:space="preserve">, </w:t>
      </w:r>
      <w:r w:rsidRPr="00D23308">
        <w:t>5.28)</w:t>
      </w:r>
      <w:r w:rsidR="006256DF" w:rsidRPr="00D23308">
        <w:t>)</w:t>
      </w:r>
      <w:r w:rsidRPr="00D23308">
        <w:t>, whereas the Pearl Index in subjects with a BMI &lt; 30</w:t>
      </w:r>
      <w:r w:rsidR="00E55048" w:rsidRPr="00D23308">
        <w:t> </w:t>
      </w:r>
      <w:r w:rsidRPr="00D23308">
        <w:t>mg/kg</w:t>
      </w:r>
      <w:r w:rsidRPr="00D23308">
        <w:rPr>
          <w:vertAlign w:val="superscript"/>
        </w:rPr>
        <w:t>2</w:t>
      </w:r>
      <w:r w:rsidRPr="00D23308">
        <w:t>, with 5 reported on-treatment pregnancies, was 0.50 (95% CI: 0.16</w:t>
      </w:r>
      <w:r w:rsidR="00E55048" w:rsidRPr="00D23308">
        <w:t xml:space="preserve">, </w:t>
      </w:r>
      <w:r w:rsidRPr="00D23308">
        <w:t>1.18).</w:t>
      </w:r>
    </w:p>
    <w:p w14:paraId="13112DC3" w14:textId="77777777" w:rsidR="00C41EBD" w:rsidRPr="00D23308" w:rsidRDefault="00704218" w:rsidP="00C41EBD">
      <w:pPr>
        <w:pStyle w:val="Heading7"/>
        <w:rPr>
          <w:sz w:val="22"/>
          <w:szCs w:val="28"/>
        </w:rPr>
      </w:pPr>
      <w:r w:rsidRPr="00D23308">
        <w:rPr>
          <w:sz w:val="22"/>
          <w:szCs w:val="28"/>
        </w:rPr>
        <w:t>Race</w:t>
      </w:r>
    </w:p>
    <w:p w14:paraId="78A7C466" w14:textId="5B8230CF" w:rsidR="00704218" w:rsidRPr="00D23308" w:rsidRDefault="00704218" w:rsidP="00C41EBD">
      <w:r w:rsidRPr="00D23308">
        <w:t>Although 2 of the 5 pregnancies were reported in Black women aged 18</w:t>
      </w:r>
      <w:r w:rsidR="00E55048" w:rsidRPr="00D23308">
        <w:t xml:space="preserve"> to </w:t>
      </w:r>
      <w:r w:rsidRPr="00D23308">
        <w:t xml:space="preserve">35 years </w:t>
      </w:r>
      <w:r w:rsidR="006256DF" w:rsidRPr="00D23308">
        <w:t>(</w:t>
      </w:r>
      <w:r w:rsidRPr="00D23308">
        <w:t>Pearl Index = 57.78 (95% CI: 7.00, 208.71)</w:t>
      </w:r>
      <w:r w:rsidR="006256DF" w:rsidRPr="00D23308">
        <w:t>)</w:t>
      </w:r>
      <w:r w:rsidRPr="00D23308">
        <w:t xml:space="preserve">, interpretation was limited due to the low number of enrolled Black or African American subjects with at least </w:t>
      </w:r>
      <w:r w:rsidR="00E55048" w:rsidRPr="00D23308">
        <w:t>one</w:t>
      </w:r>
      <w:r w:rsidRPr="00D23308">
        <w:t xml:space="preserve"> </w:t>
      </w:r>
      <w:r w:rsidR="009B40BE">
        <w:t>at-risk</w:t>
      </w:r>
      <w:r w:rsidRPr="00D23308">
        <w:t xml:space="preserve"> cycle (6 subjects with 45 </w:t>
      </w:r>
      <w:r w:rsidR="009B40BE">
        <w:t>at-risk</w:t>
      </w:r>
      <w:r w:rsidRPr="00D23308">
        <w:t xml:space="preserve"> cycles) in this study. No pregnancies were reported in the ‘other race’ subgroups.</w:t>
      </w:r>
    </w:p>
    <w:p w14:paraId="273E4859" w14:textId="36AD4C74" w:rsidR="00C41EBD" w:rsidRPr="00D23308" w:rsidRDefault="00704218" w:rsidP="00C41EBD">
      <w:pPr>
        <w:pStyle w:val="Heading7"/>
        <w:rPr>
          <w:sz w:val="22"/>
          <w:szCs w:val="28"/>
        </w:rPr>
      </w:pPr>
      <w:r w:rsidRPr="00D23308">
        <w:rPr>
          <w:sz w:val="22"/>
          <w:szCs w:val="28"/>
        </w:rPr>
        <w:t xml:space="preserve">Starters </w:t>
      </w:r>
      <w:r w:rsidR="00E55048" w:rsidRPr="00D23308">
        <w:rPr>
          <w:sz w:val="22"/>
          <w:szCs w:val="28"/>
        </w:rPr>
        <w:t>versus</w:t>
      </w:r>
      <w:r w:rsidRPr="00D23308">
        <w:rPr>
          <w:sz w:val="22"/>
          <w:szCs w:val="28"/>
        </w:rPr>
        <w:t xml:space="preserve"> switchers</w:t>
      </w:r>
    </w:p>
    <w:p w14:paraId="572682CD" w14:textId="47ED5432" w:rsidR="00704218" w:rsidRPr="00D23308" w:rsidRDefault="00704218" w:rsidP="00C41EBD">
      <w:r w:rsidRPr="00D23308">
        <w:t>In subjects aged 18</w:t>
      </w:r>
      <w:r w:rsidR="00E55048" w:rsidRPr="00D23308">
        <w:t xml:space="preserve"> to </w:t>
      </w:r>
      <w:r w:rsidRPr="00D23308">
        <w:t xml:space="preserve">35 years, there was </w:t>
      </w:r>
      <w:r w:rsidR="00BE2FE6">
        <w:t>one</w:t>
      </w:r>
      <w:r w:rsidRPr="00D23308">
        <w:t xml:space="preserve"> on-treatment pregnancy in starters </w:t>
      </w:r>
      <w:r w:rsidR="006256DF" w:rsidRPr="00D23308">
        <w:t>(</w:t>
      </w:r>
      <w:r w:rsidRPr="00D23308">
        <w:t>Pearl Index of 0.25 (95% CI: 0.01</w:t>
      </w:r>
      <w:r w:rsidR="00E55048" w:rsidRPr="00D23308">
        <w:t xml:space="preserve">, </w:t>
      </w:r>
      <w:r w:rsidRPr="00D23308">
        <w:t>1.42)</w:t>
      </w:r>
      <w:r w:rsidR="006256DF" w:rsidRPr="00D23308">
        <w:t>)</w:t>
      </w:r>
      <w:r w:rsidRPr="00D23308">
        <w:t xml:space="preserve"> whereas there were </w:t>
      </w:r>
      <w:r w:rsidR="00BE2FE6">
        <w:t>four</w:t>
      </w:r>
      <w:r w:rsidRPr="00D23308">
        <w:t xml:space="preserve"> on-treatment pregnancies in ‘switchers’ </w:t>
      </w:r>
      <w:r w:rsidR="006256DF" w:rsidRPr="00D23308">
        <w:t>(</w:t>
      </w:r>
      <w:r w:rsidRPr="00D23308">
        <w:t>Pearl Index of 0.61 (95% CI: 0.17</w:t>
      </w:r>
      <w:r w:rsidR="00E55048" w:rsidRPr="00D23308">
        <w:t xml:space="preserve">, </w:t>
      </w:r>
      <w:r w:rsidRPr="00D23308">
        <w:t>1.55)</w:t>
      </w:r>
      <w:r w:rsidR="006256DF" w:rsidRPr="00D23308">
        <w:t>)</w:t>
      </w:r>
      <w:r w:rsidRPr="00D23308">
        <w:t>.</w:t>
      </w:r>
    </w:p>
    <w:p w14:paraId="252E8BA4" w14:textId="77777777" w:rsidR="00C41EBD" w:rsidRPr="00D23308" w:rsidRDefault="00704218" w:rsidP="00C41EBD">
      <w:pPr>
        <w:pStyle w:val="Heading7"/>
        <w:rPr>
          <w:sz w:val="22"/>
          <w:szCs w:val="28"/>
        </w:rPr>
      </w:pPr>
      <w:r w:rsidRPr="00D23308">
        <w:rPr>
          <w:sz w:val="22"/>
          <w:szCs w:val="28"/>
        </w:rPr>
        <w:t>Smoking</w:t>
      </w:r>
    </w:p>
    <w:p w14:paraId="7B74D526" w14:textId="592B19AE" w:rsidR="00704218" w:rsidRPr="00D23308" w:rsidRDefault="00704218" w:rsidP="00C41EBD">
      <w:r w:rsidRPr="00D23308">
        <w:t xml:space="preserve">The Pearl Index was much higher in smokers compared to non-smokers: For smokers aged 18 to &lt; 35 years (smokers aged &gt; 35 years were not enrolled in study), there were </w:t>
      </w:r>
      <w:r w:rsidR="00BE2FE6">
        <w:t>two</w:t>
      </w:r>
      <w:r w:rsidR="00BE2FE6" w:rsidRPr="00D23308">
        <w:t> </w:t>
      </w:r>
      <w:r w:rsidRPr="00D23308">
        <w:t>on-treatment pregnancies, giving a Pearl Index of 1.04 (95% CI: 0.13</w:t>
      </w:r>
      <w:r w:rsidR="00E55048" w:rsidRPr="00D23308">
        <w:t xml:space="preserve">, </w:t>
      </w:r>
      <w:r w:rsidRPr="00D23308">
        <w:t xml:space="preserve">3.76) whereas </w:t>
      </w:r>
      <w:r w:rsidRPr="00D23308">
        <w:lastRenderedPageBreak/>
        <w:t xml:space="preserve">there were </w:t>
      </w:r>
      <w:r w:rsidR="00BE2FE6">
        <w:t>three</w:t>
      </w:r>
      <w:r w:rsidRPr="00D23308">
        <w:t xml:space="preserve"> on-treatment pregnancies in non-smokers </w:t>
      </w:r>
      <w:r w:rsidR="006256DF" w:rsidRPr="00D23308">
        <w:t>(</w:t>
      </w:r>
      <w:r w:rsidRPr="00D23308">
        <w:t>Pearl Index of 0.35 (95%</w:t>
      </w:r>
      <w:r w:rsidR="00BE2FE6">
        <w:t> </w:t>
      </w:r>
      <w:r w:rsidRPr="00D23308">
        <w:t>CI:</w:t>
      </w:r>
      <w:r w:rsidR="00BE2FE6">
        <w:t> </w:t>
      </w:r>
      <w:r w:rsidRPr="00D23308">
        <w:t>0.07</w:t>
      </w:r>
      <w:r w:rsidR="00E55048" w:rsidRPr="00D23308">
        <w:t xml:space="preserve">, </w:t>
      </w:r>
      <w:r w:rsidRPr="00D23308">
        <w:t>1.02)</w:t>
      </w:r>
      <w:r w:rsidR="006256DF" w:rsidRPr="00D23308">
        <w:t>)</w:t>
      </w:r>
      <w:r w:rsidRPr="00D23308">
        <w:t>.</w:t>
      </w:r>
    </w:p>
    <w:p w14:paraId="4C221B79" w14:textId="54A3BCC2" w:rsidR="00704218" w:rsidRPr="00D23308" w:rsidRDefault="00704218" w:rsidP="0096551F">
      <w:pPr>
        <w:pStyle w:val="Heading6"/>
      </w:pPr>
      <w:r w:rsidRPr="00D23308">
        <w:t>Secondary efficacy endpoints</w:t>
      </w:r>
    </w:p>
    <w:p w14:paraId="5384D6C9" w14:textId="6B6ADCC5" w:rsidR="00704218" w:rsidRPr="00D23308" w:rsidRDefault="00704218" w:rsidP="00E55048">
      <w:r w:rsidRPr="00D23308">
        <w:t xml:space="preserve">The modified </w:t>
      </w:r>
      <w:r w:rsidR="009B40BE">
        <w:t>at-risk</w:t>
      </w:r>
      <w:r w:rsidRPr="00D23308">
        <w:t xml:space="preserve"> Pearl Index (EU definition), for which only cycles with use of other methods of birth control are excluded from the denominator but cycles without confirmed sexual intercourse are included, was 0.44 (95% CI: 0.14, 1.03) in subjects aged 18 to 35</w:t>
      </w:r>
      <w:r w:rsidR="00E55048" w:rsidRPr="00D23308">
        <w:t> </w:t>
      </w:r>
      <w:r w:rsidRPr="00D23308">
        <w:t xml:space="preserve">years (See </w:t>
      </w:r>
      <w:r w:rsidR="00E55048" w:rsidRPr="00D23308">
        <w:rPr>
          <w:color w:val="2B579A"/>
          <w:shd w:val="clear" w:color="auto" w:fill="E6E6E6"/>
        </w:rPr>
        <w:fldChar w:fldCharType="begin"/>
      </w:r>
      <w:r w:rsidR="00E55048" w:rsidRPr="00D23308">
        <w:instrText xml:space="preserve"> REF _Ref106286750 \h  \* MERGEFORMAT </w:instrText>
      </w:r>
      <w:r w:rsidR="00E55048" w:rsidRPr="00D23308">
        <w:rPr>
          <w:color w:val="2B579A"/>
          <w:shd w:val="clear" w:color="auto" w:fill="E6E6E6"/>
        </w:rPr>
      </w:r>
      <w:r w:rsidR="00E55048" w:rsidRPr="00D23308">
        <w:rPr>
          <w:color w:val="2B579A"/>
          <w:shd w:val="clear" w:color="auto" w:fill="E6E6E6"/>
        </w:rPr>
        <w:fldChar w:fldCharType="separate"/>
      </w:r>
      <w:r w:rsidR="005319AF" w:rsidRPr="00C34B5A">
        <w:t xml:space="preserve">Table </w:t>
      </w:r>
      <w:r w:rsidR="005319AF">
        <w:t>4</w:t>
      </w:r>
      <w:r w:rsidR="00E55048" w:rsidRPr="00D23308">
        <w:rPr>
          <w:color w:val="2B579A"/>
          <w:shd w:val="clear" w:color="auto" w:fill="E6E6E6"/>
        </w:rPr>
        <w:fldChar w:fldCharType="end"/>
      </w:r>
      <w:r w:rsidR="00E55048" w:rsidRPr="00D23308">
        <w:t xml:space="preserve"> </w:t>
      </w:r>
      <w:r w:rsidRPr="00D23308">
        <w:t>below).</w:t>
      </w:r>
    </w:p>
    <w:p w14:paraId="32EA757F" w14:textId="77777777" w:rsidR="00C41EBD" w:rsidRPr="00D23308" w:rsidRDefault="00704218" w:rsidP="00C41EBD">
      <w:pPr>
        <w:pStyle w:val="Heading7"/>
        <w:rPr>
          <w:sz w:val="22"/>
          <w:szCs w:val="28"/>
        </w:rPr>
      </w:pPr>
      <w:r w:rsidRPr="00D23308">
        <w:rPr>
          <w:sz w:val="22"/>
          <w:szCs w:val="28"/>
        </w:rPr>
        <w:t>Secondary efficacy variables</w:t>
      </w:r>
    </w:p>
    <w:p w14:paraId="2A30B117" w14:textId="08BF59A3" w:rsidR="00704218" w:rsidRPr="00D23308" w:rsidRDefault="00704218" w:rsidP="00C41EBD">
      <w:r w:rsidRPr="00D23308">
        <w:t>Pearl Index in all subjects/</w:t>
      </w:r>
      <w:r w:rsidR="004A44A5" w:rsidRPr="00D23308">
        <w:t>Pearl Index</w:t>
      </w:r>
      <w:r w:rsidRPr="00D23308">
        <w:t xml:space="preserve"> calculated with alternative methods</w:t>
      </w:r>
      <w:r w:rsidR="00E55048" w:rsidRPr="00D23308">
        <w:t>.</w:t>
      </w:r>
    </w:p>
    <w:p w14:paraId="2906918E" w14:textId="74F7759D" w:rsidR="00704218" w:rsidRPr="00C34B5A" w:rsidRDefault="00E55048" w:rsidP="00C34B5A">
      <w:pPr>
        <w:pStyle w:val="TableTitle"/>
      </w:pPr>
      <w:bookmarkStart w:id="53" w:name="_Ref106286750"/>
      <w:r w:rsidRPr="00C34B5A">
        <w:t xml:space="preserve">Table </w:t>
      </w:r>
      <w:r w:rsidRPr="00C34B5A">
        <w:fldChar w:fldCharType="begin"/>
      </w:r>
      <w:r w:rsidRPr="00C34B5A">
        <w:instrText>SEQ Table \* ARABIC</w:instrText>
      </w:r>
      <w:r w:rsidRPr="00C34B5A">
        <w:fldChar w:fldCharType="separate"/>
      </w:r>
      <w:r w:rsidR="005319AF">
        <w:rPr>
          <w:noProof/>
        </w:rPr>
        <w:t>4</w:t>
      </w:r>
      <w:r w:rsidRPr="00C34B5A">
        <w:fldChar w:fldCharType="end"/>
      </w:r>
      <w:bookmarkEnd w:id="53"/>
      <w:r w:rsidR="00704218" w:rsidRPr="00C34B5A">
        <w:t xml:space="preserve">: Study MIT-Es0001-C301 Summary and analysis of Pearl Index for all subjects and Pearl Indices calculated with different methods in subjects with </w:t>
      </w:r>
      <w:r w:rsidR="009B40BE" w:rsidRPr="00C34B5A">
        <w:t>at-risk</w:t>
      </w:r>
      <w:r w:rsidR="00704218" w:rsidRPr="00C34B5A">
        <w:t xml:space="preserve"> cycles (</w:t>
      </w:r>
      <w:r w:rsidRPr="00C34B5A">
        <w:t>intention-to-treat</w:t>
      </w:r>
      <w:r w:rsidR="00704218" w:rsidRPr="00C34B5A">
        <w:t xml:space="preserve"> population)</w:t>
      </w:r>
    </w:p>
    <w:p w14:paraId="3C9ADD1A" w14:textId="4A2758E4" w:rsidR="007E600C" w:rsidRDefault="007E600C" w:rsidP="00C34B5A">
      <w:r>
        <w:rPr>
          <w:noProof/>
          <w:shd w:val="clear" w:color="auto" w:fill="E6E6E6"/>
          <w:lang w:val="en-GB" w:eastAsia="en-GB"/>
        </w:rPr>
        <w:drawing>
          <wp:inline distT="0" distB="0" distL="0" distR="0" wp14:anchorId="4902A9C7" wp14:editId="4B9CAFDA">
            <wp:extent cx="5400040" cy="1366157"/>
            <wp:effectExtent l="0" t="0" r="0" b="5715"/>
            <wp:docPr id="15" name="Picture 15" descr="Table 4: Study MIT-Es0001-C301 Summary and analysis of Pearl Index for all subjects and Pearl Indices calculated with different methods in subjects with at-risk cycl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4: Study MIT-Es0001-C301 Summary and analysis of Pearl Index for all subjects and Pearl Indices calculated with different methods in subjects with at-risk cycles (intention-to-treat population)"/>
                    <pic:cNvPicPr/>
                  </pic:nvPicPr>
                  <pic:blipFill>
                    <a:blip r:embed="rId23"/>
                    <a:stretch>
                      <a:fillRect/>
                    </a:stretch>
                  </pic:blipFill>
                  <pic:spPr>
                    <a:xfrm>
                      <a:off x="0" y="0"/>
                      <a:ext cx="5421175" cy="1371504"/>
                    </a:xfrm>
                    <a:prstGeom prst="rect">
                      <a:avLst/>
                    </a:prstGeom>
                  </pic:spPr>
                </pic:pic>
              </a:graphicData>
            </a:graphic>
          </wp:inline>
        </w:drawing>
      </w:r>
    </w:p>
    <w:p w14:paraId="09FE4734" w14:textId="2B4B9CC9" w:rsidR="007E600C" w:rsidRPr="00C34B5A" w:rsidRDefault="00BE2FE6" w:rsidP="00C34B5A">
      <w:pPr>
        <w:pStyle w:val="TableDescription"/>
      </w:pPr>
      <w:r w:rsidRPr="00C34B5A">
        <w:t xml:space="preserve">Abbreviations: </w:t>
      </w:r>
      <w:r w:rsidR="007E600C" w:rsidRPr="00C34B5A">
        <w:t xml:space="preserve">CI = confidence interval; DRSP = drospirenone; E4 = estetrol; ITT = intention-to-treat; n = number of subjects with at least one cycle </w:t>
      </w:r>
      <w:proofErr w:type="gramStart"/>
      <w:r w:rsidR="007E600C" w:rsidRPr="00C34B5A">
        <w:t>included;</w:t>
      </w:r>
      <w:proofErr w:type="gramEnd"/>
      <w:r w:rsidR="007E600C" w:rsidRPr="00C34B5A">
        <w:t xml:space="preserve"> PI = Pearl Index.</w:t>
      </w:r>
    </w:p>
    <w:p w14:paraId="44EBA45D" w14:textId="4552A136" w:rsidR="007E600C" w:rsidRPr="00C34B5A" w:rsidRDefault="007E600C" w:rsidP="00C34B5A">
      <w:pPr>
        <w:pStyle w:val="TableDescription"/>
      </w:pPr>
      <w:r w:rsidRPr="00C34B5A">
        <w:t xml:space="preserve">A Pearl Index: </w:t>
      </w:r>
      <w:r w:rsidR="009B40BE" w:rsidRPr="00C34B5A">
        <w:t>at-risk</w:t>
      </w:r>
      <w:r w:rsidRPr="00C34B5A">
        <w:t xml:space="preserve"> cycles are defined as cycles with no other methods of birth control (including condoms) and confirmed sexual intercourse.</w:t>
      </w:r>
    </w:p>
    <w:p w14:paraId="1F0D596E" w14:textId="193B8BC4" w:rsidR="007E600C" w:rsidRPr="00C34B5A" w:rsidRDefault="007E600C" w:rsidP="00C34B5A">
      <w:pPr>
        <w:pStyle w:val="TableDescription"/>
      </w:pPr>
      <w:r w:rsidRPr="00C34B5A">
        <w:t>B ‘Typical use’ Pearl Index: all cycles are included in the denominator regardless of other methods of birth control, occurrence of sexual intercourse or compliance with the protocol.</w:t>
      </w:r>
    </w:p>
    <w:p w14:paraId="5E2C9C0A" w14:textId="09E29A9F" w:rsidR="007E600C" w:rsidRPr="00C34B5A" w:rsidRDefault="007E600C" w:rsidP="00C34B5A">
      <w:pPr>
        <w:pStyle w:val="TableDescription"/>
      </w:pPr>
      <w:r w:rsidRPr="00C34B5A">
        <w:t xml:space="preserve">C Modified </w:t>
      </w:r>
      <w:r w:rsidR="009B40BE" w:rsidRPr="00C34B5A">
        <w:t>at-risk</w:t>
      </w:r>
      <w:r w:rsidRPr="00C34B5A">
        <w:t xml:space="preserve"> Pearl Index: </w:t>
      </w:r>
      <w:r w:rsidR="009B40BE" w:rsidRPr="00C34B5A">
        <w:t>at-risk</w:t>
      </w:r>
      <w:r w:rsidRPr="00C34B5A">
        <w:t xml:space="preserve"> cycles are those where no other methods of birth control are used (modified risk). Cycles without confirmed sexual intercourse are not excluded.</w:t>
      </w:r>
    </w:p>
    <w:p w14:paraId="54C3845F" w14:textId="11EDCC6F" w:rsidR="007E600C" w:rsidRPr="00C34B5A" w:rsidRDefault="007E600C" w:rsidP="00C34B5A">
      <w:pPr>
        <w:pStyle w:val="TableDescription"/>
      </w:pPr>
      <w:r w:rsidRPr="00C34B5A">
        <w:t xml:space="preserve">D Method failure Pearl Index: uses the same method used for the Pearl </w:t>
      </w:r>
      <w:proofErr w:type="gramStart"/>
      <w:r w:rsidRPr="00C34B5A">
        <w:t>Index, but</w:t>
      </w:r>
      <w:proofErr w:type="gramEnd"/>
      <w:r w:rsidRPr="00C34B5A">
        <w:t xml:space="preserve"> excludes those pregnancies due to user failures from the numerator, that is, subject did not take the study medication correctly during the cycle in which the estimated conception occurred or used drugs that have the potential to trigger interactions with combined oral contraceptive.</w:t>
      </w:r>
    </w:p>
    <w:p w14:paraId="59DE7F5E" w14:textId="68041F26" w:rsidR="007E600C" w:rsidRPr="00C34B5A" w:rsidRDefault="007E600C" w:rsidP="00C34B5A">
      <w:pPr>
        <w:pStyle w:val="TableDescription"/>
      </w:pPr>
      <w:r w:rsidRPr="00C34B5A">
        <w:t xml:space="preserve">E Only compliant modified </w:t>
      </w:r>
      <w:r w:rsidR="009B40BE" w:rsidRPr="00C34B5A">
        <w:t>at-risk</w:t>
      </w:r>
      <w:r w:rsidRPr="00C34B5A">
        <w:t xml:space="preserve"> cycles are included in the denominator of the Pearl Index calculation. Compliant modified at-risk cycle = a cycle where no other methods of birth control (including condoms) was used, the subject did not have a user failure pregnancy and the subject had no adverse event of vomiting and/or diarrhea.</w:t>
      </w:r>
    </w:p>
    <w:p w14:paraId="7C0AB206" w14:textId="7998D890" w:rsidR="00704218" w:rsidRPr="00C34B5A" w:rsidRDefault="007E600C" w:rsidP="00C34B5A">
      <w:pPr>
        <w:pStyle w:val="TableDescription"/>
      </w:pPr>
      <w:r w:rsidRPr="00C34B5A">
        <w:t>Confidence intervals are calculated using a Poisson distribution. Any cycles after the cycle of conception in the case of pregnancy were excluded.</w:t>
      </w:r>
    </w:p>
    <w:p w14:paraId="415C8E49" w14:textId="4BBC1667" w:rsidR="00704218" w:rsidRPr="00D23308" w:rsidRDefault="00704218" w:rsidP="00C41EBD">
      <w:r w:rsidRPr="00D23308">
        <w:t>Also, in the whole group (up to 50 years of age) and with alternative calculation methods, the Pearl Indices ranged from 0.25 to 0.44 and the difference between the point estimates and the upper limits of the corresponding 2</w:t>
      </w:r>
      <w:r w:rsidR="00335952" w:rsidRPr="00D23308">
        <w:t xml:space="preserve"> </w:t>
      </w:r>
      <w:r w:rsidRPr="00D23308">
        <w:t xml:space="preserve">sided 95% CIs was below </w:t>
      </w:r>
      <w:r w:rsidR="00E55048" w:rsidRPr="00D23308">
        <w:t>one</w:t>
      </w:r>
      <w:r w:rsidRPr="00D23308">
        <w:t xml:space="preserve"> for all Pearl Indices. The </w:t>
      </w:r>
      <w:r w:rsidR="004A44A5" w:rsidRPr="00D23308">
        <w:t>Pearl Index</w:t>
      </w:r>
      <w:r w:rsidRPr="00D23308">
        <w:t xml:space="preserve"> for </w:t>
      </w:r>
      <w:r w:rsidR="004A44A5" w:rsidRPr="00D23308">
        <w:t xml:space="preserve">method </w:t>
      </w:r>
      <w:r w:rsidRPr="00D23308">
        <w:t>failure was 0.29 (95% CI</w:t>
      </w:r>
      <w:r w:rsidR="00E55048" w:rsidRPr="00D23308">
        <w:t>:</w:t>
      </w:r>
      <w:r w:rsidRPr="00D23308">
        <w:t xml:space="preserve"> 0.06, 0.83) for the age group 18</w:t>
      </w:r>
      <w:r w:rsidR="00E55048" w:rsidRPr="00D23308">
        <w:t xml:space="preserve"> to </w:t>
      </w:r>
      <w:r w:rsidRPr="00D23308">
        <w:t>35</w:t>
      </w:r>
      <w:r w:rsidR="00E55048" w:rsidRPr="00D23308">
        <w:t> </w:t>
      </w:r>
      <w:r w:rsidRPr="00D23308">
        <w:t>years and 0.25 (95% CI</w:t>
      </w:r>
      <w:r w:rsidR="00E55048" w:rsidRPr="00D23308">
        <w:t>:</w:t>
      </w:r>
      <w:r w:rsidRPr="00D23308">
        <w:t xml:space="preserve"> 0.05, 0.72) for the whole study population.</w:t>
      </w:r>
    </w:p>
    <w:p w14:paraId="16CB54F9" w14:textId="0D468C35" w:rsidR="00704218" w:rsidRPr="00D23308" w:rsidRDefault="00704218" w:rsidP="00C41EBD">
      <w:r w:rsidRPr="00D23308">
        <w:t>There were no on-treatment pregnancies in women aged 35</w:t>
      </w:r>
      <w:r w:rsidR="00E55048" w:rsidRPr="00D23308">
        <w:t xml:space="preserve"> to </w:t>
      </w:r>
      <w:r w:rsidRPr="00D23308">
        <w:t xml:space="preserve">50 years and so the Pearl Index in subjects aged 18 to 50 years was </w:t>
      </w:r>
      <w:proofErr w:type="gramStart"/>
      <w:r w:rsidRPr="00D23308">
        <w:t>similar to</w:t>
      </w:r>
      <w:proofErr w:type="gramEnd"/>
      <w:r w:rsidRPr="00D23308">
        <w:t xml:space="preserve"> the primary endpoint in women aged 18</w:t>
      </w:r>
      <w:r w:rsidR="00E55048" w:rsidRPr="00D23308">
        <w:t xml:space="preserve"> to </w:t>
      </w:r>
      <w:r w:rsidRPr="00D23308">
        <w:t>35 years: 0.41 (95% CI: 0.13</w:t>
      </w:r>
      <w:r w:rsidR="00E55048" w:rsidRPr="00D23308">
        <w:t xml:space="preserve">, </w:t>
      </w:r>
      <w:r w:rsidRPr="00D23308">
        <w:t xml:space="preserve">0.96) for 15 mg </w:t>
      </w:r>
      <w:r w:rsidR="009A2E70" w:rsidRPr="00D23308">
        <w:t>estetrol</w:t>
      </w:r>
      <w:r w:rsidRPr="00D23308">
        <w:t xml:space="preserve">/3 mg </w:t>
      </w:r>
      <w:r w:rsidR="009A2E70" w:rsidRPr="00D23308">
        <w:t>drospirenone</w:t>
      </w:r>
      <w:r w:rsidRPr="00D23308">
        <w:t xml:space="preserve"> </w:t>
      </w:r>
      <w:r w:rsidR="006256DF" w:rsidRPr="00D23308">
        <w:t>(</w:t>
      </w:r>
      <w:r w:rsidRPr="00D23308">
        <w:t xml:space="preserve">based on 1,510 subjects with at least </w:t>
      </w:r>
      <w:r w:rsidR="00E55048" w:rsidRPr="00D23308">
        <w:t>one</w:t>
      </w:r>
      <w:r w:rsidRPr="00D23308">
        <w:t xml:space="preserve"> </w:t>
      </w:r>
      <w:r w:rsidR="009B40BE">
        <w:t>at-risk</w:t>
      </w:r>
      <w:r w:rsidRPr="00D23308">
        <w:t xml:space="preserve"> cycle who reported 15,849 </w:t>
      </w:r>
      <w:r w:rsidR="009B40BE">
        <w:t>at-risk</w:t>
      </w:r>
      <w:r w:rsidRPr="00D23308">
        <w:t xml:space="preserve"> cycles</w:t>
      </w:r>
      <w:r w:rsidR="006256DF" w:rsidRPr="00D23308">
        <w:t>)</w:t>
      </w:r>
      <w:r w:rsidRPr="00D23308">
        <w:t>.</w:t>
      </w:r>
    </w:p>
    <w:p w14:paraId="11878EC1" w14:textId="52EFEAFE" w:rsidR="00704218" w:rsidRPr="00D23308" w:rsidRDefault="00704218" w:rsidP="00C41EBD">
      <w:pPr>
        <w:pStyle w:val="Heading6"/>
      </w:pPr>
      <w:r w:rsidRPr="00D23308">
        <w:lastRenderedPageBreak/>
        <w:t xml:space="preserve">Life </w:t>
      </w:r>
      <w:r w:rsidR="00E55048" w:rsidRPr="00D23308">
        <w:t>table rates</w:t>
      </w:r>
    </w:p>
    <w:p w14:paraId="187C41BB" w14:textId="6929AAE2" w:rsidR="00704218" w:rsidRPr="00D23308" w:rsidRDefault="00704218" w:rsidP="00C41EBD">
      <w:r w:rsidRPr="00D23308">
        <w:t>Life</w:t>
      </w:r>
      <w:r w:rsidR="0039354E" w:rsidRPr="00D23308">
        <w:t xml:space="preserve"> </w:t>
      </w:r>
      <w:r w:rsidRPr="00D23308">
        <w:t>table analyses (based on Kaplan-Meier estimates) were consistent with the Pearl Index results.</w:t>
      </w:r>
    </w:p>
    <w:p w14:paraId="1277C291" w14:textId="77777777" w:rsidR="00E55048" w:rsidRPr="00D23308" w:rsidRDefault="00704218" w:rsidP="00E55048">
      <w:pPr>
        <w:pStyle w:val="Heading7"/>
        <w:rPr>
          <w:sz w:val="22"/>
          <w:szCs w:val="28"/>
        </w:rPr>
      </w:pPr>
      <w:r w:rsidRPr="00D23308">
        <w:rPr>
          <w:sz w:val="22"/>
          <w:szCs w:val="28"/>
        </w:rPr>
        <w:t>Cumulative on-treatment pregnancy rate</w:t>
      </w:r>
    </w:p>
    <w:p w14:paraId="71F25E93" w14:textId="203DE004" w:rsidR="00704218" w:rsidRPr="00D23308" w:rsidRDefault="00704218" w:rsidP="00C41EBD">
      <w:r w:rsidRPr="00D23308">
        <w:t xml:space="preserve">After 13 cycles, the cumulative on-treatment pregnancy rate was 0.45% (95% CI: 0.19, 1.09) for subjects aged 18 to 35 years and 0.39% (95% CI: 0.16, 0.94) for subjects aged 18 to 50 years, </w:t>
      </w:r>
      <w:r w:rsidR="005465BA" w:rsidRPr="00D23308">
        <w:t>that is</w:t>
      </w:r>
      <w:r w:rsidRPr="00D23308">
        <w:t xml:space="preserve">, the probability of contraceptive protection after up to </w:t>
      </w:r>
      <w:r w:rsidR="00E55048" w:rsidRPr="00D23308">
        <w:t>one</w:t>
      </w:r>
      <w:r w:rsidRPr="00D23308">
        <w:t xml:space="preserve"> year of treatment was estimated to be 99.6%.</w:t>
      </w:r>
    </w:p>
    <w:p w14:paraId="7C32468E" w14:textId="77777777" w:rsidR="00E55048" w:rsidRPr="00D23308" w:rsidRDefault="00704218" w:rsidP="00E55048">
      <w:pPr>
        <w:pStyle w:val="Heading7"/>
        <w:rPr>
          <w:sz w:val="22"/>
          <w:szCs w:val="28"/>
        </w:rPr>
      </w:pPr>
      <w:r w:rsidRPr="00D23308">
        <w:rPr>
          <w:sz w:val="22"/>
          <w:szCs w:val="28"/>
        </w:rPr>
        <w:t>Cumulative on-treatment method</w:t>
      </w:r>
      <w:r w:rsidR="00E55048" w:rsidRPr="00D23308">
        <w:rPr>
          <w:sz w:val="22"/>
          <w:szCs w:val="28"/>
        </w:rPr>
        <w:t xml:space="preserve"> </w:t>
      </w:r>
      <w:r w:rsidRPr="00D23308">
        <w:rPr>
          <w:sz w:val="22"/>
          <w:szCs w:val="28"/>
        </w:rPr>
        <w:t>failure pregnancy rate</w:t>
      </w:r>
    </w:p>
    <w:p w14:paraId="7A231DB7" w14:textId="279F90D2" w:rsidR="00704218" w:rsidRPr="00D23308" w:rsidRDefault="00704218" w:rsidP="00C41EBD">
      <w:r w:rsidRPr="00D23308">
        <w:t>After 13 cycles, the cumulative on-treatment method</w:t>
      </w:r>
      <w:r w:rsidR="00E55048" w:rsidRPr="00D23308">
        <w:t xml:space="preserve"> </w:t>
      </w:r>
      <w:r w:rsidRPr="00D23308">
        <w:t xml:space="preserve">failure pregnancy rate was 0.28% (95% CI: 0.09%, 0.86%) for subjects aged 18 to 35 years and 0.24% (95% CI: 0.08%, 0.74%) for subjects aged 18 to 50 years </w:t>
      </w:r>
      <w:r w:rsidR="005465BA" w:rsidRPr="00D23308">
        <w:t>that is</w:t>
      </w:r>
      <w:r w:rsidRPr="00D23308">
        <w:t xml:space="preserve">, the probability of contraceptive protection during up to </w:t>
      </w:r>
      <w:r w:rsidR="00E55048" w:rsidRPr="00D23308">
        <w:t>one</w:t>
      </w:r>
      <w:r w:rsidRPr="00D23308">
        <w:t xml:space="preserve"> year of treatment was approximately 99.7%.</w:t>
      </w:r>
    </w:p>
    <w:p w14:paraId="30380079" w14:textId="667D7245" w:rsidR="00704218" w:rsidRPr="00D23308" w:rsidRDefault="00704218" w:rsidP="00C41EBD">
      <w:r w:rsidRPr="00D23308">
        <w:t xml:space="preserve">The rate of women recording unscheduled bleeding/spotting was well below 20% except during the first treatment cycle. The mean number of bleeding/spotting days recorded was just under </w:t>
      </w:r>
      <w:r w:rsidR="00BE2FE6" w:rsidRPr="00D23308">
        <w:t>four</w:t>
      </w:r>
      <w:r w:rsidRPr="00D23308">
        <w:t xml:space="preserve"> throughout the treatment year, mostly spotting. Absence of scheduled bleeding was reported in 5.6% to 8.1% of subjects per cycle, implying that 91.9% to 94.4% of the women did have their scheduled withdrawal bleeding</w:t>
      </w:r>
      <w:r w:rsidR="00E55048" w:rsidRPr="00D23308">
        <w:t>.</w:t>
      </w:r>
    </w:p>
    <w:p w14:paraId="6F76F9B2" w14:textId="28150B3F" w:rsidR="00704218" w:rsidRPr="00D23308" w:rsidRDefault="00704218" w:rsidP="00C41EBD">
      <w:r w:rsidRPr="00D23308">
        <w:t xml:space="preserve">Results for the primary efficacy endpoint, ‘typical use’ and ‘method failure’ Pearl Index as well as all sensitivity analyses fulfilled the criterion on the precision of the estimate in the EMA </w:t>
      </w:r>
      <w:r w:rsidR="00EF115C">
        <w:t>g</w:t>
      </w:r>
      <w:r w:rsidRPr="00D23308">
        <w:t>uideline</w:t>
      </w:r>
      <w:r w:rsidR="00EF115C">
        <w:t>;</w:t>
      </w:r>
      <w:r w:rsidR="00EF115C" w:rsidRPr="00EF115C">
        <w:rPr>
          <w:color w:val="2B579A"/>
          <w:shd w:val="clear" w:color="auto" w:fill="E6E6E6"/>
          <w:vertAlign w:val="superscript"/>
        </w:rPr>
        <w:fldChar w:fldCharType="begin"/>
      </w:r>
      <w:r w:rsidR="00EF115C" w:rsidRPr="00EF115C">
        <w:rPr>
          <w:vertAlign w:val="superscript"/>
        </w:rPr>
        <w:instrText xml:space="preserve"> NOTEREF _Ref106367821 \h </w:instrText>
      </w:r>
      <w:r w:rsidR="00EF115C">
        <w:rPr>
          <w:vertAlign w:val="superscript"/>
        </w:rPr>
        <w:instrText xml:space="preserve"> \* MERGEFORMAT </w:instrText>
      </w:r>
      <w:r w:rsidR="00EF115C" w:rsidRPr="00EF115C">
        <w:rPr>
          <w:color w:val="2B579A"/>
          <w:shd w:val="clear" w:color="auto" w:fill="E6E6E6"/>
          <w:vertAlign w:val="superscript"/>
        </w:rPr>
      </w:r>
      <w:r w:rsidR="00EF115C" w:rsidRPr="00EF115C">
        <w:rPr>
          <w:color w:val="2B579A"/>
          <w:shd w:val="clear" w:color="auto" w:fill="E6E6E6"/>
          <w:vertAlign w:val="superscript"/>
        </w:rPr>
        <w:fldChar w:fldCharType="separate"/>
      </w:r>
      <w:r w:rsidR="005319AF">
        <w:rPr>
          <w:vertAlign w:val="superscript"/>
        </w:rPr>
        <w:t>20</w:t>
      </w:r>
      <w:r w:rsidR="00EF115C" w:rsidRPr="00EF115C">
        <w:rPr>
          <w:color w:val="2B579A"/>
          <w:shd w:val="clear" w:color="auto" w:fill="E6E6E6"/>
          <w:vertAlign w:val="superscript"/>
        </w:rPr>
        <w:fldChar w:fldCharType="end"/>
      </w:r>
      <w:r w:rsidRPr="00D23308">
        <w:t xml:space="preserve"> that the difference between the upper limit of the corresponding 2</w:t>
      </w:r>
      <w:r w:rsidR="00335952" w:rsidRPr="00D23308">
        <w:t xml:space="preserve"> </w:t>
      </w:r>
      <w:r w:rsidRPr="00D23308">
        <w:t xml:space="preserve">sided 95% CI for the Pearl Index and the point estimate did not exceed </w:t>
      </w:r>
      <w:r w:rsidR="00E55048" w:rsidRPr="00D23308">
        <w:t>one</w:t>
      </w:r>
      <w:r w:rsidRPr="00D23308">
        <w:t>. Hence</w:t>
      </w:r>
      <w:r w:rsidR="00BE2FE6">
        <w:t>,</w:t>
      </w:r>
      <w:r w:rsidRPr="00D23308">
        <w:t xml:space="preserve"> there was robust evidence for contraceptive efficacy of 15</w:t>
      </w:r>
      <w:r w:rsidR="00E55048" w:rsidRPr="00D23308">
        <w:t xml:space="preserve"> </w:t>
      </w:r>
      <w:r w:rsidRPr="00D23308">
        <w:t xml:space="preserve">mg </w:t>
      </w:r>
      <w:r w:rsidR="009A2E70" w:rsidRPr="00D23308">
        <w:t>estetrol</w:t>
      </w:r>
      <w:r w:rsidRPr="00D23308">
        <w:t>/3</w:t>
      </w:r>
      <w:r w:rsidR="00E55048" w:rsidRPr="00D23308">
        <w:t xml:space="preserve"> </w:t>
      </w:r>
      <w:r w:rsidRPr="00D23308">
        <w:t xml:space="preserve">mg </w:t>
      </w:r>
      <w:r w:rsidR="009A2E70" w:rsidRPr="00D23308">
        <w:t>drospirenone</w:t>
      </w:r>
      <w:r w:rsidRPr="00D23308">
        <w:t xml:space="preserve"> in this study.</w:t>
      </w:r>
    </w:p>
    <w:p w14:paraId="42561667" w14:textId="7AED989B" w:rsidR="00704218" w:rsidRPr="00D23308" w:rsidRDefault="00704218" w:rsidP="00C41EBD">
      <w:r w:rsidRPr="00D23308">
        <w:t>The life</w:t>
      </w:r>
      <w:r w:rsidR="0039354E" w:rsidRPr="00D23308">
        <w:t xml:space="preserve"> </w:t>
      </w:r>
      <w:r w:rsidRPr="00D23308">
        <w:t xml:space="preserve">table analysis also confirmed the adequate contraceptive efficacy of </w:t>
      </w:r>
      <w:r w:rsidR="00286A63" w:rsidRPr="00D23308">
        <w:t>15</w:t>
      </w:r>
      <w:r w:rsidR="00E55048" w:rsidRPr="00D23308">
        <w:t> </w:t>
      </w:r>
      <w:r w:rsidR="00286A63" w:rsidRPr="00D23308">
        <w:t>mg</w:t>
      </w:r>
      <w:r w:rsidR="00E55048" w:rsidRPr="00D23308">
        <w:t> </w:t>
      </w:r>
      <w:r w:rsidR="00286A63" w:rsidRPr="00D23308">
        <w:t>estetrol/3 mg drospirenone</w:t>
      </w:r>
      <w:r w:rsidRPr="00D23308">
        <w:t xml:space="preserve">. Subgroup analyses of the Pearl Index did not reveal significant differences by previous contraceptive use, smoking </w:t>
      </w:r>
      <w:proofErr w:type="gramStart"/>
      <w:r w:rsidRPr="00D23308">
        <w:t>status</w:t>
      </w:r>
      <w:proofErr w:type="gramEnd"/>
      <w:r w:rsidRPr="00D23308">
        <w:t xml:space="preserve"> and age while interpretation of effect of BMI and race was limited by different sample sizes these subgroups. Over one year of treatment, the probability of contraceptive protection was 99.55% and 99.61% in subjects 18 to 35 years and 18 to 50 years, respectively.</w:t>
      </w:r>
    </w:p>
    <w:p w14:paraId="350880A6" w14:textId="516AF2A4" w:rsidR="00704218" w:rsidRPr="00D23308" w:rsidRDefault="00704218" w:rsidP="0096551F">
      <w:pPr>
        <w:pStyle w:val="Heading5"/>
      </w:pPr>
      <w:r w:rsidRPr="00D23308">
        <w:t xml:space="preserve">Study </w:t>
      </w:r>
      <w:r w:rsidRPr="00D23308">
        <w:rPr>
          <w:lang w:val="en-US"/>
        </w:rPr>
        <w:t>MIT-Es0001-C302</w:t>
      </w:r>
      <w:r w:rsidR="0096551F" w:rsidRPr="00D23308">
        <w:rPr>
          <w:lang w:val="en-US"/>
        </w:rPr>
        <w:t xml:space="preserve"> (pivotal study)</w:t>
      </w:r>
    </w:p>
    <w:p w14:paraId="223C39D9" w14:textId="5E6E195B" w:rsidR="00704218" w:rsidRPr="00D23308" w:rsidRDefault="00704218" w:rsidP="00C41EBD">
      <w:r w:rsidRPr="00D23308">
        <w:t>The study design and objectives were identical to those described for</w:t>
      </w:r>
      <w:r w:rsidR="00BE2FE6">
        <w:t xml:space="preserve"> the other pivotal study,</w:t>
      </w:r>
      <w:r w:rsidRPr="00D23308">
        <w:t xml:space="preserve"> </w:t>
      </w:r>
      <w:r w:rsidR="00BE2FE6">
        <w:fldChar w:fldCharType="begin"/>
      </w:r>
      <w:r w:rsidR="00BE2FE6">
        <w:instrText xml:space="preserve"> REF _Ref108162212 \h </w:instrText>
      </w:r>
      <w:r w:rsidR="00BE2FE6">
        <w:fldChar w:fldCharType="separate"/>
      </w:r>
      <w:r w:rsidR="005319AF" w:rsidRPr="00D23308">
        <w:t xml:space="preserve">Study </w:t>
      </w:r>
      <w:r w:rsidR="005319AF" w:rsidRPr="00D23308">
        <w:rPr>
          <w:lang w:val="en-US"/>
        </w:rPr>
        <w:t>MIT-Es0001-C301 (pivotal study)</w:t>
      </w:r>
      <w:r w:rsidR="00BE2FE6">
        <w:fldChar w:fldCharType="end"/>
      </w:r>
      <w:r w:rsidR="00BE2FE6">
        <w:t xml:space="preserve">. </w:t>
      </w:r>
      <w:r w:rsidRPr="00D23308">
        <w:t>However, this study was conducted at 77 sites in North America: 70 sites in the US</w:t>
      </w:r>
      <w:r w:rsidR="00C71808">
        <w:t>A</w:t>
      </w:r>
      <w:r w:rsidRPr="00D23308">
        <w:t xml:space="preserve"> and 7</w:t>
      </w:r>
      <w:r w:rsidR="001A7E03" w:rsidRPr="00D23308">
        <w:t> </w:t>
      </w:r>
      <w:r w:rsidRPr="00D23308">
        <w:t>sites in Canada.</w:t>
      </w:r>
    </w:p>
    <w:p w14:paraId="7B83EFA1" w14:textId="093C6AE9" w:rsidR="00704218" w:rsidRPr="00D23308" w:rsidRDefault="00704218" w:rsidP="00C41EBD">
      <w:r w:rsidRPr="00D23308">
        <w:t>The study treatments, efficacy variables and outcomes, randomisation and blinding methods, the analysis populations and the statistical methods were identical to Study</w:t>
      </w:r>
      <w:r w:rsidR="00E55048" w:rsidRPr="00D23308">
        <w:t> </w:t>
      </w:r>
      <w:r w:rsidR="000759AE" w:rsidRPr="000759AE">
        <w:t>MIT</w:t>
      </w:r>
      <w:r w:rsidR="000759AE">
        <w:noBreakHyphen/>
      </w:r>
      <w:r w:rsidR="000759AE" w:rsidRPr="000759AE">
        <w:t>Es0001-C301</w:t>
      </w:r>
      <w:r w:rsidRPr="00D23308">
        <w:t>.</w:t>
      </w:r>
    </w:p>
    <w:p w14:paraId="0F8CDD5E" w14:textId="3C9B8056" w:rsidR="00704218" w:rsidRPr="00D23308" w:rsidRDefault="00704218" w:rsidP="00C41EBD">
      <w:r w:rsidRPr="00D23308">
        <w:t xml:space="preserve">Assuming 80% of the study cycles would be </w:t>
      </w:r>
      <w:r w:rsidR="009B40BE">
        <w:t>at-risk</w:t>
      </w:r>
      <w:r w:rsidRPr="00D23308">
        <w:t xml:space="preserve"> cycles and a dropout rate of approximately 45% (assuming that there was an average of 4 cycles for subjects that discontinued- assumption was 30% in </w:t>
      </w:r>
      <w:r w:rsidR="00E55048" w:rsidRPr="00D23308">
        <w:t xml:space="preserve">Study </w:t>
      </w:r>
      <w:r w:rsidR="000759AE" w:rsidRPr="000759AE">
        <w:t>MIT</w:t>
      </w:r>
      <w:r w:rsidR="000759AE">
        <w:noBreakHyphen/>
      </w:r>
      <w:r w:rsidR="000759AE" w:rsidRPr="000759AE">
        <w:t>Es0001-C301</w:t>
      </w:r>
      <w:r w:rsidRPr="00D23308">
        <w:t>) approximately 1,800 subjects aged 16</w:t>
      </w:r>
      <w:r w:rsidR="00E55048" w:rsidRPr="00D23308">
        <w:t> </w:t>
      </w:r>
      <w:r w:rsidRPr="00D23308">
        <w:t xml:space="preserve">to 35 years needed to be enrolled. Additionally, it was planned to </w:t>
      </w:r>
      <w:r w:rsidR="001A7716" w:rsidRPr="00D23308">
        <w:t>enrol</w:t>
      </w:r>
      <w:r w:rsidRPr="00D23308">
        <w:t xml:space="preserve"> a maximum of 200 subjects aged 36 to 50 years. Therefore, in total, approximately 2,000 subjects were planned to be enrolled in the study. Additionally, a subset of approximately 500 subjects were planned to be enrolled in the PK </w:t>
      </w:r>
      <w:r w:rsidR="00701EFE" w:rsidRPr="00D23308">
        <w:t>s</w:t>
      </w:r>
      <w:r w:rsidRPr="00D23308">
        <w:t>ub-study.</w:t>
      </w:r>
    </w:p>
    <w:p w14:paraId="2A150597" w14:textId="77777777" w:rsidR="00704218" w:rsidRPr="00D23308" w:rsidRDefault="00704218" w:rsidP="0096551F">
      <w:pPr>
        <w:pStyle w:val="Heading6"/>
      </w:pPr>
      <w:r w:rsidRPr="00D23308">
        <w:t>Results</w:t>
      </w:r>
    </w:p>
    <w:p w14:paraId="03842C4E" w14:textId="09574050" w:rsidR="00704218" w:rsidRPr="00D23308" w:rsidRDefault="00704218" w:rsidP="00C41EBD">
      <w:r w:rsidRPr="00D23308">
        <w:t>A total of 2,918 subjects were screened for the study, of whom 2,148 were enrolled: 1,939</w:t>
      </w:r>
      <w:r w:rsidR="009B40BE">
        <w:t> </w:t>
      </w:r>
      <w:r w:rsidRPr="00D23308">
        <w:t>subjects aged 16 to 35 years and 209 subjects aged 36 to 50 years. Overall, 1,864 of 2,148 (86.7%) enrolled subjects took study medication (</w:t>
      </w:r>
      <w:r w:rsidR="005465BA" w:rsidRPr="00D23308">
        <w:t>that is</w:t>
      </w:r>
      <w:r w:rsidRPr="00D23308">
        <w:t xml:space="preserve">, subjects in the </w:t>
      </w:r>
      <w:r w:rsidR="00701EFE" w:rsidRPr="00D23308">
        <w:t xml:space="preserve">safety </w:t>
      </w:r>
      <w:r w:rsidRPr="00D23308">
        <w:t xml:space="preserve">and </w:t>
      </w:r>
      <w:r w:rsidRPr="00D23308">
        <w:lastRenderedPageBreak/>
        <w:t xml:space="preserve">ITT </w:t>
      </w:r>
      <w:r w:rsidR="00701EFE" w:rsidRPr="00D23308">
        <w:t>population</w:t>
      </w:r>
      <w:r w:rsidRPr="00D23308">
        <w:t xml:space="preserve">), including 1,674 of 1,939 (86.3%) subjects aged 16 to 35 years in the ITT </w:t>
      </w:r>
      <w:r w:rsidR="00701EFE" w:rsidRPr="00D23308">
        <w:t>population</w:t>
      </w:r>
      <w:r w:rsidRPr="00D23308">
        <w:t>. For all subjects enrolled in the study, 1,016 of 2,148 (47.3%) subjects completed the study. The most common reasons for study discontinuation were lost to follow-up (453 subjects, 21.1%), consent withdrawal (214 subjects, 10.0%), AEs not related to bleeding (136 subjects, 6.3%), protocol deviations (125</w:t>
      </w:r>
      <w:r w:rsidR="009B40BE">
        <w:t> </w:t>
      </w:r>
      <w:r w:rsidRPr="00D23308">
        <w:t>subjects, 5.8%), and AEs related to bleeding (53 subjects, 2.5%).</w:t>
      </w:r>
    </w:p>
    <w:p w14:paraId="00A45387" w14:textId="5516D4B5" w:rsidR="00704218" w:rsidRDefault="00C34B5A" w:rsidP="00C34B5A">
      <w:pPr>
        <w:pStyle w:val="FigureTitle"/>
      </w:pPr>
      <w:r w:rsidRPr="00C34B5A">
        <w:t xml:space="preserve">Figure </w:t>
      </w:r>
      <w:r w:rsidR="006A2626">
        <w:fldChar w:fldCharType="begin"/>
      </w:r>
      <w:r w:rsidR="006A2626">
        <w:instrText xml:space="preserve"> SEQ Figure \* ARABIC </w:instrText>
      </w:r>
      <w:r w:rsidR="006A2626">
        <w:fldChar w:fldCharType="separate"/>
      </w:r>
      <w:r w:rsidR="005319AF">
        <w:rPr>
          <w:noProof/>
        </w:rPr>
        <w:t>4</w:t>
      </w:r>
      <w:r w:rsidR="006A2626">
        <w:rPr>
          <w:noProof/>
        </w:rPr>
        <w:fldChar w:fldCharType="end"/>
      </w:r>
      <w:r w:rsidR="00704218" w:rsidRPr="00C34B5A">
        <w:t xml:space="preserve">: </w:t>
      </w:r>
      <w:r w:rsidR="00701EFE" w:rsidRPr="00C34B5A">
        <w:t xml:space="preserve">Study MIT-Es0001-C302 </w:t>
      </w:r>
      <w:r w:rsidR="00704218" w:rsidRPr="00C34B5A">
        <w:t xml:space="preserve">Subject </w:t>
      </w:r>
      <w:r w:rsidR="00701EFE" w:rsidRPr="00C34B5A">
        <w:t>disposition (screened population</w:t>
      </w:r>
      <w:r w:rsidR="00704218" w:rsidRPr="00C34B5A">
        <w:t>)</w:t>
      </w:r>
    </w:p>
    <w:p w14:paraId="3B251572" w14:textId="032DA80A" w:rsidR="00704218" w:rsidRDefault="0009525A" w:rsidP="00C34B5A">
      <w:r>
        <w:rPr>
          <w:noProof/>
        </w:rPr>
        <w:drawing>
          <wp:inline distT="0" distB="0" distL="0" distR="0" wp14:anchorId="0A8815A8" wp14:editId="6AD6175E">
            <wp:extent cx="5400040" cy="3444875"/>
            <wp:effectExtent l="0" t="0" r="0" b="3175"/>
            <wp:docPr id="5" name="Picture 5" descr="Figure 4: Study MIT-Es0001-C302 Subject disposition (screened population)&#10;&#10;Of the 2918 screened subjects (2623 and 295 aged 16 to 35 and &gt; 35 years, respectively), 2148 were enrolled in the Study (1939 and 209 subjects, respectively). Overall, 1864 of 2148 (86.7%) enrolled subjects started study treatment with 15 mg estetrol /3 mg drospirenone, including 1674 subjects aged 16 to 35 years. For the entire cohort, 1016 of 1864 (54.5%) treated subjects completed the study, including 899 of 1674 (53.7%) treated subjects aged 16 to 35 years. The most common reasons for study discontinuation among all subjects were lost to follow up (453 subjects, 15.5%), consent withdrawal (214 subjects, 7.3%), AEs not related to bleeding (136 subjects, 4.7%), protocol deviations (125 subjects, 4.3%), AEs related to bleeding (53 subjects, 1.8%), pregnancy (49 subjects, 1.7% and desire of pregnancy (18 subject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Study MIT-Es0001-C302 Subject disposition (screened population)&#10;&#10;Of the 2918 screened subjects (2623 and 295 aged 16 to 35 and &gt; 35 years, respectively), 2148 were enrolled in the Study (1939 and 209 subjects, respectively). Overall, 1864 of 2148 (86.7%) enrolled subjects started study treatment with 15 mg estetrol /3 mg drospirenone, including 1674 subjects aged 16 to 35 years. For the entire cohort, 1016 of 1864 (54.5%) treated subjects completed the study, including 899 of 1674 (53.7%) treated subjects aged 16 to 35 years. The most common reasons for study discontinuation among all subjects were lost to follow up (453 subjects, 15.5%), consent withdrawal (214 subjects, 7.3%), AEs not related to bleeding (136 subjects, 4.7%), protocol deviations (125 subjects, 4.3%), AEs related to bleeding (53 subjects, 1.8%), pregnancy (49 subjects, 1.7% and desire of pregnancy (18 subjects, 0.6%)."/>
                    <pic:cNvPicPr/>
                  </pic:nvPicPr>
                  <pic:blipFill>
                    <a:blip r:embed="rId24"/>
                    <a:stretch>
                      <a:fillRect/>
                    </a:stretch>
                  </pic:blipFill>
                  <pic:spPr>
                    <a:xfrm>
                      <a:off x="0" y="0"/>
                      <a:ext cx="5400040" cy="3444875"/>
                    </a:xfrm>
                    <a:prstGeom prst="rect">
                      <a:avLst/>
                    </a:prstGeom>
                  </pic:spPr>
                </pic:pic>
              </a:graphicData>
            </a:graphic>
          </wp:inline>
        </w:drawing>
      </w:r>
    </w:p>
    <w:p w14:paraId="33D33AB1" w14:textId="71CC46D7" w:rsidR="00454BAF" w:rsidRPr="00C34B5A" w:rsidRDefault="00145304" w:rsidP="00C34B5A">
      <w:pPr>
        <w:pStyle w:val="FigureDescription"/>
      </w:pPr>
      <w:r w:rsidRPr="00C34B5A">
        <w:t xml:space="preserve">Abbreviation: </w:t>
      </w:r>
      <w:r w:rsidR="00454BAF" w:rsidRPr="00C34B5A">
        <w:t>N = population size.</w:t>
      </w:r>
    </w:p>
    <w:p w14:paraId="18B4811F" w14:textId="27AE0904" w:rsidR="00704218" w:rsidRPr="00C34B5A" w:rsidRDefault="00704218" w:rsidP="00C34B5A">
      <w:pPr>
        <w:pStyle w:val="FigureDescription"/>
      </w:pPr>
      <w:r w:rsidRPr="00C34B5A">
        <w:t xml:space="preserve">Reasons for discontinuation are based on the </w:t>
      </w:r>
      <w:r w:rsidR="00454BAF" w:rsidRPr="00C34B5A">
        <w:t>end of study form.</w:t>
      </w:r>
    </w:p>
    <w:p w14:paraId="5FCA44DF" w14:textId="621A0C39" w:rsidR="00704218" w:rsidRPr="00C34B5A" w:rsidRDefault="00704218" w:rsidP="00C34B5A">
      <w:pPr>
        <w:pStyle w:val="FigureDescription"/>
      </w:pPr>
      <w:r w:rsidRPr="00C34B5A">
        <w:t xml:space="preserve">Correction in the number of subjects with reasons for screen failure in the 16 to 35 years group made after </w:t>
      </w:r>
      <w:r w:rsidR="00286A63" w:rsidRPr="00C34B5A">
        <w:t>clinical study report</w:t>
      </w:r>
      <w:r w:rsidRPr="00C34B5A">
        <w:t xml:space="preserve"> approval date: subjects who did not meet inclusion/exclusion criteria: it </w:t>
      </w:r>
      <w:r w:rsidR="009B40BE" w:rsidRPr="00C34B5A">
        <w:t>stated</w:t>
      </w:r>
      <w:r w:rsidRPr="00C34B5A">
        <w:t xml:space="preserve"> 600, whereas there were 598 subjects; subjects who withdrew consent: it </w:t>
      </w:r>
      <w:r w:rsidR="009B40BE" w:rsidRPr="00C34B5A">
        <w:t xml:space="preserve">stated </w:t>
      </w:r>
      <w:r w:rsidRPr="00C34B5A">
        <w:t>31, whereas there were 33 subjects; the other reasons had the correct number of subjects. This correction has no impact in the interpretation of results.</w:t>
      </w:r>
    </w:p>
    <w:p w14:paraId="295E8FC8" w14:textId="77777777" w:rsidR="00701EFE" w:rsidRPr="00D23308" w:rsidRDefault="00704218" w:rsidP="00701EFE">
      <w:pPr>
        <w:pStyle w:val="Heading7"/>
        <w:rPr>
          <w:sz w:val="22"/>
          <w:szCs w:val="28"/>
        </w:rPr>
      </w:pPr>
      <w:r w:rsidRPr="00D23308">
        <w:rPr>
          <w:sz w:val="22"/>
          <w:szCs w:val="28"/>
        </w:rPr>
        <w:t xml:space="preserve">Subjects’ demographics and baseline characteristics in the ITT </w:t>
      </w:r>
      <w:r w:rsidR="00701EFE" w:rsidRPr="00D23308">
        <w:rPr>
          <w:sz w:val="22"/>
          <w:szCs w:val="28"/>
        </w:rPr>
        <w:t>population</w:t>
      </w:r>
    </w:p>
    <w:p w14:paraId="6DC10B35" w14:textId="48E8E323" w:rsidR="00704218" w:rsidRPr="00D23308" w:rsidRDefault="00704218" w:rsidP="00C41EBD">
      <w:r w:rsidRPr="00D23308">
        <w:t xml:space="preserve">69.7% of the subjects were white (70.1% in subjects aged 16 to 35 years), and 19.8% were black or African American (19.5% in subjects aged 16 to 35 years). 26.2% of subjects (25.6% in subjects aged 16 to 35 years of age) were Hispanic or Latino origin. The subjects’ mean age was 27.3 years old (25.8 in subjects aged 16 to 35 years). Mean </w:t>
      </w:r>
      <w:r w:rsidR="00335952" w:rsidRPr="00D23308">
        <w:t>BMI</w:t>
      </w:r>
      <w:r w:rsidRPr="00D23308">
        <w:t xml:space="preserve"> was 25.9 kg/</w:t>
      </w:r>
      <w:r w:rsidR="00335952" w:rsidRPr="00D23308">
        <w:t>m</w:t>
      </w:r>
      <w:r w:rsidR="00335952" w:rsidRPr="00D23308">
        <w:rPr>
          <w:vertAlign w:val="superscript"/>
        </w:rPr>
        <w:t>2</w:t>
      </w:r>
      <w:r w:rsidRPr="00D23308">
        <w:t xml:space="preserve"> (25.8 in subjects 16 to 35 years of age). More than half of the subjects (58%) were ‘starters’ with approximately 17% of subjects classified as true new users; approximately 42% of subjects were switchers from a previous hormonal contraceptive method.</w:t>
      </w:r>
    </w:p>
    <w:p w14:paraId="500338F4" w14:textId="664A789E" w:rsidR="00701EFE" w:rsidRPr="00D23308" w:rsidRDefault="00704218" w:rsidP="00C41EBD">
      <w:r w:rsidRPr="00D23308">
        <w:t xml:space="preserve">The baseline demographics in this study were different to </w:t>
      </w:r>
      <w:r w:rsidR="00701EFE" w:rsidRPr="00D23308">
        <w:t xml:space="preserve">Study </w:t>
      </w:r>
      <w:r w:rsidR="000759AE" w:rsidRPr="000759AE">
        <w:t>MIT</w:t>
      </w:r>
      <w:r w:rsidR="000759AE">
        <w:noBreakHyphen/>
      </w:r>
      <w:r w:rsidR="000759AE" w:rsidRPr="000759AE">
        <w:t>Es0001-C301</w:t>
      </w:r>
      <w:r w:rsidRPr="00D23308">
        <w:t xml:space="preserve">. Major differences between Study </w:t>
      </w:r>
      <w:r w:rsidR="000759AE" w:rsidRPr="000759AE">
        <w:t>MIT</w:t>
      </w:r>
      <w:r w:rsidR="000759AE">
        <w:noBreakHyphen/>
      </w:r>
      <w:r w:rsidR="000759AE" w:rsidRPr="000759AE">
        <w:t>Es0001</w:t>
      </w:r>
      <w:r w:rsidR="000759AE">
        <w:noBreakHyphen/>
      </w:r>
      <w:r w:rsidR="000759AE" w:rsidRPr="000759AE">
        <w:t>C301</w:t>
      </w:r>
      <w:r w:rsidR="000759AE">
        <w:t xml:space="preserve"> </w:t>
      </w:r>
      <w:r w:rsidRPr="00D23308">
        <w:t xml:space="preserve">and Study </w:t>
      </w:r>
      <w:r w:rsidR="000759AE" w:rsidRPr="00D23308">
        <w:t>MIT</w:t>
      </w:r>
      <w:r w:rsidR="000759AE">
        <w:noBreakHyphen/>
      </w:r>
      <w:r w:rsidR="000759AE" w:rsidRPr="00D23308">
        <w:t>Es0001</w:t>
      </w:r>
      <w:r w:rsidR="000759AE">
        <w:noBreakHyphen/>
      </w:r>
      <w:r w:rsidR="000759AE" w:rsidRPr="00D23308">
        <w:t>C302</w:t>
      </w:r>
      <w:r w:rsidR="000759AE">
        <w:t xml:space="preserve"> </w:t>
      </w:r>
      <w:r w:rsidRPr="00D23308">
        <w:t>included:</w:t>
      </w:r>
    </w:p>
    <w:p w14:paraId="5D01FCB7" w14:textId="76F1FAFF" w:rsidR="00701EFE" w:rsidRPr="00D23308" w:rsidRDefault="00704218" w:rsidP="00701EFE">
      <w:pPr>
        <w:pStyle w:val="ListBullet"/>
      </w:pPr>
      <w:r w:rsidRPr="00D23308">
        <w:t xml:space="preserve">race: White/Caucasian participants comprised over 98% of the Study </w:t>
      </w:r>
      <w:r w:rsidR="000759AE" w:rsidRPr="000759AE">
        <w:t>MIT</w:t>
      </w:r>
      <w:r w:rsidR="000759AE">
        <w:noBreakHyphen/>
      </w:r>
      <w:r w:rsidR="000759AE" w:rsidRPr="000759AE">
        <w:t>Es0001</w:t>
      </w:r>
      <w:r w:rsidR="000759AE">
        <w:noBreakHyphen/>
      </w:r>
      <w:r w:rsidR="000759AE" w:rsidRPr="000759AE">
        <w:t>C301</w:t>
      </w:r>
      <w:r w:rsidRPr="00D23308">
        <w:t xml:space="preserve"> (</w:t>
      </w:r>
      <w:r w:rsidR="004833C3" w:rsidRPr="00D23308">
        <w:t>Europe/Russia</w:t>
      </w:r>
      <w:r w:rsidRPr="00D23308">
        <w:t xml:space="preserve">) population, compared to 70% of the Study </w:t>
      </w:r>
      <w:r w:rsidR="000759AE" w:rsidRPr="00D23308">
        <w:t>MIT</w:t>
      </w:r>
      <w:r w:rsidR="000759AE">
        <w:noBreakHyphen/>
      </w:r>
      <w:r w:rsidR="000759AE" w:rsidRPr="00D23308">
        <w:t>Es0001</w:t>
      </w:r>
      <w:r w:rsidR="000759AE">
        <w:noBreakHyphen/>
      </w:r>
      <w:r w:rsidR="000759AE" w:rsidRPr="00D23308">
        <w:t>C302</w:t>
      </w:r>
      <w:r w:rsidRPr="00D23308">
        <w:t xml:space="preserve"> (US/</w:t>
      </w:r>
      <w:r w:rsidR="004833C3" w:rsidRPr="00D23308">
        <w:t>Canada</w:t>
      </w:r>
      <w:r w:rsidRPr="00D23308">
        <w:t xml:space="preserve">) </w:t>
      </w:r>
      <w:proofErr w:type="gramStart"/>
      <w:r w:rsidRPr="00D23308">
        <w:t>population;</w:t>
      </w:r>
      <w:proofErr w:type="gramEnd"/>
    </w:p>
    <w:p w14:paraId="56BA935F" w14:textId="255DFD3C" w:rsidR="00701EFE" w:rsidRPr="00D23308" w:rsidRDefault="00701EFE" w:rsidP="00701EFE">
      <w:pPr>
        <w:pStyle w:val="ListBullet"/>
      </w:pPr>
      <w:r w:rsidRPr="00D23308">
        <w:lastRenderedPageBreak/>
        <w:t>body mass index (</w:t>
      </w:r>
      <w:r w:rsidR="00704218" w:rsidRPr="00D23308">
        <w:t>BMI</w:t>
      </w:r>
      <w:r w:rsidRPr="00D23308">
        <w:t>)</w:t>
      </w:r>
      <w:r w:rsidR="00704218" w:rsidRPr="00D23308">
        <w:t>: obese individuals, defined as BMI ≥ 30 kg/</w:t>
      </w:r>
      <w:r w:rsidR="00335952" w:rsidRPr="00D23308">
        <w:t>m</w:t>
      </w:r>
      <w:r w:rsidR="00335952" w:rsidRPr="00D23308">
        <w:rPr>
          <w:vertAlign w:val="superscript"/>
        </w:rPr>
        <w:t>2</w:t>
      </w:r>
      <w:r w:rsidR="00704218" w:rsidRPr="00D23308">
        <w:t xml:space="preserve"> comprised only 5.7% of the study population in Study </w:t>
      </w:r>
      <w:r w:rsidR="000759AE" w:rsidRPr="000759AE">
        <w:t>MIT</w:t>
      </w:r>
      <w:r w:rsidR="000759AE">
        <w:noBreakHyphen/>
      </w:r>
      <w:r w:rsidR="000759AE" w:rsidRPr="000759AE">
        <w:t>Es0001</w:t>
      </w:r>
      <w:r w:rsidR="000759AE">
        <w:noBreakHyphen/>
      </w:r>
      <w:r w:rsidR="000759AE" w:rsidRPr="000759AE">
        <w:t>C301</w:t>
      </w:r>
      <w:r w:rsidR="00704218" w:rsidRPr="00D23308">
        <w:t xml:space="preserve"> (</w:t>
      </w:r>
      <w:r w:rsidR="004833C3" w:rsidRPr="00D23308">
        <w:t>Europe/Russia</w:t>
      </w:r>
      <w:r w:rsidR="00704218" w:rsidRPr="00D23308">
        <w:t xml:space="preserve">) compared to approximately 23% of the study population in Study </w:t>
      </w:r>
      <w:r w:rsidR="000759AE" w:rsidRPr="00D23308">
        <w:t>MIT</w:t>
      </w:r>
      <w:r w:rsidR="000759AE">
        <w:noBreakHyphen/>
      </w:r>
      <w:r w:rsidR="000759AE" w:rsidRPr="00D23308">
        <w:t>Es0001</w:t>
      </w:r>
      <w:r w:rsidR="000759AE">
        <w:noBreakHyphen/>
      </w:r>
      <w:r w:rsidR="000759AE" w:rsidRPr="00D23308">
        <w:t>C302</w:t>
      </w:r>
      <w:r w:rsidR="00704218" w:rsidRPr="00D23308">
        <w:t xml:space="preserve"> (US/</w:t>
      </w:r>
      <w:r w:rsidR="004833C3" w:rsidRPr="00D23308">
        <w:t>Canada</w:t>
      </w:r>
      <w:r w:rsidR="00704218" w:rsidRPr="00D23308">
        <w:t>).</w:t>
      </w:r>
    </w:p>
    <w:p w14:paraId="75E227F3" w14:textId="36FBC102" w:rsidR="00701EFE" w:rsidRPr="00D23308" w:rsidRDefault="00704218" w:rsidP="00701EFE">
      <w:pPr>
        <w:pStyle w:val="ListBullet"/>
      </w:pPr>
      <w:r w:rsidRPr="00D23308">
        <w:t xml:space="preserve">the use of previous contraceptive measures was lower in this study (45% with </w:t>
      </w:r>
      <w:r w:rsidR="00001DFF">
        <w:t xml:space="preserve">combined </w:t>
      </w:r>
      <w:r w:rsidRPr="00D23308">
        <w:t xml:space="preserve">oral </w:t>
      </w:r>
      <w:r w:rsidR="00001DFF">
        <w:t>contraceptive</w:t>
      </w:r>
      <w:r w:rsidRPr="00D23308">
        <w:t xml:space="preserve">s taken by 36.6%) compared to </w:t>
      </w:r>
      <w:r w:rsidR="00701EFE"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 xml:space="preserve"> (72% with 60% having used prior </w:t>
      </w:r>
      <w:r w:rsidR="00001DFF">
        <w:t>combined oral contraceptives</w:t>
      </w:r>
      <w:proofErr w:type="gramStart"/>
      <w:r w:rsidRPr="00D23308">
        <w:t>)</w:t>
      </w:r>
      <w:r w:rsidR="00701EFE" w:rsidRPr="00D23308">
        <w:t>;</w:t>
      </w:r>
      <w:proofErr w:type="gramEnd"/>
    </w:p>
    <w:p w14:paraId="46A73AEB" w14:textId="6822A0F6" w:rsidR="00C41EBD" w:rsidRPr="00D23308" w:rsidRDefault="00701EFE" w:rsidP="00701EFE">
      <w:pPr>
        <w:pStyle w:val="ListBullet"/>
      </w:pPr>
      <w:r w:rsidRPr="00D23308">
        <w:t>t</w:t>
      </w:r>
      <w:r w:rsidR="00704218" w:rsidRPr="00D23308">
        <w:t>he cumulative discontinuation rates in this North American study (45</w:t>
      </w:r>
      <w:r w:rsidRPr="00D23308">
        <w:t xml:space="preserve"> to </w:t>
      </w:r>
      <w:r w:rsidR="00704218" w:rsidRPr="00D23308">
        <w:t xml:space="preserve">46%) were higher than those observed in the European </w:t>
      </w:r>
      <w:r w:rsidRPr="00D23308">
        <w:t xml:space="preserve">Study </w:t>
      </w:r>
      <w:r w:rsidR="000759AE" w:rsidRPr="000759AE">
        <w:t>MIT</w:t>
      </w:r>
      <w:r w:rsidR="000759AE">
        <w:noBreakHyphen/>
      </w:r>
      <w:r w:rsidR="000759AE" w:rsidRPr="000759AE">
        <w:t>Es0001</w:t>
      </w:r>
      <w:r w:rsidR="000759AE">
        <w:noBreakHyphen/>
      </w:r>
      <w:r w:rsidR="000759AE" w:rsidRPr="000759AE">
        <w:t>C301</w:t>
      </w:r>
      <w:r w:rsidR="00704218" w:rsidRPr="00D23308">
        <w:t xml:space="preserve"> (32%).</w:t>
      </w:r>
    </w:p>
    <w:p w14:paraId="1D73B61F" w14:textId="35B706AE" w:rsidR="00704218" w:rsidRPr="00D23308" w:rsidRDefault="00704218" w:rsidP="0096551F">
      <w:pPr>
        <w:pStyle w:val="Heading6"/>
      </w:pPr>
      <w:r w:rsidRPr="00D23308">
        <w:t xml:space="preserve">Primary </w:t>
      </w:r>
      <w:r w:rsidR="00701EFE" w:rsidRPr="00D23308">
        <w:t>endpoint</w:t>
      </w:r>
    </w:p>
    <w:p w14:paraId="0E2ABC9C" w14:textId="77777777" w:rsidR="00701EFE" w:rsidRPr="00D23308" w:rsidRDefault="00704218" w:rsidP="00701EFE">
      <w:pPr>
        <w:pStyle w:val="Heading7"/>
        <w:rPr>
          <w:sz w:val="22"/>
          <w:szCs w:val="28"/>
        </w:rPr>
      </w:pPr>
      <w:r w:rsidRPr="00D23308">
        <w:rPr>
          <w:sz w:val="22"/>
          <w:szCs w:val="28"/>
        </w:rPr>
        <w:t>Pregnancies</w:t>
      </w:r>
    </w:p>
    <w:p w14:paraId="7B1E86D8" w14:textId="2B6837D9" w:rsidR="00704218" w:rsidRPr="00D23308" w:rsidRDefault="00704218" w:rsidP="00C41EBD">
      <w:r w:rsidRPr="00D23308">
        <w:t xml:space="preserve">In Study </w:t>
      </w:r>
      <w:r w:rsidR="000759AE" w:rsidRPr="00D23308">
        <w:t>MIT</w:t>
      </w:r>
      <w:r w:rsidR="000759AE">
        <w:noBreakHyphen/>
      </w:r>
      <w:r w:rsidR="000759AE" w:rsidRPr="00D23308">
        <w:t>Es0001</w:t>
      </w:r>
      <w:r w:rsidR="000759AE">
        <w:noBreakHyphen/>
      </w:r>
      <w:r w:rsidR="000759AE" w:rsidRPr="00D23308">
        <w:t>C302</w:t>
      </w:r>
      <w:r w:rsidRPr="00D23308">
        <w:t>, 28 on-treatment pregnancies were reported. Of those pregnancies, 26 (12</w:t>
      </w:r>
      <w:r w:rsidR="00701EFE" w:rsidRPr="00D23308">
        <w:t> </w:t>
      </w:r>
      <w:r w:rsidRPr="00D23308">
        <w:t xml:space="preserve">user failure and 14 method failure) of 28 occurred during the treatment period in subjects between 16 to 35 years of age, inclusive, at initial screening (ITT population). 1,524 subjects aged 16 to 35 years with at least </w:t>
      </w:r>
      <w:r w:rsidR="009B40BE">
        <w:t>one</w:t>
      </w:r>
      <w:r w:rsidRPr="00D23308">
        <w:t xml:space="preserve"> </w:t>
      </w:r>
      <w:r w:rsidR="00335952" w:rsidRPr="00D23308">
        <w:t>at</w:t>
      </w:r>
      <w:r w:rsidR="009B40BE">
        <w:t>-</w:t>
      </w:r>
      <w:r w:rsidR="00335952" w:rsidRPr="00D23308">
        <w:t>risk</w:t>
      </w:r>
      <w:r w:rsidRPr="00D23308">
        <w:t xml:space="preserve"> cycle in the study reported 12,763 </w:t>
      </w:r>
      <w:r w:rsidR="00335952" w:rsidRPr="00D23308">
        <w:t>at</w:t>
      </w:r>
      <w:r w:rsidR="009B40BE">
        <w:t>-</w:t>
      </w:r>
      <w:r w:rsidR="00335952" w:rsidRPr="00D23308">
        <w:t>risk</w:t>
      </w:r>
      <w:r w:rsidRPr="00D23308">
        <w:t xml:space="preserve"> cycles.</w:t>
      </w:r>
    </w:p>
    <w:p w14:paraId="5D280687" w14:textId="0EEB661B" w:rsidR="00704218" w:rsidRPr="00D23308" w:rsidRDefault="00704218" w:rsidP="0096551F">
      <w:pPr>
        <w:pStyle w:val="Heading6"/>
      </w:pPr>
      <w:r w:rsidRPr="00D23308">
        <w:t>Pearl Index</w:t>
      </w:r>
    </w:p>
    <w:p w14:paraId="638F3ED6" w14:textId="5CC2F7BE" w:rsidR="00704218" w:rsidRPr="00D23308" w:rsidRDefault="00704218" w:rsidP="00701EFE">
      <w:pPr>
        <w:pStyle w:val="Heading7"/>
        <w:rPr>
          <w:sz w:val="22"/>
          <w:szCs w:val="28"/>
        </w:rPr>
      </w:pPr>
      <w:r w:rsidRPr="00D23308">
        <w:rPr>
          <w:sz w:val="22"/>
          <w:szCs w:val="28"/>
        </w:rPr>
        <w:t>Primary efficacy variable</w:t>
      </w:r>
      <w:r w:rsidR="00701EFE" w:rsidRPr="00D23308">
        <w:rPr>
          <w:sz w:val="22"/>
          <w:szCs w:val="28"/>
        </w:rPr>
        <w:t xml:space="preserve"> (</w:t>
      </w:r>
      <w:r w:rsidRPr="00D23308">
        <w:rPr>
          <w:sz w:val="22"/>
          <w:szCs w:val="28"/>
        </w:rPr>
        <w:t xml:space="preserve">Pearl Index in </w:t>
      </w:r>
      <w:r w:rsidR="00701EFE" w:rsidRPr="00D23308">
        <w:rPr>
          <w:sz w:val="22"/>
          <w:szCs w:val="28"/>
        </w:rPr>
        <w:t>subjects aged 16 to 35 years with at-risk cycles)</w:t>
      </w:r>
    </w:p>
    <w:p w14:paraId="096A70C3" w14:textId="746C0656" w:rsidR="00704218" w:rsidRPr="00D23308" w:rsidRDefault="00704218" w:rsidP="00C41EBD">
      <w:r w:rsidRPr="00D23308">
        <w:t>The Pearl Index was 2.65 per 100 women</w:t>
      </w:r>
      <w:r w:rsidR="00335952" w:rsidRPr="00D23308">
        <w:t xml:space="preserve"> </w:t>
      </w:r>
      <w:r w:rsidRPr="00D23308">
        <w:t>year (95% CI: 1.73, 3.88).</w:t>
      </w:r>
    </w:p>
    <w:p w14:paraId="53749439" w14:textId="55693AF1" w:rsidR="00704218" w:rsidRPr="00C34B5A" w:rsidRDefault="00701EFE" w:rsidP="00C34B5A">
      <w:pPr>
        <w:pStyle w:val="TableTitle"/>
      </w:pPr>
      <w:r w:rsidRPr="00C34B5A">
        <w:t xml:space="preserve">Table </w:t>
      </w:r>
      <w:r w:rsidRPr="00C34B5A">
        <w:fldChar w:fldCharType="begin"/>
      </w:r>
      <w:r w:rsidRPr="00C34B5A">
        <w:instrText>SEQ Table \* ARABIC</w:instrText>
      </w:r>
      <w:r w:rsidRPr="00C34B5A">
        <w:fldChar w:fldCharType="separate"/>
      </w:r>
      <w:r w:rsidR="005319AF">
        <w:rPr>
          <w:noProof/>
        </w:rPr>
        <w:t>5</w:t>
      </w:r>
      <w:r w:rsidRPr="00C34B5A">
        <w:fldChar w:fldCharType="end"/>
      </w:r>
      <w:r w:rsidR="00704218" w:rsidRPr="00C34B5A">
        <w:t xml:space="preserve">: Study MIT-Es0001-C302 Summary and analysis of Pearl Index in subjects aged 16 to 35 years with </w:t>
      </w:r>
      <w:r w:rsidR="00335952" w:rsidRPr="00C34B5A">
        <w:t>at</w:t>
      </w:r>
      <w:r w:rsidR="009B40BE" w:rsidRPr="00C34B5A">
        <w:t>-</w:t>
      </w:r>
      <w:r w:rsidR="00335952" w:rsidRPr="00C34B5A">
        <w:t>risk</w:t>
      </w:r>
      <w:r w:rsidR="00704218" w:rsidRPr="00C34B5A">
        <w:t xml:space="preserve"> cycles (</w:t>
      </w:r>
      <w:r w:rsidRPr="00C34B5A">
        <w:t>intention-to-treat</w:t>
      </w:r>
      <w:r w:rsidR="00704218" w:rsidRPr="00C34B5A">
        <w:t xml:space="preserve"> </w:t>
      </w:r>
      <w:r w:rsidRPr="00C34B5A">
        <w:t>p</w:t>
      </w:r>
      <w:r w:rsidR="00704218" w:rsidRPr="00C34B5A">
        <w:t>opulation)</w:t>
      </w:r>
    </w:p>
    <w:p w14:paraId="1BC126E3" w14:textId="166797D8" w:rsidR="00454BAF" w:rsidRDefault="00454BAF" w:rsidP="00D67ED2">
      <w:r>
        <w:rPr>
          <w:noProof/>
          <w:shd w:val="clear" w:color="auto" w:fill="E6E6E6"/>
          <w:lang w:val="en-GB" w:eastAsia="en-GB"/>
        </w:rPr>
        <w:drawing>
          <wp:inline distT="0" distB="0" distL="0" distR="0" wp14:anchorId="46A8285C" wp14:editId="739B5C17">
            <wp:extent cx="5400040" cy="1334770"/>
            <wp:effectExtent l="0" t="0" r="0" b="0"/>
            <wp:docPr id="1" name="Picture 1" descr="Table 5: Study MIT-Es0001-C302 Summary and analysis of Pearl Index in subjects aged 16 to 35 years with at-risk cycl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5: Study MIT-Es0001-C302 Summary and analysis of Pearl Index in subjects aged 16 to 35 years with at-risk cycles (intention-to-treat population)"/>
                    <pic:cNvPicPr/>
                  </pic:nvPicPr>
                  <pic:blipFill>
                    <a:blip r:embed="rId25"/>
                    <a:stretch>
                      <a:fillRect/>
                    </a:stretch>
                  </pic:blipFill>
                  <pic:spPr>
                    <a:xfrm>
                      <a:off x="0" y="0"/>
                      <a:ext cx="5400040" cy="1334770"/>
                    </a:xfrm>
                    <a:prstGeom prst="rect">
                      <a:avLst/>
                    </a:prstGeom>
                  </pic:spPr>
                </pic:pic>
              </a:graphicData>
            </a:graphic>
          </wp:inline>
        </w:drawing>
      </w:r>
    </w:p>
    <w:p w14:paraId="22AFF374" w14:textId="18121206" w:rsidR="00454BAF" w:rsidRPr="00D67ED2" w:rsidRDefault="009B40BE" w:rsidP="00D67ED2">
      <w:pPr>
        <w:pStyle w:val="TableDescription"/>
      </w:pPr>
      <w:r w:rsidRPr="00D67ED2">
        <w:t xml:space="preserve">Abbreviations: </w:t>
      </w:r>
      <w:r w:rsidR="00454BAF" w:rsidRPr="00D67ED2">
        <w:t xml:space="preserve">DRSP = drospirenone; E4 = estetrol; ITT = intention-to-treat; N= number of </w:t>
      </w:r>
      <w:proofErr w:type="gramStart"/>
      <w:r w:rsidR="00454BAF" w:rsidRPr="00D67ED2">
        <w:t>subject</w:t>
      </w:r>
      <w:proofErr w:type="gramEnd"/>
      <w:r w:rsidR="00454BAF" w:rsidRPr="00D67ED2">
        <w:t xml:space="preserve"> in the intention-to-treat population, n = number of subjects aged 16 to 25 years at screening with at least one cycle included in the denominator.</w:t>
      </w:r>
    </w:p>
    <w:p w14:paraId="1F38EBD3" w14:textId="56190556" w:rsidR="00454BAF" w:rsidRPr="00D67ED2" w:rsidRDefault="00454BAF" w:rsidP="00D67ED2">
      <w:pPr>
        <w:pStyle w:val="TableDescription"/>
      </w:pPr>
      <w:r w:rsidRPr="00D67ED2">
        <w:t xml:space="preserve">a </w:t>
      </w:r>
      <w:proofErr w:type="gramStart"/>
      <w:r w:rsidRPr="00D67ED2">
        <w:t>Confidence intervals</w:t>
      </w:r>
      <w:proofErr w:type="gramEnd"/>
      <w:r w:rsidRPr="00D67ED2">
        <w:t xml:space="preserve"> are calculated using a Poisson distribution.</w:t>
      </w:r>
    </w:p>
    <w:p w14:paraId="4C351B92" w14:textId="18EE93A1" w:rsidR="00454BAF" w:rsidRPr="00D67ED2" w:rsidRDefault="00454BAF" w:rsidP="00D67ED2">
      <w:pPr>
        <w:pStyle w:val="TableDescription"/>
      </w:pPr>
      <w:r w:rsidRPr="00D67ED2">
        <w:t xml:space="preserve">The Pearl Index, defined as the number pregnancies per 100 women years of treatment was calculated as: Pearl Index = (1300 x number of on-treatment pregnancies) / number of women </w:t>
      </w:r>
      <w:proofErr w:type="gramStart"/>
      <w:r w:rsidRPr="00D67ED2">
        <w:t>28 day</w:t>
      </w:r>
      <w:proofErr w:type="gramEnd"/>
      <w:r w:rsidRPr="00D67ED2">
        <w:t xml:space="preserve"> equivalent cycles treatment.</w:t>
      </w:r>
    </w:p>
    <w:p w14:paraId="3A672F11" w14:textId="299AA49A" w:rsidR="00704218" w:rsidRPr="00D67ED2" w:rsidRDefault="00454BAF" w:rsidP="00D67ED2">
      <w:pPr>
        <w:pStyle w:val="TableDescription"/>
      </w:pPr>
      <w:r w:rsidRPr="00D67ED2">
        <w:t>Only at</w:t>
      </w:r>
      <w:r w:rsidR="009B40BE" w:rsidRPr="00D67ED2">
        <w:t>-</w:t>
      </w:r>
      <w:r w:rsidRPr="00D67ED2">
        <w:t xml:space="preserve">risk cycles were included in the denominator of the Pearl Index </w:t>
      </w:r>
      <w:proofErr w:type="gramStart"/>
      <w:r w:rsidRPr="00D67ED2">
        <w:t>calculation, unless</w:t>
      </w:r>
      <w:proofErr w:type="gramEnd"/>
      <w:r w:rsidRPr="00D67ED2">
        <w:t xml:space="preserve"> a conception occurred during a cycle.</w:t>
      </w:r>
    </w:p>
    <w:p w14:paraId="23856948" w14:textId="19A0698B" w:rsidR="00704218" w:rsidRPr="00D23308" w:rsidRDefault="00704218" w:rsidP="0096551F">
      <w:pPr>
        <w:pStyle w:val="Heading6"/>
        <w:rPr>
          <w:lang w:val="en-US" w:eastAsia="en-AU"/>
        </w:rPr>
      </w:pPr>
      <w:r w:rsidRPr="00D23308">
        <w:rPr>
          <w:lang w:val="en-US" w:eastAsia="en-AU"/>
        </w:rPr>
        <w:lastRenderedPageBreak/>
        <w:t xml:space="preserve">Subgroup analysis of </w:t>
      </w:r>
      <w:r w:rsidR="00701EFE" w:rsidRPr="00D23308">
        <w:rPr>
          <w:lang w:val="en-US" w:eastAsia="en-AU"/>
        </w:rPr>
        <w:t>primary endpoint</w:t>
      </w:r>
    </w:p>
    <w:p w14:paraId="5024BB48" w14:textId="1DBD137F" w:rsidR="00704218" w:rsidRPr="00D67ED2" w:rsidRDefault="00701EFE" w:rsidP="00D67ED2">
      <w:pPr>
        <w:pStyle w:val="TableTitle"/>
      </w:pPr>
      <w:r w:rsidRPr="00D67ED2">
        <w:t xml:space="preserve">Table </w:t>
      </w:r>
      <w:r w:rsidRPr="00D67ED2">
        <w:fldChar w:fldCharType="begin"/>
      </w:r>
      <w:r w:rsidRPr="00D67ED2">
        <w:instrText>SEQ Table \* ARABIC</w:instrText>
      </w:r>
      <w:r w:rsidRPr="00D67ED2">
        <w:fldChar w:fldCharType="separate"/>
      </w:r>
      <w:r w:rsidR="005319AF">
        <w:rPr>
          <w:noProof/>
        </w:rPr>
        <w:t>6</w:t>
      </w:r>
      <w:r w:rsidRPr="00D67ED2">
        <w:fldChar w:fldCharType="end"/>
      </w:r>
      <w:r w:rsidRPr="00D67ED2">
        <w:t>:</w:t>
      </w:r>
      <w:r w:rsidR="00704218" w:rsidRPr="00D67ED2">
        <w:t xml:space="preserve"> </w:t>
      </w:r>
      <w:r w:rsidRPr="00D67ED2">
        <w:t xml:space="preserve">Study MIT-Es0001-C302 </w:t>
      </w:r>
      <w:r w:rsidR="00704218" w:rsidRPr="00D67ED2">
        <w:t xml:space="preserve">Pearl Index by </w:t>
      </w:r>
      <w:r w:rsidRPr="00D67ED2">
        <w:t>subgroup for subjects aged 16 to 35 years</w:t>
      </w:r>
    </w:p>
    <w:p w14:paraId="62E1C95E" w14:textId="5425F80E" w:rsidR="0090198B" w:rsidRPr="00D23308" w:rsidRDefault="0090198B" w:rsidP="00D67ED2">
      <w:r>
        <w:rPr>
          <w:noProof/>
          <w:shd w:val="clear" w:color="auto" w:fill="E6E6E6"/>
          <w:lang w:val="en-GB" w:eastAsia="en-GB"/>
        </w:rPr>
        <w:drawing>
          <wp:inline distT="0" distB="0" distL="0" distR="0" wp14:anchorId="4FAA1F3B" wp14:editId="4D5FB4B9">
            <wp:extent cx="5400040" cy="3121025"/>
            <wp:effectExtent l="0" t="0" r="0" b="3175"/>
            <wp:docPr id="6" name="Picture 6" descr="Table 6: Study MIT-Es0001-C302 Pearl Index by subgroup for subjects aged 16 to 3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6: Study MIT-Es0001-C302 Pearl Index by subgroup for subjects aged 16 to 35 years"/>
                    <pic:cNvPicPr/>
                  </pic:nvPicPr>
                  <pic:blipFill>
                    <a:blip r:embed="rId26"/>
                    <a:stretch>
                      <a:fillRect/>
                    </a:stretch>
                  </pic:blipFill>
                  <pic:spPr>
                    <a:xfrm>
                      <a:off x="0" y="0"/>
                      <a:ext cx="5400040" cy="3121025"/>
                    </a:xfrm>
                    <a:prstGeom prst="rect">
                      <a:avLst/>
                    </a:prstGeom>
                  </pic:spPr>
                </pic:pic>
              </a:graphicData>
            </a:graphic>
          </wp:inline>
        </w:drawing>
      </w:r>
    </w:p>
    <w:p w14:paraId="0805EE1A" w14:textId="44C687AA" w:rsidR="00704218" w:rsidRPr="00D67ED2" w:rsidRDefault="003F7C67" w:rsidP="00D67ED2">
      <w:pPr>
        <w:pStyle w:val="TableDescription"/>
      </w:pPr>
      <w:r w:rsidRPr="00D67ED2">
        <w:t>Abbreviation</w:t>
      </w:r>
      <w:r w:rsidR="00145304" w:rsidRPr="00D67ED2">
        <w:t>s</w:t>
      </w:r>
      <w:r w:rsidRPr="00D67ED2">
        <w:t xml:space="preserve">: </w:t>
      </w:r>
      <w:r w:rsidR="003F3909" w:rsidRPr="00D67ED2">
        <w:t>BMI = body mass index; CI = confidence interval; N = number of participants.</w:t>
      </w:r>
    </w:p>
    <w:p w14:paraId="668C0B79" w14:textId="6BFAD2AA" w:rsidR="00704218" w:rsidRPr="00D23308" w:rsidRDefault="00704218" w:rsidP="00C41EBD">
      <w:r w:rsidRPr="00D23308">
        <w:t xml:space="preserve">The Pearl Indices were higher in Blacks (6.8, 4.28 and 1.77 in Blacks, Asians and Whites), smokers (4.19 </w:t>
      </w:r>
      <w:r w:rsidR="00701EFE" w:rsidRPr="00D23308">
        <w:t>versus</w:t>
      </w:r>
      <w:r w:rsidRPr="00D23308">
        <w:t xml:space="preserve"> non-smokers: 2.44), starters (3.12 </w:t>
      </w:r>
      <w:r w:rsidR="00701EFE" w:rsidRPr="00D23308">
        <w:t>versus</w:t>
      </w:r>
      <w:r w:rsidRPr="00D23308">
        <w:t xml:space="preserve"> switchers: 2.13) and the youngest age group (3.07, 2.29 and 1.55 in the 16 to </w:t>
      </w:r>
      <w:r w:rsidR="003F7C67">
        <w:t>≤</w:t>
      </w:r>
      <w:r w:rsidRPr="00D23308">
        <w:t xml:space="preserve"> 25, &gt;</w:t>
      </w:r>
      <w:r w:rsidR="002478C7" w:rsidRPr="00D23308">
        <w:t xml:space="preserve"> </w:t>
      </w:r>
      <w:r w:rsidRPr="00D23308">
        <w:t xml:space="preserve">25 to </w:t>
      </w:r>
      <w:r w:rsidR="00D80178">
        <w:t xml:space="preserve">&lt; </w:t>
      </w:r>
      <w:r w:rsidRPr="00D23308">
        <w:t>35</w:t>
      </w:r>
      <w:r w:rsidR="003F7C67">
        <w:t>,</w:t>
      </w:r>
      <w:r w:rsidRPr="00D23308">
        <w:t xml:space="preserve"> and </w:t>
      </w:r>
      <w:r w:rsidR="00D80178">
        <w:t xml:space="preserve">≥ </w:t>
      </w:r>
      <w:proofErr w:type="gramStart"/>
      <w:r w:rsidRPr="00D23308">
        <w:t>35</w:t>
      </w:r>
      <w:r w:rsidR="00335952" w:rsidRPr="00D23308">
        <w:t xml:space="preserve"> </w:t>
      </w:r>
      <w:r w:rsidRPr="00D23308">
        <w:t>year</w:t>
      </w:r>
      <w:proofErr w:type="gramEnd"/>
      <w:r w:rsidRPr="00D23308">
        <w:t xml:space="preserve"> age groups, respectively).</w:t>
      </w:r>
    </w:p>
    <w:p w14:paraId="25A10B5B" w14:textId="21F4C406" w:rsidR="00704218" w:rsidRPr="00D23308" w:rsidRDefault="00704218" w:rsidP="00C41EBD">
      <w:r w:rsidRPr="00D23308">
        <w:t xml:space="preserve">The requirement for precision of the </w:t>
      </w:r>
      <w:r w:rsidR="004A44A5" w:rsidRPr="00D23308">
        <w:t>Pearl Index</w:t>
      </w:r>
      <w:r w:rsidRPr="00D23308">
        <w:t xml:space="preserve"> was not met in accordance with the EMA </w:t>
      </w:r>
      <w:r w:rsidR="00F1682F">
        <w:t>g</w:t>
      </w:r>
      <w:r w:rsidRPr="00D23308">
        <w:t>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since the difference between the upper limit of the corresponding </w:t>
      </w:r>
      <w:r w:rsidR="003F7C67">
        <w:t>two-</w:t>
      </w:r>
      <w:r w:rsidRPr="00D23308">
        <w:t xml:space="preserve">sided 95% CI for the Pearl Index and the point estimate was </w:t>
      </w:r>
      <w:r w:rsidR="002478C7" w:rsidRPr="00D23308">
        <w:t>greater than one</w:t>
      </w:r>
      <w:r w:rsidRPr="00D23308">
        <w:t xml:space="preserve">. None of these subgroups fulfilled the criterion. However, with the upper limit of the 95% CI well below 5, </w:t>
      </w:r>
      <w:r w:rsidR="00286A63" w:rsidRPr="00D23308">
        <w:t xml:space="preserve">15 mg estetrol/3 mg drospirenone </w:t>
      </w:r>
      <w:r w:rsidRPr="00D23308">
        <w:t xml:space="preserve">fulfils the FDA criterion of an effective </w:t>
      </w:r>
      <w:r w:rsidR="003F7C67">
        <w:t>combined oral contraceptive</w:t>
      </w:r>
      <w:r w:rsidR="00F1682F">
        <w:t>.</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_Ref106368368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24</w:t>
      </w:r>
      <w:r w:rsidR="00F1682F" w:rsidRPr="00F1682F">
        <w:rPr>
          <w:color w:val="2B579A"/>
          <w:shd w:val="clear" w:color="auto" w:fill="E6E6E6"/>
          <w:vertAlign w:val="superscript"/>
        </w:rPr>
        <w:fldChar w:fldCharType="end"/>
      </w:r>
    </w:p>
    <w:p w14:paraId="2E3D7934" w14:textId="2629BB33" w:rsidR="00704218" w:rsidRPr="00D23308" w:rsidRDefault="00704218" w:rsidP="0096551F">
      <w:pPr>
        <w:pStyle w:val="Heading6"/>
        <w:rPr>
          <w:lang w:eastAsia="ja-JP"/>
        </w:rPr>
      </w:pPr>
      <w:r w:rsidRPr="00D23308">
        <w:rPr>
          <w:lang w:eastAsia="ja-JP"/>
        </w:rPr>
        <w:t>Secondary efficacy endpoints</w:t>
      </w:r>
    </w:p>
    <w:p w14:paraId="075F7CE3" w14:textId="58BEF5E7" w:rsidR="00704218" w:rsidRPr="00D23308" w:rsidRDefault="003F7C67" w:rsidP="00C41EBD">
      <w:r>
        <w:t xml:space="preserve">The </w:t>
      </w:r>
      <w:r w:rsidR="00704218" w:rsidRPr="00D23308">
        <w:t xml:space="preserve">Pearl Index in subjects aged 16 to 50 years with </w:t>
      </w:r>
      <w:r w:rsidR="009B40BE">
        <w:t>at-risk</w:t>
      </w:r>
      <w:r w:rsidR="00704218" w:rsidRPr="00D23308">
        <w:t xml:space="preserve"> cycles analysis were based on 1,705 subjects with at least </w:t>
      </w:r>
      <w:r w:rsidR="002478C7" w:rsidRPr="00D23308">
        <w:t>one</w:t>
      </w:r>
      <w:r w:rsidR="00704218" w:rsidRPr="00D23308">
        <w:t xml:space="preserve"> </w:t>
      </w:r>
      <w:r w:rsidR="009B40BE">
        <w:t>at-risk</w:t>
      </w:r>
      <w:r w:rsidR="00704218" w:rsidRPr="00D23308">
        <w:t xml:space="preserve"> cycle who reported 14,437 </w:t>
      </w:r>
      <w:r w:rsidR="009B40BE">
        <w:t>at-risk</w:t>
      </w:r>
      <w:r w:rsidR="00704218" w:rsidRPr="00D23308">
        <w:t xml:space="preserve"> cycles. There were 28 on-treatment pregnancies, resulting in a Pearl Index of 2.52 (95% CI: 1.68</w:t>
      </w:r>
      <w:r w:rsidR="002478C7" w:rsidRPr="00D23308">
        <w:t xml:space="preserve">, </w:t>
      </w:r>
      <w:r w:rsidR="00704218" w:rsidRPr="00D23308">
        <w:t xml:space="preserve">3.64) for 15 mg </w:t>
      </w:r>
      <w:r w:rsidR="009A2E70" w:rsidRPr="00D23308">
        <w:t>estetrol</w:t>
      </w:r>
      <w:r w:rsidR="00704218" w:rsidRPr="00D23308">
        <w:t xml:space="preserve">/3 mg </w:t>
      </w:r>
      <w:r w:rsidR="009A2E70" w:rsidRPr="00D23308">
        <w:t>drospirenone</w:t>
      </w:r>
      <w:r w:rsidR="00704218" w:rsidRPr="00D23308">
        <w:t xml:space="preserve"> in subjects aged 16 to 50 years.</w:t>
      </w:r>
    </w:p>
    <w:p w14:paraId="7546BE65" w14:textId="6FDFA04F" w:rsidR="00704218" w:rsidRPr="00D23308" w:rsidRDefault="00704218" w:rsidP="00C41EBD">
      <w:r w:rsidRPr="00D23308">
        <w:t xml:space="preserve">The modified </w:t>
      </w:r>
      <w:r w:rsidR="009B40BE">
        <w:t>at-risk</w:t>
      </w:r>
      <w:r w:rsidRPr="00D23308">
        <w:t xml:space="preserve"> Pearl Index (EU definition), for which only cycles with use of other methods of birth control are excluded from the denominator but cycles without confirmed sexual intercourse are included, was 2.42 (95% CI: 1.58, 3.54) in subjects aged 18 to 35</w:t>
      </w:r>
      <w:r w:rsidR="002478C7" w:rsidRPr="00D23308">
        <w:t> </w:t>
      </w:r>
      <w:r w:rsidRPr="00D23308">
        <w:t>years (</w:t>
      </w:r>
      <w:r w:rsidR="002478C7" w:rsidRPr="00D23308">
        <w:t xml:space="preserve">see </w:t>
      </w:r>
      <w:r w:rsidR="002478C7" w:rsidRPr="00D23308">
        <w:rPr>
          <w:color w:val="2B579A"/>
          <w:shd w:val="clear" w:color="auto" w:fill="E6E6E6"/>
        </w:rPr>
        <w:fldChar w:fldCharType="begin"/>
      </w:r>
      <w:r w:rsidR="002478C7" w:rsidRPr="00D23308">
        <w:instrText xml:space="preserve"> REF _Ref106288002 \h </w:instrText>
      </w:r>
      <w:r w:rsidR="00D23308">
        <w:instrText xml:space="preserve"> \* MERGEFORMAT </w:instrText>
      </w:r>
      <w:r w:rsidR="002478C7" w:rsidRPr="00D23308">
        <w:rPr>
          <w:color w:val="2B579A"/>
          <w:shd w:val="clear" w:color="auto" w:fill="E6E6E6"/>
        </w:rPr>
      </w:r>
      <w:r w:rsidR="002478C7" w:rsidRPr="00D23308">
        <w:rPr>
          <w:color w:val="2B579A"/>
          <w:shd w:val="clear" w:color="auto" w:fill="E6E6E6"/>
        </w:rPr>
        <w:fldChar w:fldCharType="separate"/>
      </w:r>
      <w:r w:rsidR="005319AF" w:rsidRPr="00D67ED2">
        <w:t xml:space="preserve">Table </w:t>
      </w:r>
      <w:r w:rsidR="005319AF">
        <w:rPr>
          <w:noProof/>
        </w:rPr>
        <w:t>7</w:t>
      </w:r>
      <w:r w:rsidR="002478C7" w:rsidRPr="00D23308">
        <w:rPr>
          <w:color w:val="2B579A"/>
          <w:shd w:val="clear" w:color="auto" w:fill="E6E6E6"/>
        </w:rPr>
        <w:fldChar w:fldCharType="end"/>
      </w:r>
      <w:r w:rsidR="002478C7" w:rsidRPr="00D23308">
        <w:t xml:space="preserve"> </w:t>
      </w:r>
      <w:r w:rsidRPr="00D23308">
        <w:t>below)</w:t>
      </w:r>
      <w:r w:rsidR="002478C7" w:rsidRPr="00D23308">
        <w:t>.</w:t>
      </w:r>
    </w:p>
    <w:p w14:paraId="36030FCB" w14:textId="40FE6FBC" w:rsidR="00704218" w:rsidRPr="00D67ED2" w:rsidRDefault="002478C7" w:rsidP="00D67ED2">
      <w:pPr>
        <w:pStyle w:val="TableTitle"/>
      </w:pPr>
      <w:bookmarkStart w:id="54" w:name="_Ref106288002"/>
      <w:r w:rsidRPr="00D67ED2">
        <w:lastRenderedPageBreak/>
        <w:t xml:space="preserve">Table </w:t>
      </w:r>
      <w:r w:rsidRPr="00D67ED2">
        <w:fldChar w:fldCharType="begin"/>
      </w:r>
      <w:r w:rsidRPr="00D67ED2">
        <w:instrText>SEQ Table \* ARABIC</w:instrText>
      </w:r>
      <w:r w:rsidRPr="00D67ED2">
        <w:fldChar w:fldCharType="separate"/>
      </w:r>
      <w:r w:rsidR="005319AF">
        <w:rPr>
          <w:noProof/>
        </w:rPr>
        <w:t>7</w:t>
      </w:r>
      <w:r w:rsidRPr="00D67ED2">
        <w:fldChar w:fldCharType="end"/>
      </w:r>
      <w:bookmarkEnd w:id="54"/>
      <w:r w:rsidR="00704218" w:rsidRPr="00D67ED2">
        <w:t xml:space="preserve">: Study MIT-Es0001-C302 Summary and analysis of Pearl Indices calculated with different methods in subjects with </w:t>
      </w:r>
      <w:r w:rsidR="009B40BE" w:rsidRPr="00D67ED2">
        <w:t>at-risk</w:t>
      </w:r>
      <w:r w:rsidR="00704218" w:rsidRPr="00D67ED2">
        <w:t xml:space="preserve"> cycles (</w:t>
      </w:r>
      <w:r w:rsidRPr="00D67ED2">
        <w:t>intention-to-treat</w:t>
      </w:r>
      <w:r w:rsidR="00704218" w:rsidRPr="00D67ED2">
        <w:t xml:space="preserve"> </w:t>
      </w:r>
      <w:r w:rsidRPr="00D67ED2">
        <w:t>p</w:t>
      </w:r>
      <w:r w:rsidR="00704218" w:rsidRPr="00D67ED2">
        <w:t>opulation)</w:t>
      </w:r>
    </w:p>
    <w:p w14:paraId="0C3FF28D" w14:textId="32F9E7F5" w:rsidR="00AD4B1E" w:rsidRDefault="00AD4B1E" w:rsidP="00D67ED2">
      <w:r>
        <w:rPr>
          <w:noProof/>
          <w:shd w:val="clear" w:color="auto" w:fill="E6E6E6"/>
          <w:lang w:val="en-GB" w:eastAsia="en-GB"/>
        </w:rPr>
        <w:drawing>
          <wp:inline distT="0" distB="0" distL="0" distR="0" wp14:anchorId="5BC19105" wp14:editId="20884A00">
            <wp:extent cx="5400040" cy="1300843"/>
            <wp:effectExtent l="0" t="0" r="0" b="0"/>
            <wp:docPr id="17" name="Picture 17" descr="Table 7: Study MIT-Es0001-C302 Summary and analysis of Pearl Indices calculated with different methods in subjects with at-risk cycl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7: Study MIT-Es0001-C302 Summary and analysis of Pearl Indices calculated with different methods in subjects with at-risk cycles (intention-to-treat population)"/>
                    <pic:cNvPicPr/>
                  </pic:nvPicPr>
                  <pic:blipFill>
                    <a:blip r:embed="rId27"/>
                    <a:stretch>
                      <a:fillRect/>
                    </a:stretch>
                  </pic:blipFill>
                  <pic:spPr>
                    <a:xfrm>
                      <a:off x="0" y="0"/>
                      <a:ext cx="5418584" cy="1305310"/>
                    </a:xfrm>
                    <a:prstGeom prst="rect">
                      <a:avLst/>
                    </a:prstGeom>
                  </pic:spPr>
                </pic:pic>
              </a:graphicData>
            </a:graphic>
          </wp:inline>
        </w:drawing>
      </w:r>
    </w:p>
    <w:p w14:paraId="6FB19BEA" w14:textId="13380964" w:rsidR="00BD7E31" w:rsidRPr="00D67ED2" w:rsidRDefault="003F7C67" w:rsidP="00D67ED2">
      <w:pPr>
        <w:pStyle w:val="TableDescription"/>
      </w:pPr>
      <w:r w:rsidRPr="00D67ED2">
        <w:t xml:space="preserve">Abbreviations: </w:t>
      </w:r>
      <w:r w:rsidR="00BD7E31" w:rsidRPr="00D67ED2">
        <w:t xml:space="preserve">CI = confidence interval; DRSP = drospirenone; E4 = estetrol; ITT = intention-to-treat; n = number of subjects with at least 1 cycle </w:t>
      </w:r>
      <w:proofErr w:type="gramStart"/>
      <w:r w:rsidR="00BD7E31" w:rsidRPr="00D67ED2">
        <w:t>included;</w:t>
      </w:r>
      <w:proofErr w:type="gramEnd"/>
      <w:r w:rsidR="00BD7E31" w:rsidRPr="00D67ED2">
        <w:t xml:space="preserve"> PI = Pearl Index.</w:t>
      </w:r>
    </w:p>
    <w:p w14:paraId="00CC4EE8" w14:textId="6E932D89" w:rsidR="00AD4B1E" w:rsidRPr="00D67ED2" w:rsidRDefault="00AD4B1E" w:rsidP="00D67ED2">
      <w:pPr>
        <w:pStyle w:val="TableDescription"/>
      </w:pPr>
      <w:r w:rsidRPr="00D67ED2">
        <w:t xml:space="preserve">A Pearl Index: </w:t>
      </w:r>
      <w:r w:rsidR="009B40BE" w:rsidRPr="00D67ED2">
        <w:t>at-risk</w:t>
      </w:r>
      <w:r w:rsidRPr="00D67ED2">
        <w:t xml:space="preserve"> cycles are defined as cycles with no other methods of birth control (including condoms) and confirmed sexual intercourse.</w:t>
      </w:r>
    </w:p>
    <w:p w14:paraId="38FBDD58" w14:textId="02EAA8B3" w:rsidR="00AD4B1E" w:rsidRPr="00D67ED2" w:rsidRDefault="00AD4B1E" w:rsidP="00D67ED2">
      <w:pPr>
        <w:pStyle w:val="TableDescription"/>
      </w:pPr>
      <w:r w:rsidRPr="00D67ED2">
        <w:t xml:space="preserve">B </w:t>
      </w:r>
      <w:r w:rsidR="00BD7E31" w:rsidRPr="00D67ED2">
        <w:t>‘</w:t>
      </w:r>
      <w:r w:rsidRPr="00D67ED2">
        <w:t>Typical use</w:t>
      </w:r>
      <w:r w:rsidR="00BD7E31" w:rsidRPr="00D67ED2">
        <w:t>’</w:t>
      </w:r>
      <w:r w:rsidRPr="00D67ED2">
        <w:t xml:space="preserve"> Pearl Index: </w:t>
      </w:r>
      <w:r w:rsidR="00BD7E31" w:rsidRPr="00D67ED2">
        <w:t>a</w:t>
      </w:r>
      <w:r w:rsidRPr="00D67ED2">
        <w:t>ll cycles are included in the denominator regardless of other methods of birth control, occurrence of sexual intercourse or compliance with the protocol.</w:t>
      </w:r>
    </w:p>
    <w:p w14:paraId="31674240" w14:textId="2512F9FB" w:rsidR="00AD4B1E" w:rsidRPr="00D67ED2" w:rsidRDefault="00AD4B1E" w:rsidP="00D67ED2">
      <w:pPr>
        <w:pStyle w:val="TableDescription"/>
      </w:pPr>
      <w:r w:rsidRPr="00D67ED2">
        <w:t xml:space="preserve">C Modified at-risk Pearl Index: </w:t>
      </w:r>
      <w:r w:rsidR="009B40BE" w:rsidRPr="00D67ED2">
        <w:t>at-risk</w:t>
      </w:r>
      <w:r w:rsidRPr="00D67ED2">
        <w:t xml:space="preserve"> cycles are those where no other methods of birth control are used (modified risk). Cycles without confirmed sexual intercourse are not excluded.</w:t>
      </w:r>
    </w:p>
    <w:p w14:paraId="0A76C6C8" w14:textId="1717E952" w:rsidR="00AD4B1E" w:rsidRPr="00D67ED2" w:rsidRDefault="00AD4B1E" w:rsidP="00D67ED2">
      <w:pPr>
        <w:pStyle w:val="TableDescription"/>
      </w:pPr>
      <w:r w:rsidRPr="00D67ED2">
        <w:t xml:space="preserve">D Method </w:t>
      </w:r>
      <w:r w:rsidR="00BD7E31" w:rsidRPr="00D67ED2">
        <w:t xml:space="preserve">failure </w:t>
      </w:r>
      <w:r w:rsidRPr="00D67ED2">
        <w:t xml:space="preserve">Pearl Index: uses the same method used for the Pearl Index but excludes those pregnancies due to user failures from the numerator, </w:t>
      </w:r>
      <w:r w:rsidR="00BD7E31" w:rsidRPr="00D67ED2">
        <w:t>that is,</w:t>
      </w:r>
      <w:r w:rsidRPr="00D67ED2">
        <w:t xml:space="preserve"> subject did not take the study medication</w:t>
      </w:r>
      <w:r w:rsidR="00BD7E31" w:rsidRPr="00D67ED2">
        <w:t xml:space="preserve"> </w:t>
      </w:r>
      <w:r w:rsidRPr="00D67ED2">
        <w:t xml:space="preserve">correctly during the cycle in which the estimated conception occurred or used drugs that have the potential to trigger interactions with </w:t>
      </w:r>
      <w:r w:rsidR="00BD7E31" w:rsidRPr="00D67ED2">
        <w:t>combined oral contraceptive</w:t>
      </w:r>
      <w:r w:rsidRPr="00D67ED2">
        <w:t>.</w:t>
      </w:r>
    </w:p>
    <w:p w14:paraId="7122352B" w14:textId="5032E9BA" w:rsidR="00AD4B1E" w:rsidRPr="00D67ED2" w:rsidRDefault="00AD4B1E" w:rsidP="00D67ED2">
      <w:pPr>
        <w:pStyle w:val="TableDescription"/>
      </w:pPr>
      <w:r w:rsidRPr="00D67ED2">
        <w:t xml:space="preserve">E Only compliant modified at-risk cycles are included in the denominator of the Pearl Index calculation. Compliant modified </w:t>
      </w:r>
      <w:r w:rsidR="009B40BE" w:rsidRPr="00D67ED2">
        <w:t>at-risk</w:t>
      </w:r>
      <w:r w:rsidRPr="00D67ED2">
        <w:t xml:space="preserve"> cycle = a cycle where no other methods of birth control</w:t>
      </w:r>
      <w:r w:rsidR="00BD7E31" w:rsidRPr="00D67ED2">
        <w:t xml:space="preserve"> </w:t>
      </w:r>
      <w:r w:rsidRPr="00D67ED2">
        <w:t xml:space="preserve">(including condoms) were used, the subject does not have a user failure pregnancy and the subject had no adverse event of vomiting and/or </w:t>
      </w:r>
      <w:r w:rsidR="003F7C67" w:rsidRPr="00D67ED2">
        <w:t>diarrhoea</w:t>
      </w:r>
      <w:r w:rsidRPr="00D67ED2">
        <w:t>.</w:t>
      </w:r>
    </w:p>
    <w:p w14:paraId="2E81B630" w14:textId="029E5FBF" w:rsidR="00704218" w:rsidRPr="00D67ED2" w:rsidRDefault="00AD4B1E" w:rsidP="00D67ED2">
      <w:pPr>
        <w:pStyle w:val="TableDescription"/>
      </w:pPr>
      <w:r w:rsidRPr="00D67ED2">
        <w:t>Confidence intervals are calculated using a Poisson distribution. Any cycles after the cycle of conception in the case of pregnancy were excluded.</w:t>
      </w:r>
    </w:p>
    <w:p w14:paraId="4137284D" w14:textId="692DB5E2" w:rsidR="00704218" w:rsidRPr="00D23308" w:rsidRDefault="00704218" w:rsidP="00C41EBD">
      <w:r w:rsidRPr="00D23308">
        <w:t xml:space="preserve">In the whole group (up to 50 years of age) and with alternative calculation methods, the Pearl Indices ranged from 2.09 to 2.52 and the difference between the point estimates and the upper limit of the corresponding </w:t>
      </w:r>
      <w:r w:rsidR="003F7C67">
        <w:t>two-</w:t>
      </w:r>
      <w:r w:rsidRPr="00D23308">
        <w:t xml:space="preserve">sided 95% CIs was in most cases above </w:t>
      </w:r>
      <w:r w:rsidR="002478C7" w:rsidRPr="00D23308">
        <w:t>one</w:t>
      </w:r>
      <w:r w:rsidRPr="00D23308">
        <w:t>.</w:t>
      </w:r>
    </w:p>
    <w:p w14:paraId="7C11FC25" w14:textId="19A79411" w:rsidR="00704218" w:rsidRPr="00D23308" w:rsidRDefault="00704218" w:rsidP="00C41EBD">
      <w:r w:rsidRPr="00D23308">
        <w:t>The secondary endpoint did not fulfill the criterion on the precision of the estimate in the EMA Guideline</w:t>
      </w:r>
      <w:r w:rsidR="00F1682F">
        <w:t>;</w:t>
      </w:r>
      <w:bookmarkStart w:id="55" w:name="_Ref106367821"/>
      <w:r w:rsidR="00F1682F">
        <w:rPr>
          <w:rStyle w:val="FootnoteReference"/>
        </w:rPr>
        <w:footnoteReference w:id="21"/>
      </w:r>
      <w:bookmarkEnd w:id="55"/>
      <w:r w:rsidRPr="00D23308">
        <w:t xml:space="preserve"> </w:t>
      </w:r>
      <w:r w:rsidR="005465BA" w:rsidRPr="00D23308">
        <w:t>that is</w:t>
      </w:r>
      <w:r w:rsidRPr="00D23308">
        <w:t xml:space="preserve">, the difference between the upper limit of the corresponding </w:t>
      </w:r>
      <w:r w:rsidR="003F7C67">
        <w:t>two</w:t>
      </w:r>
      <w:r w:rsidR="003F7C67">
        <w:noBreakHyphen/>
      </w:r>
      <w:r w:rsidR="00335952" w:rsidRPr="00D23308">
        <w:t xml:space="preserve"> </w:t>
      </w:r>
      <w:r w:rsidRPr="00D23308">
        <w:t xml:space="preserve">sided 95% CI for the Pearl Index </w:t>
      </w:r>
      <w:r w:rsidR="003F7C67">
        <w:t xml:space="preserve">(3.88) </w:t>
      </w:r>
      <w:r w:rsidRPr="00D23308">
        <w:t xml:space="preserve">and the point estimate </w:t>
      </w:r>
      <w:r w:rsidR="003F7C67">
        <w:t xml:space="preserve">(2.65) </w:t>
      </w:r>
      <w:r w:rsidRPr="00D23308">
        <w:t xml:space="preserve">exceeded </w:t>
      </w:r>
      <w:r w:rsidR="002478C7" w:rsidRPr="00D23308">
        <w:t>one</w:t>
      </w:r>
      <w:r w:rsidRPr="00D23308">
        <w:t xml:space="preserve"> (3.88</w:t>
      </w:r>
      <w:r w:rsidR="002478C7" w:rsidRPr="00D23308">
        <w:t xml:space="preserve"> </w:t>
      </w:r>
      <w:r w:rsidRPr="00D23308">
        <w:t>-</w:t>
      </w:r>
      <w:r w:rsidR="002478C7" w:rsidRPr="00D23308">
        <w:t xml:space="preserve"> </w:t>
      </w:r>
      <w:r w:rsidRPr="00D23308">
        <w:t>2.65</w:t>
      </w:r>
      <w:r w:rsidR="002478C7" w:rsidRPr="00D23308">
        <w:t xml:space="preserve"> </w:t>
      </w:r>
      <w:r w:rsidRPr="00D23308">
        <w:t>= 1.23).</w:t>
      </w:r>
    </w:p>
    <w:p w14:paraId="5903000A" w14:textId="6E300165" w:rsidR="00704218" w:rsidRPr="00D23308" w:rsidRDefault="00704218" w:rsidP="00C41EBD">
      <w:r w:rsidRPr="00D23308">
        <w:t xml:space="preserve">The </w:t>
      </w:r>
      <w:r w:rsidR="004A44A5" w:rsidRPr="00D23308">
        <w:t>Pearl Index</w:t>
      </w:r>
      <w:r w:rsidRPr="00D23308">
        <w:t xml:space="preserve"> for </w:t>
      </w:r>
      <w:r w:rsidR="002478C7" w:rsidRPr="00D23308">
        <w:t xml:space="preserve">method failure </w:t>
      </w:r>
      <w:r w:rsidRPr="00D23308">
        <w:t>was 1.43 (95% CI</w:t>
      </w:r>
      <w:r w:rsidR="002478C7" w:rsidRPr="00D23308">
        <w:t>:</w:t>
      </w:r>
      <w:r w:rsidRPr="00D23308">
        <w:t xml:space="preserve"> 0.78, 2.39) for the age group 16</w:t>
      </w:r>
      <w:r w:rsidR="002478C7" w:rsidRPr="00D23308">
        <w:t xml:space="preserve"> to </w:t>
      </w:r>
      <w:r w:rsidRPr="00D23308">
        <w:t>35 years and 1.44 (95% CI</w:t>
      </w:r>
      <w:r w:rsidR="002478C7" w:rsidRPr="00D23308">
        <w:t>:</w:t>
      </w:r>
      <w:r w:rsidRPr="00D23308">
        <w:t xml:space="preserve"> 0.82, 2.34) for the whole study population, both with acceptable precision according to the EMA guideline.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p>
    <w:p w14:paraId="63256F59" w14:textId="4CE81868" w:rsidR="00704218" w:rsidRPr="00D23308" w:rsidRDefault="00704218" w:rsidP="00C41EBD">
      <w:r w:rsidRPr="00D23308">
        <w:t xml:space="preserve">It is also possible that differences in compliance with regular use of </w:t>
      </w:r>
      <w:r w:rsidR="003F7C67">
        <w:t>combined hormonal contraceptives</w:t>
      </w:r>
      <w:r w:rsidR="003F7C67" w:rsidRPr="00D23308">
        <w:t xml:space="preserve"> </w:t>
      </w:r>
      <w:r w:rsidRPr="00D23308">
        <w:t xml:space="preserve">and investigator site type may also play a role in the differences reported in </w:t>
      </w:r>
      <w:r w:rsidR="004A44A5" w:rsidRPr="00D23308">
        <w:t>Pearl Index</w:t>
      </w:r>
      <w:r w:rsidRPr="00D23308">
        <w:t xml:space="preserve"> between these </w:t>
      </w:r>
      <w:r w:rsidR="0080147A" w:rsidRPr="00D23308">
        <w:t>Phase</w:t>
      </w:r>
      <w:r w:rsidR="002478C7" w:rsidRPr="00D23308">
        <w:t> </w:t>
      </w:r>
      <w:r w:rsidR="0080147A" w:rsidRPr="00D23308">
        <w:t>III</w:t>
      </w:r>
      <w:r w:rsidRPr="00D23308">
        <w:t xml:space="preserve"> studies.</w:t>
      </w:r>
    </w:p>
    <w:p w14:paraId="2E2DA2DE" w14:textId="57D7CC4E" w:rsidR="00704218" w:rsidRPr="00D23308" w:rsidRDefault="00704218" w:rsidP="00C41EBD">
      <w:r w:rsidRPr="00D23308">
        <w:t>The life</w:t>
      </w:r>
      <w:r w:rsidR="0039354E" w:rsidRPr="00D23308">
        <w:t xml:space="preserve"> </w:t>
      </w:r>
      <w:r w:rsidRPr="00D23308">
        <w:t>table analyses (based on Kaplan-Meier estimates) were consistent with the Pearl Index results. The Kaplan-Meier curves are fully in line with the Pearl Indices with larger decrease in this US study as expected.</w:t>
      </w:r>
    </w:p>
    <w:p w14:paraId="27CDE9F4" w14:textId="1401F6DF" w:rsidR="00704218" w:rsidRPr="00D23308" w:rsidRDefault="00704218" w:rsidP="00C41EBD">
      <w:r w:rsidRPr="00D23308">
        <w:lastRenderedPageBreak/>
        <w:t xml:space="preserve">The percentage of subjects with an absence of scheduled bleeding and/or spotting episodes by cycle was higher in this North American study (6.2%) compared to that observed in </w:t>
      </w:r>
      <w:r w:rsidR="00701EFE"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 xml:space="preserve"> (3.6%).</w:t>
      </w:r>
    </w:p>
    <w:p w14:paraId="6BE7B13A" w14:textId="1AFA4F36" w:rsidR="00704218" w:rsidRPr="00D23308" w:rsidRDefault="00704218" w:rsidP="003F7C67">
      <w:pPr>
        <w:pStyle w:val="Heading5"/>
        <w:rPr>
          <w:lang w:val="en-US"/>
        </w:rPr>
      </w:pPr>
      <w:r w:rsidRPr="00D23308">
        <w:rPr>
          <w:lang w:val="en-US"/>
        </w:rPr>
        <w:t>Integrated summary of efficacy</w:t>
      </w:r>
    </w:p>
    <w:p w14:paraId="3286F6B5" w14:textId="4368DFA6" w:rsidR="00704218" w:rsidRPr="00D23308" w:rsidRDefault="00704218" w:rsidP="00C41EBD">
      <w:r w:rsidRPr="00D23308">
        <w:t xml:space="preserve">Pregnancy data, bleeding data, </w:t>
      </w:r>
      <w:r w:rsidR="001A7E03" w:rsidRPr="00D23308">
        <w:t xml:space="preserve">the </w:t>
      </w:r>
      <w:r w:rsidR="00F818E9" w:rsidRPr="00D23308">
        <w:t>Menstrual Distress Questionnaire (</w:t>
      </w:r>
      <w:r w:rsidRPr="00D23308">
        <w:t>MDQ</w:t>
      </w:r>
      <w:r w:rsidR="00F818E9" w:rsidRPr="00D23308">
        <w:t>)</w:t>
      </w:r>
      <w:r w:rsidR="007C1C9E">
        <w:rPr>
          <w:rStyle w:val="FootnoteReference"/>
        </w:rPr>
        <w:footnoteReference w:id="22"/>
      </w:r>
      <w:r w:rsidRPr="00D23308">
        <w:t xml:space="preserve"> and </w:t>
      </w:r>
      <w:r w:rsidR="001A7E03" w:rsidRPr="00D23308">
        <w:t xml:space="preserve">the </w:t>
      </w:r>
      <w:proofErr w:type="gramStart"/>
      <w:r w:rsidR="001A7E03" w:rsidRPr="00D23308">
        <w:t>Quality of Life</w:t>
      </w:r>
      <w:proofErr w:type="gramEnd"/>
      <w:r w:rsidR="001A7E03" w:rsidRPr="00D23308">
        <w:t xml:space="preserve"> Enjoyment and Satisfaction Questionnaire Short Form (</w:t>
      </w:r>
      <w:r w:rsidRPr="00D23308">
        <w:t>Q-LES-Q-SF</w:t>
      </w:r>
      <w:r w:rsidR="001A7E03" w:rsidRPr="00D23308">
        <w:t>)</w:t>
      </w:r>
      <w:r w:rsidR="001A7E03" w:rsidRPr="00D23308">
        <w:rPr>
          <w:rStyle w:val="FootnoteReference"/>
        </w:rPr>
        <w:footnoteReference w:id="23"/>
      </w:r>
      <w:r w:rsidRPr="00D23308">
        <w:t xml:space="preserve"> data from the two pivotal Phase </w:t>
      </w:r>
      <w:r w:rsidR="0080147A" w:rsidRPr="00D23308">
        <w:t>III</w:t>
      </w:r>
      <w:r w:rsidRPr="00D23308">
        <w:t xml:space="preserve"> studies (</w:t>
      </w:r>
      <w:r w:rsidR="00F818E9" w:rsidRPr="00D23308">
        <w:t xml:space="preserve">Studies </w:t>
      </w:r>
      <w:r w:rsidR="000759AE" w:rsidRPr="000759AE">
        <w:t>MIT</w:t>
      </w:r>
      <w:r w:rsidR="000759AE">
        <w:noBreakHyphen/>
      </w:r>
      <w:r w:rsidR="000759AE" w:rsidRPr="000759AE">
        <w:t>Es0001</w:t>
      </w:r>
      <w:r w:rsidR="000759AE">
        <w:noBreakHyphen/>
      </w:r>
      <w:r w:rsidR="000759AE" w:rsidRPr="000759AE">
        <w:t>C301</w:t>
      </w:r>
      <w:r w:rsidRPr="00D23308">
        <w:t xml:space="preserve"> and </w:t>
      </w:r>
      <w:r w:rsidR="000759AE" w:rsidRPr="00D23308">
        <w:t>MIT</w:t>
      </w:r>
      <w:r w:rsidR="000759AE">
        <w:noBreakHyphen/>
      </w:r>
      <w:r w:rsidR="000759AE" w:rsidRPr="00D23308">
        <w:t>Es0001</w:t>
      </w:r>
      <w:r w:rsidR="000759AE">
        <w:noBreakHyphen/>
      </w:r>
      <w:r w:rsidR="000759AE" w:rsidRPr="00D23308">
        <w:t>C302</w:t>
      </w:r>
      <w:r w:rsidRPr="00D23308">
        <w:t xml:space="preserve">) was pooled to provide an </w:t>
      </w:r>
      <w:r w:rsidR="00F818E9" w:rsidRPr="00D23308">
        <w:t>integrated summary of efficacy</w:t>
      </w:r>
      <w:r w:rsidRPr="00D23308">
        <w:t>. Other efficacy parameters were collected differently in single trials and pooling was not possible.</w:t>
      </w:r>
    </w:p>
    <w:p w14:paraId="7EB3424F" w14:textId="6F2D39F5" w:rsidR="00704218" w:rsidRPr="00D23308" w:rsidRDefault="00704218" w:rsidP="00C41EBD">
      <w:r w:rsidRPr="00D23308">
        <w:t xml:space="preserve">The pooled ITT </w:t>
      </w:r>
      <w:r w:rsidR="00F818E9" w:rsidRPr="00D23308">
        <w:t xml:space="preserve">population </w:t>
      </w:r>
      <w:r w:rsidRPr="00D23308">
        <w:t>included 3,417 subjects, with 3,027 aged 16 to 35 years and 390 aged 36</w:t>
      </w:r>
      <w:r w:rsidR="00F818E9" w:rsidRPr="00D23308">
        <w:t xml:space="preserve"> to </w:t>
      </w:r>
      <w:r w:rsidRPr="00D23308">
        <w:t xml:space="preserve">50 years. The pooled </w:t>
      </w:r>
      <w:r w:rsidR="004A44A5" w:rsidRPr="00D23308">
        <w:t>per-protocol</w:t>
      </w:r>
      <w:r w:rsidR="003D4A86">
        <w:t>;</w:t>
      </w:r>
      <w:r w:rsidR="003D4A86">
        <w:rPr>
          <w:rStyle w:val="FootnoteReference"/>
        </w:rPr>
        <w:footnoteReference w:id="24"/>
      </w:r>
      <w:r w:rsidR="004A44A5" w:rsidRPr="00D23308">
        <w:t xml:space="preserve"> </w:t>
      </w:r>
      <w:r w:rsidR="00F818E9" w:rsidRPr="00D23308">
        <w:t xml:space="preserve">population </w:t>
      </w:r>
      <w:r w:rsidRPr="00D23308">
        <w:t>included 3,262 subjects, 2,881 of them aged 16 to 35 years and 381 aged 36</w:t>
      </w:r>
      <w:r w:rsidR="00F818E9" w:rsidRPr="00D23308">
        <w:t xml:space="preserve"> to </w:t>
      </w:r>
      <w:r w:rsidRPr="00D23308">
        <w:t>50 years.</w:t>
      </w:r>
    </w:p>
    <w:p w14:paraId="3E03D89F" w14:textId="52E4FCB5" w:rsidR="00704218" w:rsidRPr="00D23308" w:rsidRDefault="00704218" w:rsidP="00C41EBD">
      <w:r w:rsidRPr="00D23308">
        <w:t xml:space="preserve">Contraceptive efficacy was based on the Pearl Index, the </w:t>
      </w:r>
      <w:r w:rsidR="004A44A5" w:rsidRPr="00D23308">
        <w:t>method failure</w:t>
      </w:r>
      <w:r w:rsidR="00F818E9" w:rsidRPr="00D23308">
        <w:t xml:space="preserve"> </w:t>
      </w:r>
      <w:r w:rsidRPr="00D23308">
        <w:t>Pearl Index and the cumulative pregnancy rate by life table analysis. All analyses of the Pearl Index/</w:t>
      </w:r>
      <w:r w:rsidR="00F818E9" w:rsidRPr="00D23308">
        <w:t xml:space="preserve"> </w:t>
      </w:r>
      <w:r w:rsidRPr="00D23308">
        <w:t xml:space="preserve">pregnancy rate (primary and secondary efficacy variables) were performed in the ITT </w:t>
      </w:r>
      <w:r w:rsidR="00F818E9" w:rsidRPr="00D23308">
        <w:t>population</w:t>
      </w:r>
      <w:r w:rsidRPr="00D23308">
        <w:t>.</w:t>
      </w:r>
    </w:p>
    <w:p w14:paraId="349A126C" w14:textId="1CED03EE" w:rsidR="00704218" w:rsidRPr="00D23308" w:rsidRDefault="00704218" w:rsidP="00371B73">
      <w:pPr>
        <w:pStyle w:val="Heading6"/>
        <w:rPr>
          <w:rFonts w:eastAsiaTheme="minorHAnsi"/>
        </w:rPr>
      </w:pPr>
      <w:r w:rsidRPr="00D23308">
        <w:rPr>
          <w:rFonts w:eastAsiaTheme="minorHAnsi"/>
        </w:rPr>
        <w:t xml:space="preserve">Pearl Index for the </w:t>
      </w:r>
      <w:r w:rsidR="00F818E9" w:rsidRPr="00D23308">
        <w:rPr>
          <w:rFonts w:eastAsiaTheme="minorHAnsi"/>
        </w:rPr>
        <w:t>intention-to-treat population</w:t>
      </w:r>
      <w:r w:rsidRPr="00D23308">
        <w:rPr>
          <w:rFonts w:eastAsiaTheme="minorHAnsi"/>
        </w:rPr>
        <w:t xml:space="preserve"> </w:t>
      </w:r>
      <w:r w:rsidR="00F818E9" w:rsidRPr="00D23308">
        <w:rPr>
          <w:rFonts w:eastAsiaTheme="minorHAnsi"/>
        </w:rPr>
        <w:t xml:space="preserve">aged </w:t>
      </w:r>
      <w:r w:rsidRPr="00D23308">
        <w:rPr>
          <w:rFonts w:eastAsiaTheme="minorHAnsi"/>
        </w:rPr>
        <w:t>16 to 35 years (</w:t>
      </w:r>
      <w:r w:rsidR="00F818E9" w:rsidRPr="00D23308">
        <w:rPr>
          <w:rFonts w:eastAsiaTheme="minorHAnsi"/>
        </w:rPr>
        <w:t>primary efficacy outcome)</w:t>
      </w:r>
    </w:p>
    <w:p w14:paraId="15C177BA" w14:textId="7EFD2B83" w:rsidR="00704218" w:rsidRPr="00D23308" w:rsidRDefault="00704218" w:rsidP="00C41EBD">
      <w:r w:rsidRPr="00D23308">
        <w:t>The primary outcome was based on 31 on-treatment pregnancies among 2,837 subjects aged 16 to 35 years who provided 26</w:t>
      </w:r>
      <w:r w:rsidR="003F7C67">
        <w:t>,</w:t>
      </w:r>
      <w:r w:rsidRPr="00D23308">
        <w:t xml:space="preserve">455 </w:t>
      </w:r>
      <w:r w:rsidR="009B40BE">
        <w:t>at-risk</w:t>
      </w:r>
      <w:r w:rsidRPr="00D23308">
        <w:t xml:space="preserve"> cycles, resulting in a Pearl Index of 1.52</w:t>
      </w:r>
      <w:r w:rsidR="00F818E9" w:rsidRPr="00D23308">
        <w:t> </w:t>
      </w:r>
      <w:r w:rsidRPr="00D23308">
        <w:t>(95% CI: 1.035, 2.162).</w:t>
      </w:r>
    </w:p>
    <w:p w14:paraId="3A1AE0C7" w14:textId="4FF07ED7" w:rsidR="00704218" w:rsidRPr="00D23308" w:rsidRDefault="00704218" w:rsidP="00C41EBD">
      <w:r w:rsidRPr="00D23308">
        <w:t xml:space="preserve">The difference between the upper limit of the corresponding </w:t>
      </w:r>
      <w:r w:rsidR="003F7C67">
        <w:t>two-</w:t>
      </w:r>
      <w:r w:rsidRPr="00D23308">
        <w:t xml:space="preserve">sided 95% CI and the Pearl Index (point estimate) is 0.64 and fulfils the criterion on the precision of the estimate as claimed in the EMA </w:t>
      </w:r>
      <w:r w:rsidR="003F7C67">
        <w:t>g</w:t>
      </w:r>
      <w:r w:rsidRPr="00D23308">
        <w:t>uideline</w:t>
      </w:r>
      <w:r w:rsidR="00F1682F">
        <w:t>;</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that this difference does not exceed </w:t>
      </w:r>
      <w:r w:rsidR="00F818E9" w:rsidRPr="00D23308">
        <w:t>one</w:t>
      </w:r>
      <w:r w:rsidRPr="00D23308">
        <w:t xml:space="preserve">. The upper limit of the 95% CI is below </w:t>
      </w:r>
      <w:r w:rsidR="003F7C67">
        <w:t>five</w:t>
      </w:r>
      <w:r w:rsidRPr="00D23308">
        <w:t xml:space="preserve"> as claimed in the </w:t>
      </w:r>
      <w:r w:rsidR="00F1682F">
        <w:t xml:space="preserve">FDA </w:t>
      </w:r>
      <w:proofErr w:type="gramStart"/>
      <w:r w:rsidR="00F1682F">
        <w:t>g</w:t>
      </w:r>
      <w:r w:rsidRPr="00D23308">
        <w:t>uidance</w:t>
      </w:r>
      <w:r w:rsidR="00F1682F">
        <w:t>;</w:t>
      </w:r>
      <w:bookmarkStart w:id="56" w:name="_Ref106368368"/>
      <w:proofErr w:type="gramEnd"/>
      <w:r w:rsidR="00F1682F">
        <w:rPr>
          <w:rStyle w:val="FootnoteReference"/>
        </w:rPr>
        <w:footnoteReference w:id="25"/>
      </w:r>
      <w:bookmarkEnd w:id="56"/>
      <w:r w:rsidRPr="00D23308">
        <w:t xml:space="preserve"> for </w:t>
      </w:r>
      <w:r w:rsidR="003F7C67">
        <w:t>combined hormonal contraceptives</w:t>
      </w:r>
      <w:r w:rsidR="003F7C67" w:rsidRPr="00D23308">
        <w:t xml:space="preserve"> </w:t>
      </w:r>
      <w:r w:rsidRPr="00D23308">
        <w:t>as being effective at preventing pregnancy.</w:t>
      </w:r>
    </w:p>
    <w:p w14:paraId="342E13B3" w14:textId="5C0C608B" w:rsidR="00704218" w:rsidRPr="00D67ED2" w:rsidRDefault="00F818E9" w:rsidP="00D67ED2">
      <w:pPr>
        <w:pStyle w:val="TableTitle"/>
      </w:pPr>
      <w:r w:rsidRPr="00D67ED2">
        <w:t xml:space="preserve">Table </w:t>
      </w:r>
      <w:r w:rsidRPr="00D67ED2">
        <w:fldChar w:fldCharType="begin"/>
      </w:r>
      <w:r w:rsidRPr="00D67ED2">
        <w:instrText>SEQ Table \* ARABIC</w:instrText>
      </w:r>
      <w:r w:rsidRPr="00D67ED2">
        <w:fldChar w:fldCharType="separate"/>
      </w:r>
      <w:r w:rsidR="005319AF">
        <w:rPr>
          <w:noProof/>
        </w:rPr>
        <w:t>8</w:t>
      </w:r>
      <w:r w:rsidRPr="00D67ED2">
        <w:fldChar w:fldCharType="end"/>
      </w:r>
      <w:r w:rsidRPr="00D67ED2">
        <w:t>:</w:t>
      </w:r>
      <w:r w:rsidR="00704218" w:rsidRPr="00D67ED2">
        <w:t xml:space="preserve"> </w:t>
      </w:r>
      <w:r w:rsidRPr="00D67ED2">
        <w:t xml:space="preserve">Study MIT-Es0001-C302 </w:t>
      </w:r>
      <w:r w:rsidR="003F7C67" w:rsidRPr="00D67ED2">
        <w:t>S</w:t>
      </w:r>
      <w:r w:rsidRPr="00D67ED2">
        <w:t xml:space="preserve">ummary and analysis </w:t>
      </w:r>
      <w:r w:rsidR="00704218" w:rsidRPr="00D67ED2">
        <w:t xml:space="preserve">of Pearl Index in subjects aged 16 to 35 years with </w:t>
      </w:r>
      <w:r w:rsidR="009B40BE" w:rsidRPr="00D67ED2">
        <w:t>at-risk</w:t>
      </w:r>
      <w:r w:rsidR="00704218" w:rsidRPr="00D67ED2">
        <w:t xml:space="preserve"> cycles (</w:t>
      </w:r>
      <w:r w:rsidR="003F7C67" w:rsidRPr="00D67ED2">
        <w:t xml:space="preserve">primary efficacy variable; </w:t>
      </w:r>
      <w:r w:rsidRPr="00D67ED2">
        <w:t>intention-to-treat population</w:t>
      </w:r>
      <w:r w:rsidR="00704218" w:rsidRPr="00D67ED2">
        <w:t>)</w:t>
      </w:r>
    </w:p>
    <w:p w14:paraId="5BA3374B" w14:textId="55DBFD2A" w:rsidR="00BD7E31" w:rsidRDefault="00BD7E31" w:rsidP="00D67ED2">
      <w:r>
        <w:rPr>
          <w:noProof/>
          <w:shd w:val="clear" w:color="auto" w:fill="E6E6E6"/>
          <w:lang w:val="en-GB" w:eastAsia="en-GB"/>
        </w:rPr>
        <w:drawing>
          <wp:inline distT="0" distB="0" distL="0" distR="0" wp14:anchorId="22616C74" wp14:editId="48F86513">
            <wp:extent cx="5400040" cy="1394460"/>
            <wp:effectExtent l="0" t="0" r="0" b="0"/>
            <wp:docPr id="18" name="Picture 18" descr="Table 8: Study MIT-Es0001-C302 Summary and analysis of Pearl Index in subjects aged 16 to 35 years with at-risk cycles (primary efficacy variable;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8: Study MIT-Es0001-C302 Summary and analysis of Pearl Index in subjects aged 16 to 35 years with at-risk cycles (primary efficacy variable; intention-to-treat population)"/>
                    <pic:cNvPicPr/>
                  </pic:nvPicPr>
                  <pic:blipFill>
                    <a:blip r:embed="rId28"/>
                    <a:stretch>
                      <a:fillRect/>
                    </a:stretch>
                  </pic:blipFill>
                  <pic:spPr>
                    <a:xfrm>
                      <a:off x="0" y="0"/>
                      <a:ext cx="5400040" cy="1394460"/>
                    </a:xfrm>
                    <a:prstGeom prst="rect">
                      <a:avLst/>
                    </a:prstGeom>
                  </pic:spPr>
                </pic:pic>
              </a:graphicData>
            </a:graphic>
          </wp:inline>
        </w:drawing>
      </w:r>
    </w:p>
    <w:p w14:paraId="36874AD8" w14:textId="67CCF507" w:rsidR="00BD7E31" w:rsidRPr="00D67ED2" w:rsidRDefault="003F7C67" w:rsidP="00D67ED2">
      <w:pPr>
        <w:pStyle w:val="TableDescription"/>
      </w:pPr>
      <w:r w:rsidRPr="00D67ED2">
        <w:t xml:space="preserve">Abbreviations: </w:t>
      </w:r>
      <w:r w:rsidR="00BD7E31" w:rsidRPr="00D67ED2">
        <w:t>DRSP = drospirenone; E4 = estetrol; N = number of subjects in the intention-to-treat population; number of subjects aged 18 to 25 years at screening with at least one cycle included in the denominator.</w:t>
      </w:r>
    </w:p>
    <w:p w14:paraId="66B698F6" w14:textId="17952BB3" w:rsidR="00704218" w:rsidRPr="00D67ED2" w:rsidRDefault="00BD7E31" w:rsidP="00D67ED2">
      <w:pPr>
        <w:pStyle w:val="TableDescription"/>
      </w:pPr>
      <w:r w:rsidRPr="00D67ED2">
        <w:t>Confidence intervals are calculated using a Poisson distribution.</w:t>
      </w:r>
    </w:p>
    <w:p w14:paraId="39AFACBF" w14:textId="6CF1DA5F" w:rsidR="00704218" w:rsidRPr="00D23308" w:rsidRDefault="00704218" w:rsidP="00C41EBD">
      <w:r w:rsidRPr="00D23308">
        <w:lastRenderedPageBreak/>
        <w:t xml:space="preserve">Secondary efficacy variables, </w:t>
      </w:r>
      <w:r w:rsidR="00F818E9" w:rsidRPr="00D23308">
        <w:t>for example,</w:t>
      </w:r>
      <w:r w:rsidRPr="00D23308">
        <w:t xml:space="preserve"> the </w:t>
      </w:r>
      <w:r w:rsidR="004A44A5" w:rsidRPr="00D23308">
        <w:t>method failure</w:t>
      </w:r>
      <w:r w:rsidR="00F818E9" w:rsidRPr="00D23308">
        <w:t xml:space="preserve"> </w:t>
      </w:r>
      <w:r w:rsidRPr="00D23308">
        <w:t xml:space="preserve">Pearl Index, </w:t>
      </w:r>
      <w:r w:rsidR="00F818E9" w:rsidRPr="00D23308">
        <w:t xml:space="preserve">‘Typical Use </w:t>
      </w:r>
      <w:r w:rsidRPr="00D23308">
        <w:t>Pearl Index</w:t>
      </w:r>
      <w:r w:rsidR="00F818E9" w:rsidRPr="00D23308">
        <w:t>’</w:t>
      </w:r>
      <w:r w:rsidRPr="00D23308">
        <w:t xml:space="preserve"> are depicted in </w:t>
      </w:r>
      <w:r w:rsidR="00F818E9" w:rsidRPr="00D23308">
        <w:rPr>
          <w:color w:val="2B579A"/>
          <w:shd w:val="clear" w:color="auto" w:fill="E6E6E6"/>
        </w:rPr>
        <w:fldChar w:fldCharType="begin"/>
      </w:r>
      <w:r w:rsidR="00F818E9" w:rsidRPr="00D23308">
        <w:instrText xml:space="preserve"> REF _Ref106288982 \h </w:instrText>
      </w:r>
      <w:r w:rsidR="00D23308">
        <w:instrText xml:space="preserve"> \* MERGEFORMAT </w:instrText>
      </w:r>
      <w:r w:rsidR="00F818E9" w:rsidRPr="00D23308">
        <w:rPr>
          <w:color w:val="2B579A"/>
          <w:shd w:val="clear" w:color="auto" w:fill="E6E6E6"/>
        </w:rPr>
      </w:r>
      <w:r w:rsidR="00F818E9" w:rsidRPr="00D23308">
        <w:rPr>
          <w:color w:val="2B579A"/>
          <w:shd w:val="clear" w:color="auto" w:fill="E6E6E6"/>
        </w:rPr>
        <w:fldChar w:fldCharType="separate"/>
      </w:r>
      <w:r w:rsidR="005319AF" w:rsidRPr="00D67ED2">
        <w:t xml:space="preserve">Table </w:t>
      </w:r>
      <w:r w:rsidR="005319AF">
        <w:rPr>
          <w:noProof/>
        </w:rPr>
        <w:t>9</w:t>
      </w:r>
      <w:r w:rsidR="00F818E9" w:rsidRPr="00D23308">
        <w:rPr>
          <w:color w:val="2B579A"/>
          <w:shd w:val="clear" w:color="auto" w:fill="E6E6E6"/>
        </w:rPr>
        <w:fldChar w:fldCharType="end"/>
      </w:r>
      <w:r w:rsidR="00F818E9" w:rsidRPr="00D23308">
        <w:t xml:space="preserve"> </w:t>
      </w:r>
      <w:r w:rsidRPr="00D23308">
        <w:t>below.</w:t>
      </w:r>
    </w:p>
    <w:p w14:paraId="2382DCBA" w14:textId="49823377" w:rsidR="00704218" w:rsidRPr="00D23308" w:rsidRDefault="00704218" w:rsidP="00C41EBD">
      <w:r w:rsidRPr="00D23308">
        <w:t xml:space="preserve">The </w:t>
      </w:r>
      <w:r w:rsidR="004A44A5" w:rsidRPr="00D23308">
        <w:t>method failure</w:t>
      </w:r>
      <w:r w:rsidRPr="00D23308">
        <w:t xml:space="preserve"> Pearl Index was similar for women aged 16 to 35 years (0.84, 95%</w:t>
      </w:r>
      <w:r w:rsidR="003F7C67">
        <w:t> </w:t>
      </w:r>
      <w:r w:rsidRPr="00D23308">
        <w:t>CI:</w:t>
      </w:r>
      <w:r w:rsidR="003F7C67">
        <w:t> </w:t>
      </w:r>
      <w:r w:rsidRPr="00D23308">
        <w:t>0.487, 1.338) and for women aged 16 to 50 years (0.82, 95% CI: 0.49, 1.27).</w:t>
      </w:r>
    </w:p>
    <w:p w14:paraId="6E5A8E07" w14:textId="1897C38B" w:rsidR="00704218" w:rsidRPr="00D67ED2" w:rsidRDefault="00F818E9" w:rsidP="00D67ED2">
      <w:pPr>
        <w:pStyle w:val="Tabletitle0"/>
      </w:pPr>
      <w:bookmarkStart w:id="57" w:name="_Ref106288982"/>
      <w:r w:rsidRPr="00D67ED2">
        <w:t xml:space="preserve">Table </w:t>
      </w:r>
      <w:r w:rsidRPr="00D67ED2">
        <w:fldChar w:fldCharType="begin"/>
      </w:r>
      <w:r w:rsidRPr="00D67ED2">
        <w:instrText>SEQ Table \* ARABIC</w:instrText>
      </w:r>
      <w:r w:rsidRPr="00D67ED2">
        <w:fldChar w:fldCharType="separate"/>
      </w:r>
      <w:r w:rsidR="005319AF">
        <w:rPr>
          <w:noProof/>
        </w:rPr>
        <w:t>9</w:t>
      </w:r>
      <w:r w:rsidRPr="00D67ED2">
        <w:fldChar w:fldCharType="end"/>
      </w:r>
      <w:bookmarkEnd w:id="57"/>
      <w:r w:rsidRPr="00D67ED2">
        <w:t>:</w:t>
      </w:r>
      <w:r w:rsidR="00704218" w:rsidRPr="00D67ED2">
        <w:t xml:space="preserve"> </w:t>
      </w:r>
      <w:r w:rsidRPr="00D67ED2">
        <w:t xml:space="preserve">Study MIT-Es0001-C302 </w:t>
      </w:r>
      <w:r w:rsidR="00704218" w:rsidRPr="00D67ED2">
        <w:t xml:space="preserve">Summary and analysis of the Pearl Index for the overall population, </w:t>
      </w:r>
      <w:r w:rsidR="004A44A5" w:rsidRPr="00D67ED2">
        <w:t>method failure</w:t>
      </w:r>
      <w:r w:rsidR="00704218" w:rsidRPr="00D67ED2">
        <w:t xml:space="preserve"> Pearl Index and Pearl Index and </w:t>
      </w:r>
      <w:r w:rsidR="004A44A5" w:rsidRPr="00D67ED2">
        <w:t>method failure</w:t>
      </w:r>
      <w:r w:rsidR="00704218" w:rsidRPr="00D67ED2">
        <w:t xml:space="preserve"> Pearl Index determined with alternative methods (</w:t>
      </w:r>
      <w:r w:rsidRPr="00D67ED2">
        <w:t>intention-to-treat population</w:t>
      </w:r>
      <w:r w:rsidR="00704218" w:rsidRPr="00D67ED2">
        <w:t>)</w:t>
      </w:r>
    </w:p>
    <w:p w14:paraId="60F23F7C" w14:textId="1FFE36F4" w:rsidR="00BD7E31" w:rsidRPr="00BD7E31" w:rsidRDefault="00BD7E31" w:rsidP="00D67ED2">
      <w:r>
        <w:rPr>
          <w:noProof/>
          <w:shd w:val="clear" w:color="auto" w:fill="E6E6E6"/>
          <w:lang w:val="en-GB" w:eastAsia="en-GB"/>
        </w:rPr>
        <w:drawing>
          <wp:inline distT="0" distB="0" distL="0" distR="0" wp14:anchorId="768EEB41" wp14:editId="0F4DC95D">
            <wp:extent cx="5400040" cy="3013710"/>
            <wp:effectExtent l="19050" t="19050" r="10160" b="15240"/>
            <wp:docPr id="20" name="Picture 20" descr="Table 9: Study MIT-Es0001-C302 Summary and analysis of the Pearl Index for the overall population, method failure Pearl Index and Pearl Index and method failure Pearl Index determined with alternative method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9: Study MIT-Es0001-C302 Summary and analysis of the Pearl Index for the overall population, method failure Pearl Index and Pearl Index and method failure Pearl Index determined with alternative methods (intention-to-treat population)"/>
                    <pic:cNvPicPr/>
                  </pic:nvPicPr>
                  <pic:blipFill>
                    <a:blip r:embed="rId29"/>
                    <a:stretch>
                      <a:fillRect/>
                    </a:stretch>
                  </pic:blipFill>
                  <pic:spPr>
                    <a:xfrm>
                      <a:off x="0" y="0"/>
                      <a:ext cx="5400040" cy="3013710"/>
                    </a:xfrm>
                    <a:prstGeom prst="rect">
                      <a:avLst/>
                    </a:prstGeom>
                    <a:ln>
                      <a:solidFill>
                        <a:schemeClr val="tx1"/>
                      </a:solidFill>
                    </a:ln>
                  </pic:spPr>
                </pic:pic>
              </a:graphicData>
            </a:graphic>
          </wp:inline>
        </w:drawing>
      </w:r>
    </w:p>
    <w:p w14:paraId="2307A72B" w14:textId="741DE43B" w:rsidR="00704218" w:rsidRPr="00D67ED2" w:rsidRDefault="003F7C67" w:rsidP="00D67ED2">
      <w:pPr>
        <w:pStyle w:val="TableDescription"/>
      </w:pPr>
      <w:bookmarkStart w:id="58" w:name="_Hlk106375052"/>
      <w:r w:rsidRPr="00D67ED2">
        <w:t xml:space="preserve">Abbreviations: </w:t>
      </w:r>
      <w:r w:rsidR="00BD7E31" w:rsidRPr="00D67ED2">
        <w:t>CI = confidence interval; DRSP = drospirenone; E4 = estetrol; ITT = intention-to-treat; N = number of subjects in the intention-to-treat population; n</w:t>
      </w:r>
      <w:r w:rsidRPr="00D67ED2">
        <w:t> </w:t>
      </w:r>
      <w:r w:rsidR="00BD7E31" w:rsidRPr="00D67ED2">
        <w:t>=</w:t>
      </w:r>
      <w:r w:rsidRPr="00D67ED2">
        <w:t> </w:t>
      </w:r>
      <w:r w:rsidR="00BD7E31" w:rsidRPr="00D67ED2">
        <w:t xml:space="preserve">number of subjects with at least </w:t>
      </w:r>
      <w:r w:rsidRPr="00D67ED2">
        <w:t>one</w:t>
      </w:r>
      <w:r w:rsidR="00BD7E31" w:rsidRPr="00D67ED2">
        <w:t xml:space="preserve"> at-risk cycle included in the denominator; PI = Pearl Index.</w:t>
      </w:r>
    </w:p>
    <w:bookmarkEnd w:id="58"/>
    <w:p w14:paraId="77A4E393" w14:textId="08015F49" w:rsidR="00704218" w:rsidRPr="00D23308" w:rsidRDefault="00704218" w:rsidP="00C41EBD">
      <w:r w:rsidRPr="00D23308">
        <w:t xml:space="preserve">Similar results were observed in two sensitivity analyses of the Pearl Index </w:t>
      </w:r>
      <w:r w:rsidR="006256DF" w:rsidRPr="00D23308">
        <w:t>(</w:t>
      </w:r>
      <w:r w:rsidRPr="00D23308">
        <w:t>in which all on-treatment pregnancies were defined as pregnancies which were possible to detect, with an estimated date of conception after the date of the first dose of study medication to seven days after the last dose of study medication inclusive. Each subjects’ last cycle was only included in the calculation of the Pearl Index if the last follow-up visit allowed a detection of pregnancy</w:t>
      </w:r>
      <w:r w:rsidR="006256DF" w:rsidRPr="00D23308">
        <w:t>)</w:t>
      </w:r>
      <w:r w:rsidR="004A44A5" w:rsidRPr="00D23308">
        <w:t>.</w:t>
      </w:r>
    </w:p>
    <w:p w14:paraId="0BBB7F22" w14:textId="6846943E" w:rsidR="00704218" w:rsidRPr="00D23308" w:rsidRDefault="00704218" w:rsidP="00C41EBD">
      <w:r w:rsidRPr="00D23308">
        <w:t xml:space="preserve">Cumulative pregnancy rates by </w:t>
      </w:r>
      <w:r w:rsidR="004A44A5" w:rsidRPr="00D23308">
        <w:t>life table</w:t>
      </w:r>
      <w:r w:rsidRPr="00D23308">
        <w:t xml:space="preserve"> method for the ITT </w:t>
      </w:r>
      <w:r w:rsidR="00F818E9" w:rsidRPr="00D23308">
        <w:t>population</w:t>
      </w:r>
      <w:r w:rsidRPr="00D23308">
        <w:t xml:space="preserve"> </w:t>
      </w:r>
      <w:r w:rsidR="004A44A5" w:rsidRPr="00D23308">
        <w:t xml:space="preserve">aged </w:t>
      </w:r>
      <w:r w:rsidRPr="00D23308">
        <w:t>16 to 35</w:t>
      </w:r>
      <w:r w:rsidR="004A44A5" w:rsidRPr="00D23308">
        <w:t> </w:t>
      </w:r>
      <w:r w:rsidRPr="00D23308">
        <w:t xml:space="preserve">years: In subjects aged 16 to 35 years, 31 on-treatment pregnancies were reported, of which 14 pregnancies were considered user failure. Among women aged 36 to 50 years, </w:t>
      </w:r>
      <w:r w:rsidR="00CC09AA">
        <w:t>two</w:t>
      </w:r>
      <w:r w:rsidR="004A44A5" w:rsidRPr="00D23308">
        <w:t> </w:t>
      </w:r>
      <w:r w:rsidRPr="00D23308">
        <w:t>on-treatment pregnancies were reported, neither of which were considered user failure.</w:t>
      </w:r>
    </w:p>
    <w:p w14:paraId="3308F13A" w14:textId="0DB8E57D" w:rsidR="00704218" w:rsidRPr="00D23308" w:rsidRDefault="00704218" w:rsidP="00C41EBD">
      <w:r w:rsidRPr="00D23308">
        <w:t xml:space="preserve">After 13 cycles, the cumulative on-treatment pregnancy rate was 1.28% (95% CI: 0.83%, 1.73%) for subjects aged 16 to 35 years and 1.20% (95% CI: 0.79%, 1.62%) for subjects aged 16 to 50 years, </w:t>
      </w:r>
      <w:r w:rsidR="005465BA" w:rsidRPr="00D23308">
        <w:t>that is</w:t>
      </w:r>
      <w:r w:rsidRPr="00D23308">
        <w:t xml:space="preserve">, the probability of contraceptive protection up to </w:t>
      </w:r>
      <w:r w:rsidR="004A44A5" w:rsidRPr="00D23308">
        <w:t>one</w:t>
      </w:r>
      <w:r w:rsidRPr="00D23308">
        <w:t xml:space="preserve"> year of treatment was approximately 98.8%.</w:t>
      </w:r>
    </w:p>
    <w:p w14:paraId="791B088C" w14:textId="3D66CB2A" w:rsidR="00704218" w:rsidRPr="00D23308" w:rsidRDefault="00704218" w:rsidP="00C41EBD">
      <w:r w:rsidRPr="00D23308">
        <w:t xml:space="preserve">After 13 cycles, the cumulative on-treatment </w:t>
      </w:r>
      <w:r w:rsidR="004A44A5" w:rsidRPr="00D23308">
        <w:t xml:space="preserve">method failure </w:t>
      </w:r>
      <w:r w:rsidRPr="00D23308">
        <w:t xml:space="preserve">pregnancy rate was 0.73% (95% CI: 0.38, 1.08%) for subjects aged 16 to 35 years and 0.72% (95% CI: 0.40%, 1.05%) for subjects aged 16 to 50 years, </w:t>
      </w:r>
      <w:r w:rsidR="005465BA" w:rsidRPr="00D23308">
        <w:t>that is</w:t>
      </w:r>
      <w:r w:rsidRPr="00D23308">
        <w:t xml:space="preserve">, the probability of contraceptive protection during up to </w:t>
      </w:r>
      <w:r w:rsidR="004A44A5" w:rsidRPr="00D23308">
        <w:t>one</w:t>
      </w:r>
      <w:r w:rsidRPr="00D23308">
        <w:t xml:space="preserve"> year of treatment was approximately 99%.</w:t>
      </w:r>
    </w:p>
    <w:p w14:paraId="1D23D1D5" w14:textId="4837395F" w:rsidR="00704218" w:rsidRPr="00D23308" w:rsidRDefault="00704218" w:rsidP="00371B73">
      <w:pPr>
        <w:pStyle w:val="Heading6"/>
        <w:rPr>
          <w:rFonts w:eastAsiaTheme="minorHAnsi"/>
          <w:lang w:val="en-US"/>
        </w:rPr>
      </w:pPr>
      <w:r w:rsidRPr="00D23308">
        <w:rPr>
          <w:rFonts w:eastAsiaTheme="minorHAnsi"/>
          <w:lang w:val="en-US"/>
        </w:rPr>
        <w:lastRenderedPageBreak/>
        <w:t xml:space="preserve">Pearl Index and </w:t>
      </w:r>
      <w:r w:rsidR="004A44A5" w:rsidRPr="00D23308">
        <w:rPr>
          <w:rFonts w:eastAsiaTheme="minorHAnsi"/>
          <w:lang w:val="en-US"/>
        </w:rPr>
        <w:t>method failure</w:t>
      </w:r>
      <w:r w:rsidRPr="00D23308">
        <w:rPr>
          <w:rFonts w:eastAsiaTheme="minorHAnsi"/>
          <w:lang w:val="en-US"/>
        </w:rPr>
        <w:t xml:space="preserve"> Pearl Index by </w:t>
      </w:r>
      <w:r w:rsidR="004A44A5" w:rsidRPr="00D23308">
        <w:rPr>
          <w:rFonts w:eastAsiaTheme="minorHAnsi"/>
          <w:lang w:val="en-US"/>
        </w:rPr>
        <w:t>subgroups</w:t>
      </w:r>
    </w:p>
    <w:p w14:paraId="02358C4F" w14:textId="6D611BAF" w:rsidR="00704218" w:rsidRPr="00D23308" w:rsidRDefault="00704218" w:rsidP="00C41EBD">
      <w:r w:rsidRPr="00D23308">
        <w:t xml:space="preserve">Sub-group analyses based on integrated data for the two studies as well as for each study separately showed that for BMI, a trend was observed for an increase of the Pearl Index with increasing BMI. Smokers also tended to have higher </w:t>
      </w:r>
      <w:r w:rsidR="004A44A5" w:rsidRPr="00D23308">
        <w:t>Pearl Index</w:t>
      </w:r>
      <w:r w:rsidRPr="00D23308">
        <w:t xml:space="preserve"> </w:t>
      </w:r>
      <w:r w:rsidR="00701EFE" w:rsidRPr="00D23308">
        <w:t>versus</w:t>
      </w:r>
      <w:r w:rsidRPr="00D23308">
        <w:t xml:space="preserve"> non-smokers. Black and Asian women had higher Pearl Index compared to white women and a higher Pearl Index was observed in starters compared to switchers. Firm conclusions are difficult to make due to small sample sizes for some subgroups resulting in wide </w:t>
      </w:r>
      <w:r w:rsidR="0039354E" w:rsidRPr="00D23308">
        <w:t>CIs</w:t>
      </w:r>
      <w:r w:rsidRPr="00D23308">
        <w:t>.</w:t>
      </w:r>
    </w:p>
    <w:p w14:paraId="5B546174" w14:textId="0ADAAB84" w:rsidR="00704218" w:rsidRPr="00D23308" w:rsidRDefault="00704218" w:rsidP="00371B73">
      <w:pPr>
        <w:pStyle w:val="Heading6"/>
        <w:rPr>
          <w:rFonts w:eastAsia="TimesNewRoman"/>
        </w:rPr>
      </w:pPr>
      <w:r w:rsidRPr="00D23308">
        <w:rPr>
          <w:rFonts w:eastAsia="TimesNewRoman"/>
        </w:rPr>
        <w:t>Vaginal bleeding pattern</w:t>
      </w:r>
    </w:p>
    <w:p w14:paraId="4F2B862B" w14:textId="3813EA8B" w:rsidR="00704218" w:rsidRPr="00D23308" w:rsidRDefault="00704218" w:rsidP="00C41EBD">
      <w:r w:rsidRPr="00D23308">
        <w:t xml:space="preserve">In comparative </w:t>
      </w:r>
      <w:r w:rsidR="00FB03C9" w:rsidRPr="00D23308">
        <w:t xml:space="preserve">Study </w:t>
      </w:r>
      <w:r w:rsidRPr="00D23308">
        <w:t xml:space="preserve">ES-C02, comparing </w:t>
      </w:r>
      <w:r w:rsidR="00286A63" w:rsidRPr="00D23308">
        <w:t xml:space="preserve">15 mg estetrol/3 mg drospirenone </w:t>
      </w:r>
      <w:r w:rsidRPr="00D23308">
        <w:t>with 4 other combinations (</w:t>
      </w:r>
      <w:r w:rsidR="00286A63" w:rsidRPr="00D23308">
        <w:t xml:space="preserve">20 mg </w:t>
      </w:r>
      <w:r w:rsidR="009A2E70" w:rsidRPr="00D23308">
        <w:t>estetrol</w:t>
      </w:r>
      <w:r w:rsidRPr="00D23308">
        <w:t>/</w:t>
      </w:r>
      <w:r w:rsidR="00286A63" w:rsidRPr="00D23308">
        <w:t xml:space="preserve">3 mg </w:t>
      </w:r>
      <w:r w:rsidR="009A2E70" w:rsidRPr="00D23308">
        <w:t>drospirenone</w:t>
      </w:r>
      <w:r w:rsidRPr="00D23308">
        <w:t xml:space="preserve">, </w:t>
      </w:r>
      <w:r w:rsidR="00286A63" w:rsidRPr="00D23308">
        <w:t xml:space="preserve">15 mg </w:t>
      </w:r>
      <w:r w:rsidR="009A2E70" w:rsidRPr="00D23308">
        <w:t>estetrol</w:t>
      </w:r>
      <w:r w:rsidRPr="00D23308">
        <w:t>/</w:t>
      </w:r>
      <w:r w:rsidR="00286A63" w:rsidRPr="00D23308">
        <w:t xml:space="preserve">0.15 mg </w:t>
      </w:r>
      <w:r w:rsidR="00A83CAC" w:rsidRPr="00D23308">
        <w:t>levonorgestrel</w:t>
      </w:r>
      <w:r w:rsidRPr="00D23308">
        <w:t xml:space="preserve">, </w:t>
      </w:r>
      <w:r w:rsidR="00286A63" w:rsidRPr="00D23308">
        <w:t xml:space="preserve">20 mg </w:t>
      </w:r>
      <w:r w:rsidR="009A2E70" w:rsidRPr="00D23308">
        <w:t>estetrol</w:t>
      </w:r>
      <w:r w:rsidRPr="00D23308">
        <w:t>/</w:t>
      </w:r>
      <w:r w:rsidR="00286A63" w:rsidRPr="00D23308">
        <w:t xml:space="preserve">0.15 mg </w:t>
      </w:r>
      <w:r w:rsidR="00A83CAC" w:rsidRPr="00D23308">
        <w:t>levonorgestrel</w:t>
      </w:r>
      <w:r w:rsidRPr="00D23308">
        <w:t xml:space="preserve"> and </w:t>
      </w:r>
      <w:proofErr w:type="spellStart"/>
      <w:r w:rsidR="00FB03C9" w:rsidRPr="00D23308">
        <w:t>estradiol</w:t>
      </w:r>
      <w:proofErr w:type="spellEnd"/>
      <w:r w:rsidR="00FB03C9" w:rsidRPr="00D23308">
        <w:t xml:space="preserve"> valerate</w:t>
      </w:r>
      <w:r w:rsidRPr="00D23308">
        <w:t>/</w:t>
      </w:r>
      <w:proofErr w:type="spellStart"/>
      <w:r w:rsidR="005A1CC0" w:rsidRPr="00D23308">
        <w:t>dienogest</w:t>
      </w:r>
      <w:proofErr w:type="spellEnd"/>
      <w:r w:rsidRPr="00D23308">
        <w:t xml:space="preserve"> (</w:t>
      </w:r>
      <w:proofErr w:type="spellStart"/>
      <w:r w:rsidRPr="00D23308">
        <w:t>Qlaira</w:t>
      </w:r>
      <w:proofErr w:type="spellEnd"/>
      <w:r w:rsidRPr="00D23308">
        <w:t>)</w:t>
      </w:r>
      <w:r w:rsidR="00CC09AA">
        <w:t>)</w:t>
      </w:r>
      <w:r w:rsidRPr="00D23308">
        <w:t>,</w:t>
      </w:r>
      <w:r w:rsidR="00C270AA" w:rsidRPr="00C270AA">
        <w:rPr>
          <w:color w:val="2B579A"/>
          <w:shd w:val="clear" w:color="auto" w:fill="E6E6E6"/>
          <w:vertAlign w:val="superscript"/>
        </w:rPr>
        <w:fldChar w:fldCharType="begin"/>
      </w:r>
      <w:r w:rsidR="00C270AA" w:rsidRPr="00C270AA">
        <w:rPr>
          <w:vertAlign w:val="superscript"/>
        </w:rPr>
        <w:instrText xml:space="preserve"> NOTEREF _Ref106369607 \h </w:instrText>
      </w:r>
      <w:r w:rsidR="00C270AA">
        <w:rPr>
          <w:vertAlign w:val="superscript"/>
        </w:rPr>
        <w:instrText xml:space="preserve"> \* MERGEFORMAT </w:instrText>
      </w:r>
      <w:r w:rsidR="00C270AA" w:rsidRPr="00C270AA">
        <w:rPr>
          <w:color w:val="2B579A"/>
          <w:shd w:val="clear" w:color="auto" w:fill="E6E6E6"/>
          <w:vertAlign w:val="superscript"/>
        </w:rPr>
      </w:r>
      <w:r w:rsidR="00C270AA" w:rsidRPr="00C270AA">
        <w:rPr>
          <w:color w:val="2B579A"/>
          <w:shd w:val="clear" w:color="auto" w:fill="E6E6E6"/>
          <w:vertAlign w:val="superscript"/>
        </w:rPr>
        <w:fldChar w:fldCharType="separate"/>
      </w:r>
      <w:r w:rsidR="005319AF">
        <w:rPr>
          <w:vertAlign w:val="superscript"/>
        </w:rPr>
        <w:t>15</w:t>
      </w:r>
      <w:r w:rsidR="00C270AA" w:rsidRPr="00C270AA">
        <w:rPr>
          <w:color w:val="2B579A"/>
          <w:shd w:val="clear" w:color="auto" w:fill="E6E6E6"/>
          <w:vertAlign w:val="superscript"/>
        </w:rPr>
        <w:fldChar w:fldCharType="end"/>
      </w:r>
      <w:r w:rsidRPr="00D23308">
        <w:t xml:space="preserve"> </w:t>
      </w:r>
      <w:r w:rsidR="00286A63" w:rsidRPr="00D23308">
        <w:t xml:space="preserve">15 mg estetrol/3 mg drospirenone </w:t>
      </w:r>
      <w:r w:rsidRPr="00D23308">
        <w:t xml:space="preserve">had a lower incidence of unscheduled bleeding/spotting than the other combinations. The rate of absence of withdrawal bleeding was also low for </w:t>
      </w:r>
      <w:r w:rsidR="00286A63" w:rsidRPr="00D23308">
        <w:t>15</w:t>
      </w:r>
      <w:r w:rsidR="00FB03C9" w:rsidRPr="00D23308">
        <w:t> </w:t>
      </w:r>
      <w:r w:rsidR="00286A63" w:rsidRPr="00D23308">
        <w:t>mg estetrol/3 mg drospirenone</w:t>
      </w:r>
      <w:r w:rsidRPr="00D23308">
        <w:t>, thus suggesting a reasonably predictable bleeding pattern.</w:t>
      </w:r>
    </w:p>
    <w:p w14:paraId="53C70719" w14:textId="5DF80AD1" w:rsidR="00704218" w:rsidRPr="00D23308" w:rsidRDefault="00704218" w:rsidP="00C41EBD">
      <w:r w:rsidRPr="00D23308">
        <w:t xml:space="preserve">In non-comparative </w:t>
      </w:r>
      <w:r w:rsidR="00701EFE"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 xml:space="preserve">, the rate of women recording unscheduled bleeding/spotting was well below 20% except during the first treatment cycle. The mean number of bleeding/spotting days recorded was just under </w:t>
      </w:r>
      <w:r w:rsidR="00CC09AA" w:rsidRPr="00D23308">
        <w:t>four</w:t>
      </w:r>
      <w:r w:rsidRPr="00D23308">
        <w:t xml:space="preserve"> throughout the treatment year, mostly spotting. Absence of scheduled bleeding was reported in 5.6% to 8.1% of subjects per cycle.</w:t>
      </w:r>
    </w:p>
    <w:p w14:paraId="15681E01" w14:textId="4E5F8EF7" w:rsidR="00704218" w:rsidRPr="00D23308" w:rsidRDefault="00704218" w:rsidP="00C41EBD">
      <w:r w:rsidRPr="00D23308">
        <w:t xml:space="preserve">In non-comparative </w:t>
      </w:r>
      <w:r w:rsidR="00701EFE" w:rsidRPr="00D23308">
        <w:t xml:space="preserve">Study </w:t>
      </w:r>
      <w:r w:rsidR="000759AE" w:rsidRPr="00D23308">
        <w:t>MIT</w:t>
      </w:r>
      <w:r w:rsidR="000759AE">
        <w:noBreakHyphen/>
      </w:r>
      <w:r w:rsidR="000759AE" w:rsidRPr="00D23308">
        <w:t>Es0001</w:t>
      </w:r>
      <w:r w:rsidR="000759AE">
        <w:noBreakHyphen/>
      </w:r>
      <w:r w:rsidR="000759AE" w:rsidRPr="00D23308">
        <w:t>C302</w:t>
      </w:r>
      <w:r w:rsidRPr="00D23308">
        <w:t xml:space="preserve">, the rate of women recording unscheduled bleeding/spotting was close to or slightly below 20% except during the first treatment cycle. In comparison with data from </w:t>
      </w:r>
      <w:r w:rsidR="00701EFE"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 data from the US</w:t>
      </w:r>
      <w:r w:rsidR="00CC09AA">
        <w:t>A</w:t>
      </w:r>
      <w:r w:rsidRPr="00D23308">
        <w:t xml:space="preserve"> and Canada included more women with unscheduled bleeding. The number of bleeding/spotting days recorded was just above or around </w:t>
      </w:r>
      <w:r w:rsidR="00CC09AA" w:rsidRPr="00D23308">
        <w:t>four</w:t>
      </w:r>
      <w:r w:rsidRPr="00D23308">
        <w:t xml:space="preserve"> throughout the treatment year. Absence of scheduled bleeding occurred in 13.0% to 17.1% of subjects per cycle.</w:t>
      </w:r>
    </w:p>
    <w:p w14:paraId="5653D09F" w14:textId="6888E99E" w:rsidR="00704218" w:rsidRPr="00D23308" w:rsidRDefault="00704218" w:rsidP="00C41EBD">
      <w:r w:rsidRPr="00D23308">
        <w:t>Discontinuation due to bleeding pattern</w:t>
      </w:r>
      <w:r w:rsidR="004D11AC">
        <w:t>-</w:t>
      </w:r>
      <w:r w:rsidRPr="00D23308">
        <w:t xml:space="preserve">related </w:t>
      </w:r>
      <w:r w:rsidR="00FB03C9" w:rsidRPr="00D23308">
        <w:t>treatment emergent adverse events (</w:t>
      </w:r>
      <w:r w:rsidRPr="00D23308">
        <w:t>TEAEs</w:t>
      </w:r>
      <w:r w:rsidR="00FB03C9" w:rsidRPr="00D23308">
        <w:t>)</w:t>
      </w:r>
      <w:r w:rsidRPr="00D23308">
        <w:t xml:space="preserve"> was low in both </w:t>
      </w:r>
      <w:r w:rsidR="00FB03C9" w:rsidRPr="00D23308">
        <w:t xml:space="preserve">Studies </w:t>
      </w:r>
      <w:r w:rsidR="000759AE" w:rsidRPr="000759AE">
        <w:t>MIT</w:t>
      </w:r>
      <w:r w:rsidR="000759AE">
        <w:noBreakHyphen/>
      </w:r>
      <w:r w:rsidR="000759AE" w:rsidRPr="000759AE">
        <w:t>Es0001</w:t>
      </w:r>
      <w:r w:rsidR="000759AE">
        <w:noBreakHyphen/>
      </w:r>
      <w:r w:rsidR="000759AE" w:rsidRPr="000759AE">
        <w:t>C301</w:t>
      </w:r>
      <w:r w:rsidRPr="00D23308">
        <w:t xml:space="preserve"> and </w:t>
      </w:r>
      <w:r w:rsidR="000759AE" w:rsidRPr="00D23308">
        <w:t>MIT</w:t>
      </w:r>
      <w:r w:rsidR="000759AE">
        <w:noBreakHyphen/>
      </w:r>
      <w:r w:rsidR="000759AE" w:rsidRPr="00D23308">
        <w:t>Es0001</w:t>
      </w:r>
      <w:r w:rsidR="000759AE">
        <w:noBreakHyphen/>
      </w:r>
      <w:r w:rsidR="000759AE" w:rsidRPr="00D23308">
        <w:t>C302</w:t>
      </w:r>
      <w:r w:rsidRPr="00D23308">
        <w:t xml:space="preserve">, reflecting good tolerability in </w:t>
      </w:r>
      <w:proofErr w:type="gramStart"/>
      <w:r w:rsidRPr="00D23308">
        <w:t>the majority of</w:t>
      </w:r>
      <w:proofErr w:type="gramEnd"/>
      <w:r w:rsidRPr="00D23308">
        <w:t xml:space="preserve"> women.</w:t>
      </w:r>
    </w:p>
    <w:p w14:paraId="68774FCE" w14:textId="7FFCA3D5" w:rsidR="00704218" w:rsidRPr="00D23308" w:rsidRDefault="00704218" w:rsidP="00C41EBD">
      <w:r w:rsidRPr="00D23308">
        <w:t xml:space="preserve">Sub-group analyses have been performed based on integrated data for the two studies as well as for each study separately. Concerning BMI, a trend was observed for an increase of the Pearl Index with increasing BMI. Smokers also tended to have higher </w:t>
      </w:r>
      <w:r w:rsidR="004A44A5" w:rsidRPr="00D23308">
        <w:t>Pearl Index</w:t>
      </w:r>
      <w:r w:rsidRPr="00D23308">
        <w:t xml:space="preserve"> </w:t>
      </w:r>
      <w:r w:rsidR="00701EFE" w:rsidRPr="00D23308">
        <w:t>versus</w:t>
      </w:r>
      <w:r w:rsidRPr="00D23308">
        <w:t xml:space="preserve"> non-smokers. Black and Asian women had higher Pearl Index compared to white women and a higher Pearl Index was observed in starters compared to switchers. No major causes for concern are observed based on the data, although firm conclusions are difficult to make due to small sample sizes for some subgroups.</w:t>
      </w:r>
    </w:p>
    <w:p w14:paraId="443D8F31" w14:textId="77777777" w:rsidR="00704218" w:rsidRPr="00D23308" w:rsidRDefault="00704218" w:rsidP="00704218">
      <w:pPr>
        <w:pStyle w:val="Heading4"/>
        <w:spacing w:before="0"/>
      </w:pPr>
      <w:r w:rsidRPr="00D23308">
        <w:t>Safety</w:t>
      </w:r>
    </w:p>
    <w:p w14:paraId="27FFE0E2" w14:textId="5F0D4249" w:rsidR="00704218" w:rsidRPr="00D23308" w:rsidRDefault="00704218" w:rsidP="00C41EBD">
      <w:r w:rsidRPr="00D23308">
        <w:t xml:space="preserve">The main evidence for safety of the proposed </w:t>
      </w:r>
      <w:r w:rsidR="007E2238">
        <w:t>combined oral contraceptive</w:t>
      </w:r>
      <w:r w:rsidR="007E2238" w:rsidRPr="00D23308">
        <w:t xml:space="preserve"> </w:t>
      </w:r>
      <w:r w:rsidRPr="00D23308">
        <w:t>containing estetrol monohydrate 15</w:t>
      </w:r>
      <w:r w:rsidR="00286A63" w:rsidRPr="00D23308">
        <w:t> </w:t>
      </w:r>
      <w:r w:rsidRPr="00D23308">
        <w:t xml:space="preserve">mg/drospirenone 3mg was provided by two pivotal Phase </w:t>
      </w:r>
      <w:r w:rsidR="0080147A" w:rsidRPr="00D23308">
        <w:t>III</w:t>
      </w:r>
      <w:r w:rsidRPr="00D23308">
        <w:t xml:space="preserve"> studies (</w:t>
      </w:r>
      <w:r w:rsidR="00FB03C9" w:rsidRPr="00D23308">
        <w:t>Studies </w:t>
      </w:r>
      <w:r w:rsidRPr="00D23308">
        <w:t>MIT</w:t>
      </w:r>
      <w:r w:rsidR="00FB03C9" w:rsidRPr="00D23308">
        <w:noBreakHyphen/>
      </w:r>
      <w:r w:rsidRPr="00D23308">
        <w:t xml:space="preserve">Es0001-C301 and MIT-Es0001-C302) and three Phase </w:t>
      </w:r>
      <w:r w:rsidR="0080147A" w:rsidRPr="00D23308">
        <w:t>II</w:t>
      </w:r>
      <w:r w:rsidRPr="00D23308">
        <w:t xml:space="preserve"> Studies (</w:t>
      </w:r>
      <w:r w:rsidR="00FB03C9" w:rsidRPr="00D23308">
        <w:t>Studies </w:t>
      </w:r>
      <w:r w:rsidRPr="00D23308">
        <w:t>MIT-Es0001-C201, MIT-Es0001-C202 and ES</w:t>
      </w:r>
      <w:r w:rsidR="000759AE">
        <w:t>-</w:t>
      </w:r>
      <w:r w:rsidRPr="00D23308">
        <w:t xml:space="preserve">C02). Safety data from these </w:t>
      </w:r>
      <w:r w:rsidR="007E2238" w:rsidRPr="00D23308">
        <w:t>five</w:t>
      </w:r>
      <w:r w:rsidR="00FB03C9" w:rsidRPr="00D23308">
        <w:t> </w:t>
      </w:r>
      <w:r w:rsidRPr="00D23308">
        <w:t>studies was pooled as they shared the following relevant criteria:</w:t>
      </w:r>
    </w:p>
    <w:p w14:paraId="1E62FE18" w14:textId="439BD088" w:rsidR="00704218" w:rsidRPr="00D23308" w:rsidRDefault="00FB03C9" w:rsidP="00C41EBD">
      <w:pPr>
        <w:pStyle w:val="ListBullet"/>
        <w:rPr>
          <w:lang w:val="en-US"/>
        </w:rPr>
      </w:pPr>
      <w:r w:rsidRPr="00D23308">
        <w:rPr>
          <w:lang w:val="en-US"/>
        </w:rPr>
        <w:t>c</w:t>
      </w:r>
      <w:r w:rsidR="00704218" w:rsidRPr="00D23308">
        <w:rPr>
          <w:lang w:val="en-US"/>
        </w:rPr>
        <w:t>onducted in the target population: healthy pre-menopausal women 16</w:t>
      </w:r>
      <w:r w:rsidRPr="00D23308">
        <w:rPr>
          <w:lang w:val="en-US"/>
        </w:rPr>
        <w:t xml:space="preserve"> to </w:t>
      </w:r>
      <w:r w:rsidR="00704218" w:rsidRPr="00D23308">
        <w:rPr>
          <w:lang w:val="en-US"/>
        </w:rPr>
        <w:t xml:space="preserve">50 years </w:t>
      </w:r>
      <w:proofErr w:type="gramStart"/>
      <w:r w:rsidR="00704218" w:rsidRPr="00D23308">
        <w:rPr>
          <w:lang w:val="en-US"/>
        </w:rPr>
        <w:t>old;</w:t>
      </w:r>
      <w:proofErr w:type="gramEnd"/>
    </w:p>
    <w:p w14:paraId="56BA96D7" w14:textId="2E9700B0" w:rsidR="00704218" w:rsidRPr="00D23308" w:rsidRDefault="00FB03C9" w:rsidP="00C41EBD">
      <w:pPr>
        <w:pStyle w:val="ListBullet"/>
        <w:rPr>
          <w:lang w:val="en-US"/>
        </w:rPr>
      </w:pPr>
      <w:r w:rsidRPr="00D23308">
        <w:rPr>
          <w:lang w:val="en-US"/>
        </w:rPr>
        <w:t>d</w:t>
      </w:r>
      <w:r w:rsidR="00704218" w:rsidRPr="00D23308">
        <w:rPr>
          <w:lang w:val="en-US"/>
        </w:rPr>
        <w:t xml:space="preserve">uration of treatment with </w:t>
      </w:r>
      <w:r w:rsidR="00286A63" w:rsidRPr="00D23308">
        <w:t>15 mg estetrol/3 mg drospirenone</w:t>
      </w:r>
      <w:r w:rsidR="00286A63" w:rsidRPr="00D23308">
        <w:rPr>
          <w:lang w:val="en-US"/>
        </w:rPr>
        <w:t xml:space="preserve"> </w:t>
      </w:r>
      <w:r w:rsidR="00704218" w:rsidRPr="00D23308">
        <w:rPr>
          <w:lang w:val="en-US"/>
        </w:rPr>
        <w:t>for at least three 28</w:t>
      </w:r>
      <w:r w:rsidR="007E2238">
        <w:rPr>
          <w:lang w:val="en-US"/>
        </w:rPr>
        <w:noBreakHyphen/>
      </w:r>
      <w:r w:rsidR="00704218" w:rsidRPr="00D23308">
        <w:rPr>
          <w:lang w:val="en-US"/>
        </w:rPr>
        <w:t xml:space="preserve">day </w:t>
      </w:r>
      <w:proofErr w:type="gramStart"/>
      <w:r w:rsidR="00704218" w:rsidRPr="00D23308">
        <w:rPr>
          <w:lang w:val="en-US"/>
        </w:rPr>
        <w:t>cycles;</w:t>
      </w:r>
      <w:proofErr w:type="gramEnd"/>
    </w:p>
    <w:p w14:paraId="4F3991D1" w14:textId="72021E93" w:rsidR="00704218" w:rsidRPr="00D23308" w:rsidRDefault="00FB03C9" w:rsidP="00C41EBD">
      <w:pPr>
        <w:pStyle w:val="ListBullet"/>
        <w:rPr>
          <w:lang w:val="en-US"/>
        </w:rPr>
      </w:pPr>
      <w:r w:rsidRPr="00D23308">
        <w:rPr>
          <w:lang w:val="en-US"/>
        </w:rPr>
        <w:t>d</w:t>
      </w:r>
      <w:r w:rsidR="00704218" w:rsidRPr="00D23308">
        <w:rPr>
          <w:lang w:val="en-US"/>
        </w:rPr>
        <w:t xml:space="preserve">osage and regimen of </w:t>
      </w:r>
      <w:r w:rsidR="00286A63" w:rsidRPr="00D23308">
        <w:t>15 mg estetrol/3 mg drospirenone</w:t>
      </w:r>
      <w:r w:rsidR="00286A63" w:rsidRPr="00D23308">
        <w:rPr>
          <w:lang w:val="en-US"/>
        </w:rPr>
        <w:t xml:space="preserve"> </w:t>
      </w:r>
      <w:r w:rsidR="00704218" w:rsidRPr="00D23308">
        <w:rPr>
          <w:lang w:val="en-US"/>
        </w:rPr>
        <w:t>(24/4</w:t>
      </w:r>
      <w:r w:rsidR="007E2238">
        <w:rPr>
          <w:lang w:val="en-US"/>
        </w:rPr>
        <w:noBreakHyphen/>
      </w:r>
      <w:r w:rsidR="00704218" w:rsidRPr="00D23308">
        <w:rPr>
          <w:lang w:val="en-US"/>
        </w:rPr>
        <w:t>day regimen including 24 days of active tablets followed by 4 days of placebo tablets).</w:t>
      </w:r>
    </w:p>
    <w:p w14:paraId="6E9BE55A" w14:textId="565BE7E9" w:rsidR="00704218" w:rsidRDefault="00704218" w:rsidP="00C41EBD">
      <w:r w:rsidRPr="00D23308">
        <w:lastRenderedPageBreak/>
        <w:t xml:space="preserve">The selection of studies and pooling strategy were agreed upon by the FDA in </w:t>
      </w:r>
      <w:r w:rsidR="007E2238">
        <w:t xml:space="preserve">a </w:t>
      </w:r>
      <w:r w:rsidRPr="00D23308">
        <w:t xml:space="preserve">meeting </w:t>
      </w:r>
      <w:r w:rsidR="007E2238">
        <w:t xml:space="preserve">with the sponsor </w:t>
      </w:r>
      <w:r w:rsidRPr="00D23308">
        <w:t>on 29 April 2019.</w:t>
      </w:r>
    </w:p>
    <w:p w14:paraId="4EF6CD0E" w14:textId="1C2EDF0B" w:rsidR="00537754" w:rsidRPr="00D23308" w:rsidRDefault="00537754" w:rsidP="00371B73">
      <w:pPr>
        <w:pStyle w:val="Heading5"/>
      </w:pPr>
      <w:r>
        <w:t>Exposure</w:t>
      </w:r>
    </w:p>
    <w:p w14:paraId="6DBA9325" w14:textId="132DFAC2" w:rsidR="00704218" w:rsidRDefault="00704218" w:rsidP="00C41EBD">
      <w:r w:rsidRPr="00D23308">
        <w:t xml:space="preserve">Safety of the proposed </w:t>
      </w:r>
      <w:r w:rsidR="00286A63" w:rsidRPr="00D23308">
        <w:t xml:space="preserve">15 mg estetrol/3 mg drospirenone </w:t>
      </w:r>
      <w:r w:rsidRPr="00D23308">
        <w:t xml:space="preserve">was evaluated in 3790 women from the two Phase </w:t>
      </w:r>
      <w:r w:rsidR="0080147A" w:rsidRPr="00D23308">
        <w:t>III</w:t>
      </w:r>
      <w:r w:rsidRPr="00D23308">
        <w:t xml:space="preserve"> and three Phase </w:t>
      </w:r>
      <w:r w:rsidR="0080147A" w:rsidRPr="00D23308">
        <w:t>II</w:t>
      </w:r>
      <w:r w:rsidRPr="00D23308">
        <w:t xml:space="preserve"> studies (the integrated safety dataset). Overall, the safety dataset met the requirements of EMA and FDA with 35,677 confirmed treated 28</w:t>
      </w:r>
      <w:r w:rsidR="007E2238">
        <w:t>-</w:t>
      </w:r>
      <w:r w:rsidRPr="00D23308">
        <w:t>day cycles, including 2,212 women completing thirteen 2</w:t>
      </w:r>
      <w:r w:rsidR="005A1CC0" w:rsidRPr="00D23308">
        <w:t>8</w:t>
      </w:r>
      <w:r w:rsidR="007E2238">
        <w:t>-</w:t>
      </w:r>
      <w:r w:rsidRPr="00D23308">
        <w:t>day cycles and 394 women older than 35 years of age.</w:t>
      </w:r>
    </w:p>
    <w:p w14:paraId="6821035C" w14:textId="04AAA127" w:rsidR="00537754" w:rsidRPr="00D23308" w:rsidRDefault="00537754" w:rsidP="00371B73">
      <w:pPr>
        <w:pStyle w:val="Heading5"/>
      </w:pPr>
      <w:r>
        <w:t>Treatment</w:t>
      </w:r>
      <w:r w:rsidR="004D11AC">
        <w:t>-</w:t>
      </w:r>
      <w:r>
        <w:t>emergent adverse events</w:t>
      </w:r>
    </w:p>
    <w:p w14:paraId="29ABF08C" w14:textId="38901F06" w:rsidR="00704218" w:rsidRPr="00D23308" w:rsidRDefault="00704218" w:rsidP="00C41EBD">
      <w:r w:rsidRPr="00D23308">
        <w:t xml:space="preserve">In the Integrated safety database, the most frequently reported </w:t>
      </w:r>
      <w:r w:rsidR="007E2238">
        <w:t>treatment</w:t>
      </w:r>
      <w:r w:rsidR="00371B73">
        <w:t xml:space="preserve"> </w:t>
      </w:r>
      <w:r w:rsidR="007E2238">
        <w:t>emergent adverse events (T</w:t>
      </w:r>
      <w:r w:rsidRPr="00D23308">
        <w:t>EAEs</w:t>
      </w:r>
      <w:r w:rsidR="007E2238">
        <w:t>)</w:t>
      </w:r>
      <w:r w:rsidRPr="00D23308">
        <w:t xml:space="preserve"> by </w:t>
      </w:r>
      <w:bookmarkStart w:id="59" w:name="_Hlk106290225"/>
      <w:r w:rsidR="00FB03C9" w:rsidRPr="00D23308">
        <w:t xml:space="preserve">Preferred Term </w:t>
      </w:r>
      <w:bookmarkEnd w:id="59"/>
      <w:r w:rsidR="00FB03C9" w:rsidRPr="00D23308">
        <w:t>(</w:t>
      </w:r>
      <w:r w:rsidRPr="00D23308">
        <w:t>PT</w:t>
      </w:r>
      <w:r w:rsidR="00FB03C9" w:rsidRPr="00D23308">
        <w:t>)</w:t>
      </w:r>
      <w:r w:rsidRPr="00D23308">
        <w:t xml:space="preserve"> were headache (6.4%), metrorrhagia (4.6%), viral upper respiratory tract infection (3.9%), acne (3.7%), dysmenorrhea (3.3%), vaginal haemorrhage (3.1%), nausea (2.7%), urinary tract infection (2.5%), weight increased (2.6%), breast pain (2.3%) and abdominal pain (2.1%).</w:t>
      </w:r>
    </w:p>
    <w:p w14:paraId="4437F94F" w14:textId="5727CAF5" w:rsidR="00704218" w:rsidRPr="00D67ED2" w:rsidRDefault="00FB03C9" w:rsidP="00D67ED2">
      <w:pPr>
        <w:pStyle w:val="Tabletitle0"/>
      </w:pPr>
      <w:r w:rsidRPr="00D67ED2">
        <w:t xml:space="preserve">Table </w:t>
      </w:r>
      <w:r w:rsidRPr="00D67ED2">
        <w:fldChar w:fldCharType="begin"/>
      </w:r>
      <w:r w:rsidRPr="00D67ED2">
        <w:instrText>SEQ Table \* ARABIC</w:instrText>
      </w:r>
      <w:r w:rsidRPr="00D67ED2">
        <w:fldChar w:fldCharType="separate"/>
      </w:r>
      <w:r w:rsidR="005319AF">
        <w:rPr>
          <w:noProof/>
        </w:rPr>
        <w:t>10</w:t>
      </w:r>
      <w:r w:rsidRPr="00D67ED2">
        <w:fldChar w:fldCharType="end"/>
      </w:r>
      <w:r w:rsidRPr="00D67ED2">
        <w:t>:</w:t>
      </w:r>
      <w:r w:rsidR="00704218" w:rsidRPr="00D67ED2">
        <w:t xml:space="preserve"> </w:t>
      </w:r>
      <w:r w:rsidRPr="00D67ED2">
        <w:t>Treatment</w:t>
      </w:r>
      <w:r w:rsidR="004D11AC" w:rsidRPr="00D67ED2">
        <w:t>-</w:t>
      </w:r>
      <w:r w:rsidRPr="00D67ED2">
        <w:t xml:space="preserve">emergent adverse events </w:t>
      </w:r>
      <w:r w:rsidR="00704218" w:rsidRPr="00D67ED2">
        <w:t>reported in ≥</w:t>
      </w:r>
      <w:r w:rsidRPr="00D67ED2">
        <w:t xml:space="preserve"> </w:t>
      </w:r>
      <w:r w:rsidR="00704218" w:rsidRPr="00D67ED2">
        <w:t xml:space="preserve">2% of the </w:t>
      </w:r>
      <w:r w:rsidRPr="00D67ED2">
        <w:t>subjects b</w:t>
      </w:r>
      <w:r w:rsidR="00704218" w:rsidRPr="00D67ED2">
        <w:t xml:space="preserve">y </w:t>
      </w:r>
      <w:r w:rsidRPr="00D67ED2">
        <w:t xml:space="preserve">System Organ Class </w:t>
      </w:r>
      <w:r w:rsidR="00704218" w:rsidRPr="00D67ED2">
        <w:t xml:space="preserve">and </w:t>
      </w:r>
      <w:r w:rsidRPr="00D67ED2">
        <w:t xml:space="preserve">Preferred Term </w:t>
      </w:r>
      <w:r w:rsidR="00704218" w:rsidRPr="00D67ED2">
        <w:t>(</w:t>
      </w:r>
      <w:r w:rsidR="00F818E9" w:rsidRPr="00D67ED2">
        <w:t>safety</w:t>
      </w:r>
      <w:r w:rsidR="00704218" w:rsidRPr="00D67ED2">
        <w:t xml:space="preserve"> </w:t>
      </w:r>
      <w:r w:rsidR="00F818E9" w:rsidRPr="00D67ED2">
        <w:t>population</w:t>
      </w:r>
      <w:r w:rsidR="00704218" w:rsidRPr="00D67ED2">
        <w:t>)</w:t>
      </w:r>
    </w:p>
    <w:p w14:paraId="5CF647DC" w14:textId="310FD4E3" w:rsidR="00CD3AB4" w:rsidRPr="00CD3AB4" w:rsidRDefault="00CD3AB4" w:rsidP="00D67ED2">
      <w:r>
        <w:rPr>
          <w:noProof/>
          <w:shd w:val="clear" w:color="auto" w:fill="E6E6E6"/>
          <w:lang w:val="en-GB" w:eastAsia="en-GB"/>
        </w:rPr>
        <w:drawing>
          <wp:inline distT="0" distB="0" distL="0" distR="0" wp14:anchorId="4766CEBF" wp14:editId="228D940E">
            <wp:extent cx="5400040" cy="4909457"/>
            <wp:effectExtent l="0" t="0" r="0" b="5715"/>
            <wp:docPr id="23" name="Picture 23" descr="Table 10: Treatment-emergent adverse events reported in ≥ 2% of the subjects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10: Treatment-emergent adverse events reported in ≥ 2% of the subjects by System Organ Class and Preferred Term (safety population)"/>
                    <pic:cNvPicPr/>
                  </pic:nvPicPr>
                  <pic:blipFill>
                    <a:blip r:embed="rId30"/>
                    <a:stretch>
                      <a:fillRect/>
                    </a:stretch>
                  </pic:blipFill>
                  <pic:spPr>
                    <a:xfrm>
                      <a:off x="0" y="0"/>
                      <a:ext cx="5408489" cy="4917138"/>
                    </a:xfrm>
                    <a:prstGeom prst="rect">
                      <a:avLst/>
                    </a:prstGeom>
                  </pic:spPr>
                </pic:pic>
              </a:graphicData>
            </a:graphic>
          </wp:inline>
        </w:drawing>
      </w:r>
    </w:p>
    <w:p w14:paraId="26A22F07" w14:textId="18555C8F" w:rsidR="00CD3AB4" w:rsidRPr="00D67ED2" w:rsidRDefault="007E2238" w:rsidP="00D67ED2">
      <w:pPr>
        <w:pStyle w:val="TableDescription"/>
      </w:pPr>
      <w:r w:rsidRPr="00D67ED2">
        <w:t xml:space="preserve">Abbreviations: </w:t>
      </w:r>
      <w:r w:rsidR="00CD3AB4" w:rsidRPr="00D67ED2">
        <w:t>DRSP = drospirenone; E4 = estetrol; m = number of events; N = number of subjects in the safety population and is the denominator for the percentages; n = number of subjects.</w:t>
      </w:r>
    </w:p>
    <w:p w14:paraId="36F2E84D" w14:textId="61C13366" w:rsidR="00CD3AB4" w:rsidRPr="00D67ED2" w:rsidRDefault="00CD3AB4" w:rsidP="00D67ED2">
      <w:pPr>
        <w:pStyle w:val="TableDescription"/>
      </w:pPr>
      <w:r w:rsidRPr="00D67ED2">
        <w:t>* The integrated summary of safety (safety population) includes 3,575 subjects with confirmed exposure to 15 mg estetrol/3 mg drospirenone and 215 subjects for whom neither exposure nor non-exposure could be confirmed. All 215 subjects were included in Phase III studies.</w:t>
      </w:r>
    </w:p>
    <w:p w14:paraId="1725F7DA" w14:textId="4D8617D4" w:rsidR="00CD3AB4" w:rsidRPr="00D67ED2" w:rsidRDefault="00CD3AB4" w:rsidP="00D67ED2">
      <w:pPr>
        <w:pStyle w:val="TableDescription"/>
      </w:pPr>
      <w:r w:rsidRPr="00D67ED2">
        <w:lastRenderedPageBreak/>
        <w:t xml:space="preserve">** This table includes one subject who never started the treatment. Two adverse events occurring to this subject should not have been accounted in the </w:t>
      </w:r>
      <w:r w:rsidR="00177F21" w:rsidRPr="00D67ED2">
        <w:t>treatment emergent adverse events.</w:t>
      </w:r>
    </w:p>
    <w:p w14:paraId="48068509" w14:textId="58575984" w:rsidR="00704218" w:rsidRPr="00D23308" w:rsidRDefault="00704218" w:rsidP="00C41EBD">
      <w:r w:rsidRPr="00D23308">
        <w:t>The most frequently reported treatment</w:t>
      </w:r>
      <w:r w:rsidR="004D11AC">
        <w:t>-</w:t>
      </w:r>
      <w:r w:rsidRPr="00D23308">
        <w:t xml:space="preserve">related </w:t>
      </w:r>
      <w:r w:rsidR="00145304">
        <w:t>AEs</w:t>
      </w:r>
      <w:r w:rsidRPr="00D23308">
        <w:t xml:space="preserve"> by PT (</w:t>
      </w:r>
      <w:r w:rsidR="00FB03C9" w:rsidRPr="00D23308">
        <w:t>drug</w:t>
      </w:r>
      <w:r w:rsidR="004D11AC">
        <w:t>-</w:t>
      </w:r>
      <w:r w:rsidR="00FB03C9" w:rsidRPr="00D23308">
        <w:t xml:space="preserve">related </w:t>
      </w:r>
      <w:r w:rsidRPr="00D23308">
        <w:t xml:space="preserve">TEAEs) were metrorrhagia (4.3%), headache (3.2%), acne (3.2%), vaginal </w:t>
      </w:r>
      <w:r w:rsidR="00FB03C9" w:rsidRPr="00D23308">
        <w:t>haemorrhage</w:t>
      </w:r>
      <w:r w:rsidRPr="00D23308">
        <w:t xml:space="preserve"> (2.7%), dysmenorrhea (2.4%), breast pain (2.1%) and weight increased (2.0%).</w:t>
      </w:r>
    </w:p>
    <w:p w14:paraId="3D2A8C47" w14:textId="37DCBD10" w:rsidR="00704218" w:rsidRPr="00D67ED2" w:rsidRDefault="00FB03C9" w:rsidP="00D67ED2">
      <w:pPr>
        <w:pStyle w:val="TableTitle"/>
      </w:pPr>
      <w:r w:rsidRPr="00D67ED2">
        <w:t xml:space="preserve">Table </w:t>
      </w:r>
      <w:r w:rsidRPr="00D67ED2">
        <w:fldChar w:fldCharType="begin"/>
      </w:r>
      <w:r w:rsidRPr="00D67ED2">
        <w:instrText>SEQ Table \* ARABIC</w:instrText>
      </w:r>
      <w:r w:rsidRPr="00D67ED2">
        <w:fldChar w:fldCharType="separate"/>
      </w:r>
      <w:r w:rsidR="005319AF">
        <w:rPr>
          <w:noProof/>
        </w:rPr>
        <w:t>11</w:t>
      </w:r>
      <w:r w:rsidRPr="00D67ED2">
        <w:fldChar w:fldCharType="end"/>
      </w:r>
      <w:r w:rsidRPr="00D67ED2">
        <w:t>:</w:t>
      </w:r>
      <w:r w:rsidR="00704218" w:rsidRPr="00D67ED2">
        <w:t xml:space="preserve"> Drug</w:t>
      </w:r>
      <w:r w:rsidR="007E2238" w:rsidRPr="00D67ED2">
        <w:t>-</w:t>
      </w:r>
      <w:r w:rsidR="00704218" w:rsidRPr="00D67ED2">
        <w:t xml:space="preserve">related </w:t>
      </w:r>
      <w:r w:rsidRPr="00D67ED2">
        <w:t>treatment</w:t>
      </w:r>
      <w:r w:rsidR="007E2238" w:rsidRPr="00D67ED2">
        <w:t>-</w:t>
      </w:r>
      <w:r w:rsidRPr="00D67ED2">
        <w:t xml:space="preserve">emergent adverse events </w:t>
      </w:r>
      <w:r w:rsidR="00704218" w:rsidRPr="00D67ED2">
        <w:t>reported in ≥</w:t>
      </w:r>
      <w:r w:rsidRPr="00D67ED2">
        <w:t xml:space="preserve"> </w:t>
      </w:r>
      <w:r w:rsidR="00704218" w:rsidRPr="00D67ED2">
        <w:t xml:space="preserve">2% of subjects by </w:t>
      </w:r>
      <w:r w:rsidRPr="00D67ED2">
        <w:t xml:space="preserve">System Organ Class and Preferred Term </w:t>
      </w:r>
      <w:r w:rsidR="00704218" w:rsidRPr="00D67ED2">
        <w:t>(</w:t>
      </w:r>
      <w:r w:rsidR="00F818E9" w:rsidRPr="00D67ED2">
        <w:t>safety</w:t>
      </w:r>
      <w:r w:rsidR="00704218" w:rsidRPr="00D67ED2">
        <w:t xml:space="preserve"> </w:t>
      </w:r>
      <w:r w:rsidR="00F818E9" w:rsidRPr="00D67ED2">
        <w:t>population</w:t>
      </w:r>
      <w:r w:rsidR="00704218" w:rsidRPr="00D67ED2">
        <w:t>)</w:t>
      </w:r>
    </w:p>
    <w:p w14:paraId="2F4230D8" w14:textId="76DA4C7E" w:rsidR="006005D2" w:rsidRDefault="00CD3AB4" w:rsidP="00D67ED2">
      <w:r>
        <w:rPr>
          <w:noProof/>
          <w:shd w:val="clear" w:color="auto" w:fill="E6E6E6"/>
          <w:lang w:val="en-GB" w:eastAsia="en-GB"/>
        </w:rPr>
        <w:drawing>
          <wp:inline distT="0" distB="0" distL="0" distR="0" wp14:anchorId="2FB58253" wp14:editId="67C66C35">
            <wp:extent cx="5400040" cy="2914015"/>
            <wp:effectExtent l="0" t="0" r="0" b="635"/>
            <wp:docPr id="22" name="Picture 22" descr="Table 11: Drug-related treatment-emergent adverse events reported in ≥ 2% of subjects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11: Drug-related treatment-emergent adverse events reported in ≥ 2% of subjects by System Organ Class and Preferred Term (safety population)"/>
                    <pic:cNvPicPr/>
                  </pic:nvPicPr>
                  <pic:blipFill>
                    <a:blip r:embed="rId31"/>
                    <a:stretch>
                      <a:fillRect/>
                    </a:stretch>
                  </pic:blipFill>
                  <pic:spPr>
                    <a:xfrm>
                      <a:off x="0" y="0"/>
                      <a:ext cx="5400040" cy="2914015"/>
                    </a:xfrm>
                    <a:prstGeom prst="rect">
                      <a:avLst/>
                    </a:prstGeom>
                  </pic:spPr>
                </pic:pic>
              </a:graphicData>
            </a:graphic>
          </wp:inline>
        </w:drawing>
      </w:r>
    </w:p>
    <w:p w14:paraId="0FA8119F" w14:textId="6127F623" w:rsidR="006005D2" w:rsidRPr="00D67ED2" w:rsidRDefault="007E2238" w:rsidP="00D67ED2">
      <w:pPr>
        <w:pStyle w:val="TableDescription"/>
      </w:pPr>
      <w:r w:rsidRPr="00D67ED2">
        <w:t xml:space="preserve">Abbreviations: </w:t>
      </w:r>
      <w:r w:rsidR="00CD3AB4" w:rsidRPr="00D67ED2">
        <w:t>DRSP = drospirenone; E4 = estetrol; m</w:t>
      </w:r>
      <w:r w:rsidR="006005D2" w:rsidRPr="00D67ED2">
        <w:t xml:space="preserve"> = number of events</w:t>
      </w:r>
      <w:r w:rsidR="00CD3AB4" w:rsidRPr="00D67ED2">
        <w:t>;</w:t>
      </w:r>
      <w:r w:rsidR="006005D2" w:rsidRPr="00D67ED2">
        <w:t xml:space="preserve"> </w:t>
      </w:r>
      <w:r w:rsidR="00CD3AB4" w:rsidRPr="00D67ED2">
        <w:t xml:space="preserve">N = number of subjects in the safety population and is the denominator for the percentages; </w:t>
      </w:r>
      <w:r w:rsidR="006005D2" w:rsidRPr="00D67ED2">
        <w:t>n</w:t>
      </w:r>
      <w:r w:rsidRPr="00D67ED2">
        <w:t> </w:t>
      </w:r>
      <w:r w:rsidR="006005D2" w:rsidRPr="00D67ED2">
        <w:t>=</w:t>
      </w:r>
      <w:r w:rsidRPr="00D67ED2">
        <w:t> </w:t>
      </w:r>
      <w:r w:rsidR="006005D2" w:rsidRPr="00D67ED2">
        <w:t>number of subjects, TEAE = treatment emergent adverse event</w:t>
      </w:r>
      <w:r w:rsidR="00CD3AB4" w:rsidRPr="00D67ED2">
        <w:t>.</w:t>
      </w:r>
    </w:p>
    <w:p w14:paraId="6BC837C4" w14:textId="154C5F84" w:rsidR="006005D2" w:rsidRPr="00D67ED2" w:rsidRDefault="006005D2" w:rsidP="00D67ED2">
      <w:pPr>
        <w:pStyle w:val="TableDescription"/>
      </w:pPr>
      <w:r w:rsidRPr="00D67ED2">
        <w:t xml:space="preserve">* The </w:t>
      </w:r>
      <w:r w:rsidR="00CD3AB4" w:rsidRPr="00D67ED2">
        <w:t xml:space="preserve">integrated summary of safety (safety population) </w:t>
      </w:r>
      <w:r w:rsidRPr="00D67ED2">
        <w:t xml:space="preserve">includes 3,575 subjects with confirmed exposure to </w:t>
      </w:r>
      <w:r w:rsidR="00CD3AB4" w:rsidRPr="00D67ED2">
        <w:t>15 mg estetrol</w:t>
      </w:r>
      <w:r w:rsidRPr="00D67ED2">
        <w:t>/</w:t>
      </w:r>
      <w:r w:rsidR="00CD3AB4" w:rsidRPr="00D67ED2">
        <w:t xml:space="preserve">3 mg drospirenone </w:t>
      </w:r>
      <w:r w:rsidRPr="00D67ED2">
        <w:t xml:space="preserve">and 215 subjects for whom neither exposure nor non-exposure could be confirmed. All 215 subjects were included in Phase </w:t>
      </w:r>
      <w:r w:rsidR="00CD3AB4" w:rsidRPr="00D67ED2">
        <w:t>III</w:t>
      </w:r>
      <w:r w:rsidRPr="00D67ED2">
        <w:t xml:space="preserve"> studies.</w:t>
      </w:r>
    </w:p>
    <w:p w14:paraId="245449C0" w14:textId="7F02DE50" w:rsidR="00704218" w:rsidRPr="00D67ED2" w:rsidRDefault="00CD3AB4" w:rsidP="00D67ED2">
      <w:pPr>
        <w:pStyle w:val="TableDescription"/>
      </w:pPr>
      <w:r w:rsidRPr="00D67ED2">
        <w:t>** Including one event of acute pancreatitis which was subsequently considered as not related to the study drug.</w:t>
      </w:r>
    </w:p>
    <w:p w14:paraId="2C17ADFB" w14:textId="5E63DA50" w:rsidR="00537754" w:rsidRPr="00CD3AB4" w:rsidRDefault="00537754" w:rsidP="00145304">
      <w:pPr>
        <w:pStyle w:val="Heading5"/>
      </w:pPr>
      <w:r>
        <w:t>Serious adverse events</w:t>
      </w:r>
    </w:p>
    <w:p w14:paraId="509E08F1" w14:textId="46FD3456" w:rsidR="00704218" w:rsidRPr="00D23308" w:rsidRDefault="00704218" w:rsidP="00C41EBD">
      <w:r w:rsidRPr="00D23308">
        <w:t xml:space="preserve">Of the 45 </w:t>
      </w:r>
      <w:r w:rsidR="00BF2A8F" w:rsidRPr="00D23308">
        <w:t>s</w:t>
      </w:r>
      <w:r w:rsidR="00FB03C9" w:rsidRPr="00D23308">
        <w:t xml:space="preserve">erious adverse events </w:t>
      </w:r>
      <w:r w:rsidRPr="00D23308">
        <w:t xml:space="preserve">reported in the Integrated safety dataset, only 3 were considered related to study treatment </w:t>
      </w:r>
      <w:r w:rsidR="00FB03C9" w:rsidRPr="00D23308">
        <w:t>venous thromboembolism (</w:t>
      </w:r>
      <w:r w:rsidRPr="00D23308">
        <w:t>VTE</w:t>
      </w:r>
      <w:r w:rsidR="00FB03C9" w:rsidRPr="00D23308">
        <w:t>)</w:t>
      </w:r>
      <w:r w:rsidRPr="00D23308">
        <w:t xml:space="preserve">, worsening depression and ectopic pregnancy all of which led to withdrawal of study drug and resolved without sequelae). These events do not affect the overall assessment of the safety profile. There was a total of one death in all clinical studies performed with </w:t>
      </w:r>
      <w:r w:rsidR="009A2E70" w:rsidRPr="00D23308">
        <w:t>estetrol</w:t>
      </w:r>
      <w:r w:rsidRPr="00D23308">
        <w:t xml:space="preserve"> (with or without progestin). It was reported in Study MIT-Es0001-C302 (with </w:t>
      </w:r>
      <w:r w:rsidR="00286A63" w:rsidRPr="00D23308">
        <w:t>15 mg estetrol/3</w:t>
      </w:r>
      <w:r w:rsidR="00395F07" w:rsidRPr="00D23308">
        <w:t> </w:t>
      </w:r>
      <w:r w:rsidR="00286A63" w:rsidRPr="00D23308">
        <w:t>mg drospirenone</w:t>
      </w:r>
      <w:r w:rsidRPr="00D23308">
        <w:t>). It was attributed to an accidental overdose of fentanyl and alprazolam and was evaluated as not related to the study drug.</w:t>
      </w:r>
    </w:p>
    <w:p w14:paraId="59C9D63F" w14:textId="6AD2B0F8" w:rsidR="00704218" w:rsidRPr="00D23308" w:rsidRDefault="00704218" w:rsidP="00C41EBD">
      <w:r w:rsidRPr="00D23308">
        <w:t xml:space="preserve">Overall, 9.4% of subjects discontinued the study due to a TEAE; the most frequent AEs leading to study discontinuation were metrorrhagia (1.1%), acne (0.9%), vaginal </w:t>
      </w:r>
      <w:r w:rsidR="00FB03C9" w:rsidRPr="00D23308">
        <w:t>haemorrhage</w:t>
      </w:r>
      <w:r w:rsidRPr="00D23308">
        <w:t xml:space="preserve"> (0.7%) and menorrhagia (0.6%).</w:t>
      </w:r>
    </w:p>
    <w:p w14:paraId="041613D3" w14:textId="31796DD3" w:rsidR="00537754" w:rsidRDefault="00537754" w:rsidP="00145304">
      <w:pPr>
        <w:pStyle w:val="Heading5"/>
        <w:rPr>
          <w:rFonts w:eastAsia="TimesNewRoman"/>
        </w:rPr>
      </w:pPr>
      <w:r>
        <w:rPr>
          <w:rFonts w:eastAsia="TimesNewRoman"/>
        </w:rPr>
        <w:t>Adverse events of special interest</w:t>
      </w:r>
    </w:p>
    <w:p w14:paraId="2F2D20C7" w14:textId="54EF86E0" w:rsidR="00704218" w:rsidRPr="00D23308" w:rsidRDefault="00704218">
      <w:pPr>
        <w:pStyle w:val="Heading6"/>
        <w:rPr>
          <w:rFonts w:eastAsia="TimesNewRoman"/>
        </w:rPr>
      </w:pPr>
      <w:r w:rsidRPr="00D23308">
        <w:rPr>
          <w:rFonts w:eastAsia="TimesNewRoman"/>
        </w:rPr>
        <w:t xml:space="preserve">Venous thromboembolic </w:t>
      </w:r>
      <w:r w:rsidR="00395F07" w:rsidRPr="00537754">
        <w:rPr>
          <w:rFonts w:eastAsia="TimesNewRoman"/>
        </w:rPr>
        <w:t>events</w:t>
      </w:r>
    </w:p>
    <w:p w14:paraId="714F4FBA" w14:textId="7C6C68C0" w:rsidR="00704218" w:rsidRPr="00D23308" w:rsidRDefault="00704218" w:rsidP="00C41EBD">
      <w:r w:rsidRPr="00D23308">
        <w:t xml:space="preserve">Over the clinical program of </w:t>
      </w:r>
      <w:r w:rsidR="009A2E70" w:rsidRPr="00D23308">
        <w:t>estetrol</w:t>
      </w:r>
      <w:r w:rsidRPr="00D23308">
        <w:t xml:space="preserve">, including 4,319 subjects treated with at least one dose of </w:t>
      </w:r>
      <w:r w:rsidR="009A2E70" w:rsidRPr="00D23308">
        <w:t>estetrol</w:t>
      </w:r>
      <w:r w:rsidRPr="00D23308">
        <w:t xml:space="preserve">, 2 cases of </w:t>
      </w:r>
      <w:r w:rsidR="007E2238">
        <w:t xml:space="preserve">venous thromboembolism </w:t>
      </w:r>
      <w:r w:rsidR="00145304">
        <w:t>(</w:t>
      </w:r>
      <w:r w:rsidRPr="00D23308">
        <w:t>VTE</w:t>
      </w:r>
      <w:r w:rsidR="00145304">
        <w:t>)</w:t>
      </w:r>
      <w:r w:rsidRPr="00D23308">
        <w:t xml:space="preserve"> were reported (0.05% of subjects). These have already been mentioned above.</w:t>
      </w:r>
    </w:p>
    <w:p w14:paraId="0AB27FD2" w14:textId="7ACDA0C7" w:rsidR="00704218" w:rsidRPr="00D23308" w:rsidRDefault="00704218" w:rsidP="00C41EBD">
      <w:pPr>
        <w:pStyle w:val="ListBullet"/>
      </w:pPr>
      <w:r w:rsidRPr="00D23308">
        <w:lastRenderedPageBreak/>
        <w:t xml:space="preserve">One case of venous thrombosis of vena fibularis was reported in a subject while being on her </w:t>
      </w:r>
      <w:r w:rsidR="00395F07" w:rsidRPr="00D23308">
        <w:t>fourth</w:t>
      </w:r>
      <w:r w:rsidRPr="00D23308">
        <w:t xml:space="preserve"> cycle of </w:t>
      </w:r>
      <w:r w:rsidR="00286A63" w:rsidRPr="00D23308">
        <w:t>15 mg estetrol/3 mg drospirenone</w:t>
      </w:r>
      <w:r w:rsidRPr="00D23308">
        <w:t>. This event was considered by the investigator as moderate in intensity and probably related to the study drug, required withdrawal from the study drug and resolved without any sequelae.</w:t>
      </w:r>
    </w:p>
    <w:p w14:paraId="7CDE4878" w14:textId="3D9DF4D2" w:rsidR="00704218" w:rsidRPr="00D23308" w:rsidRDefault="00704218" w:rsidP="00C41EBD">
      <w:pPr>
        <w:pStyle w:val="ListBullet"/>
      </w:pPr>
      <w:r w:rsidRPr="00D23308">
        <w:t xml:space="preserve">The second event was a deep vein thrombosis of the lower right extremity reported in a subject who received </w:t>
      </w:r>
      <w:r w:rsidR="00286A63" w:rsidRPr="00D23308">
        <w:t xml:space="preserve">15 mg estetrol/3 mg drospirenone </w:t>
      </w:r>
      <w:r w:rsidRPr="00D23308">
        <w:t xml:space="preserve">for 10 days and then a supratherapeutic dose with </w:t>
      </w:r>
      <w:r w:rsidR="00395F07" w:rsidRPr="00D23308">
        <w:t xml:space="preserve">75 mg </w:t>
      </w:r>
      <w:r w:rsidR="009A2E70" w:rsidRPr="00D23308">
        <w:t>estetrol</w:t>
      </w:r>
      <w:r w:rsidRPr="00D23308">
        <w:t>/</w:t>
      </w:r>
      <w:r w:rsidR="00395F07" w:rsidRPr="00D23308">
        <w:t xml:space="preserve">3 mg </w:t>
      </w:r>
      <w:r w:rsidR="009A2E70" w:rsidRPr="00D23308">
        <w:t>drospirenone</w:t>
      </w:r>
      <w:r w:rsidRPr="00D23308">
        <w:t xml:space="preserve"> for another 10 days. This event was considered by the investigator to be severe, likely related to study drug, and resolved without any sequelae.</w:t>
      </w:r>
    </w:p>
    <w:p w14:paraId="768F11BC" w14:textId="05C8C305" w:rsidR="00704218" w:rsidRPr="00D23308" w:rsidRDefault="00704218" w:rsidP="00C41EBD">
      <w:r w:rsidRPr="00D23308">
        <w:t xml:space="preserve">The </w:t>
      </w:r>
      <w:r w:rsidR="00395F07" w:rsidRPr="00D23308">
        <w:t>sponsor</w:t>
      </w:r>
      <w:r w:rsidRPr="00D23308">
        <w:t xml:space="preserve"> attempted to calculate the incidence of VTE observed in the pooled clinical Phase </w:t>
      </w:r>
      <w:r w:rsidR="0080147A" w:rsidRPr="00D23308">
        <w:t>II</w:t>
      </w:r>
      <w:r w:rsidRPr="00D23308">
        <w:t xml:space="preserve"> and </w:t>
      </w:r>
      <w:r w:rsidR="0080147A" w:rsidRPr="00D23308">
        <w:t>III</w:t>
      </w:r>
      <w:r w:rsidRPr="00D23308">
        <w:t xml:space="preserve"> studies (one event). The proposed incident amounted to 2.80 (95% CI: 0.68, 15.59) per 10,000 women and the incidence rate, in view of </w:t>
      </w:r>
      <w:proofErr w:type="gramStart"/>
      <w:r w:rsidRPr="00D23308">
        <w:t>2,735 woman</w:t>
      </w:r>
      <w:proofErr w:type="gramEnd"/>
      <w:r w:rsidRPr="00D23308">
        <w:t xml:space="preserve"> years of (confirmed) exposure, was 3.66 (0.89, 20.37) per 10,000 woman years. These numbers must be interpreted with extreme caution.</w:t>
      </w:r>
    </w:p>
    <w:p w14:paraId="6AEED186" w14:textId="0AD4957B" w:rsidR="003A30A1" w:rsidRDefault="00704218" w:rsidP="00C41EBD">
      <w:r w:rsidRPr="00D23308">
        <w:t xml:space="preserve">However, European regulatory authorities demand an assessment of the VTE risk relative to </w:t>
      </w:r>
      <w:r w:rsidR="00E72922" w:rsidRPr="00D23308">
        <w:t>ethinylestradiol</w:t>
      </w:r>
      <w:r w:rsidRPr="00D23308">
        <w:t>/</w:t>
      </w:r>
      <w:r w:rsidR="00A83CAC" w:rsidRPr="00D23308">
        <w:t>levonorgestrel</w:t>
      </w:r>
      <w:r w:rsidRPr="00D23308">
        <w:t xml:space="preserve"> for new hormonal contraceptives. In view of the low VTE incidence in the target population (several cases per </w:t>
      </w:r>
      <w:proofErr w:type="gramStart"/>
      <w:r w:rsidRPr="00D23308">
        <w:t xml:space="preserve">10,000 </w:t>
      </w:r>
      <w:r w:rsidR="00395F07" w:rsidRPr="00D23308">
        <w:t>woman</w:t>
      </w:r>
      <w:proofErr w:type="gramEnd"/>
      <w:r w:rsidR="00395F07" w:rsidRPr="00D23308">
        <w:t xml:space="preserve"> years</w:t>
      </w:r>
      <w:r w:rsidRPr="00D23308">
        <w:t xml:space="preserve">), a dedicated pharmacodynamic clinical study has become imperative instead. This pharmacodynamic study must assess the effects on parameters potentially reflecting VTE risk, as suggested by the EMA, and should be conducted in a comparative fashion versus the standard </w:t>
      </w:r>
      <w:r w:rsidR="00537754">
        <w:t>combined oral contraceptive</w:t>
      </w:r>
      <w:r w:rsidR="00537754" w:rsidRPr="00D23308">
        <w:t xml:space="preserve"> </w:t>
      </w:r>
      <w:r w:rsidR="00537754">
        <w:t xml:space="preserve">0.03 mg </w:t>
      </w:r>
      <w:r w:rsidR="00E72922" w:rsidRPr="00D23308">
        <w:t>ethinylestradiol</w:t>
      </w:r>
      <w:r w:rsidR="00D80178">
        <w:t xml:space="preserve"> </w:t>
      </w:r>
      <w:r w:rsidRPr="00D23308">
        <w:t>/</w:t>
      </w:r>
      <w:r w:rsidR="00537754">
        <w:t xml:space="preserve"> </w:t>
      </w:r>
      <w:r w:rsidR="00D80178" w:rsidRPr="00D80178">
        <w:t xml:space="preserve">0.15 mg </w:t>
      </w:r>
      <w:r w:rsidR="00A83CAC" w:rsidRPr="00D23308">
        <w:t>levonorgestrel</w:t>
      </w:r>
      <w:r w:rsidRPr="00D23308">
        <w:t>.</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Such a pharmacodynamic study was conducted in the clinical development program of </w:t>
      </w:r>
      <w:r w:rsidR="00286A63" w:rsidRPr="00D23308">
        <w:t>15</w:t>
      </w:r>
      <w:r w:rsidR="001361FB" w:rsidRPr="00D23308">
        <w:t> </w:t>
      </w:r>
      <w:r w:rsidR="00286A63" w:rsidRPr="00D23308">
        <w:t>mg estetrol/3 mg drospirenone</w:t>
      </w:r>
      <w:r w:rsidR="00537754">
        <w:t>.</w:t>
      </w:r>
      <w:r w:rsidRPr="00D23308">
        <w:t xml:space="preserve"> </w:t>
      </w:r>
      <w:r w:rsidR="00537754">
        <w:t xml:space="preserve">In this study, </w:t>
      </w:r>
      <w:r w:rsidRPr="00D23308">
        <w:t xml:space="preserve">in addition to the required comparator </w:t>
      </w:r>
      <w:r w:rsidR="001361FB" w:rsidRPr="00D23308">
        <w:t>0.03 mg </w:t>
      </w:r>
      <w:r w:rsidR="00E72922" w:rsidRPr="00D23308">
        <w:t>ethinylestradiol</w:t>
      </w:r>
      <w:r w:rsidRPr="00D23308">
        <w:t>/</w:t>
      </w:r>
      <w:r w:rsidR="001361FB" w:rsidRPr="00D23308">
        <w:t xml:space="preserve">0.15 mg </w:t>
      </w:r>
      <w:r w:rsidR="00A83CAC" w:rsidRPr="00D23308">
        <w:t>levonorgestrel</w:t>
      </w:r>
      <w:r w:rsidR="00537754">
        <w:t>,</w:t>
      </w:r>
      <w:r w:rsidRPr="00D23308">
        <w:t xml:space="preserve"> a group of women using </w:t>
      </w:r>
      <w:r w:rsidR="001361FB" w:rsidRPr="00D23308">
        <w:t>0.02 mg </w:t>
      </w:r>
      <w:r w:rsidR="00E72922" w:rsidRPr="00D23308">
        <w:t>ethinylestradiol</w:t>
      </w:r>
      <w:r w:rsidRPr="00D23308">
        <w:t>/</w:t>
      </w:r>
      <w:r w:rsidR="001361FB" w:rsidRPr="00D23308">
        <w:t xml:space="preserve">3 mg </w:t>
      </w:r>
      <w:r w:rsidR="009A2E70" w:rsidRPr="00D23308">
        <w:t>drospirenone</w:t>
      </w:r>
      <w:r w:rsidRPr="00D23308">
        <w:t xml:space="preserve"> was also included, to also allow the comparison between </w:t>
      </w:r>
      <w:r w:rsidR="009A2E70" w:rsidRPr="00D23308">
        <w:t>estetrol</w:t>
      </w:r>
      <w:r w:rsidRPr="00D23308">
        <w:t xml:space="preserve"> and </w:t>
      </w:r>
      <w:r w:rsidR="00E72922" w:rsidRPr="00D23308">
        <w:t>ethinylestradiol</w:t>
      </w:r>
      <w:r w:rsidRPr="00D23308">
        <w:t xml:space="preserve"> in a </w:t>
      </w:r>
      <w:r w:rsidR="009A2E70" w:rsidRPr="00D23308">
        <w:t>drospirenone</w:t>
      </w:r>
      <w:r w:rsidRPr="00D23308">
        <w:t xml:space="preserve">-containing </w:t>
      </w:r>
      <w:r w:rsidR="00537754">
        <w:t>combined oral contraceptive</w:t>
      </w:r>
      <w:r w:rsidR="00537754" w:rsidRPr="00D23308">
        <w:t xml:space="preserve"> </w:t>
      </w:r>
      <w:r w:rsidRPr="00D23308">
        <w:t>(</w:t>
      </w:r>
      <w:r w:rsidR="001361FB" w:rsidRPr="00D23308">
        <w:t>Study </w:t>
      </w:r>
      <w:r w:rsidRPr="00D23308">
        <w:t xml:space="preserve">MIT-Es0001-C201). Results from this study showed that the proposed </w:t>
      </w:r>
      <w:r w:rsidR="00286A63" w:rsidRPr="00D23308">
        <w:t>15</w:t>
      </w:r>
      <w:r w:rsidR="001361FB" w:rsidRPr="00D23308">
        <w:t> </w:t>
      </w:r>
      <w:r w:rsidR="00286A63" w:rsidRPr="00D23308">
        <w:t xml:space="preserve">mg estetrol/3 mg drospirenone </w:t>
      </w:r>
      <w:r w:rsidRPr="00D23308">
        <w:t>has little impact on h</w:t>
      </w:r>
      <w:r w:rsidR="001361FB" w:rsidRPr="00D23308">
        <w:t>a</w:t>
      </w:r>
      <w:r w:rsidRPr="00D23308">
        <w:t xml:space="preserve">emostasis parameters relative to both the </w:t>
      </w:r>
      <w:r w:rsidR="00537754">
        <w:t>contraceptives</w:t>
      </w:r>
      <w:r w:rsidRPr="00D23308">
        <w:t xml:space="preserve"> </w:t>
      </w:r>
      <w:r w:rsidR="001361FB" w:rsidRPr="00D23308">
        <w:t>0.03 mg </w:t>
      </w:r>
      <w:r w:rsidR="00E72922" w:rsidRPr="00D23308">
        <w:t>ethinylestradiol</w:t>
      </w:r>
      <w:r w:rsidRPr="00D23308">
        <w:t>/</w:t>
      </w:r>
      <w:r w:rsidR="001361FB" w:rsidRPr="00D23308">
        <w:t xml:space="preserve">0.15 mg </w:t>
      </w:r>
      <w:r w:rsidR="00A83CAC" w:rsidRPr="00D23308">
        <w:t>levonorgestrel</w:t>
      </w:r>
      <w:r w:rsidRPr="00D23308">
        <w:t xml:space="preserve"> and </w:t>
      </w:r>
      <w:r w:rsidR="001361FB" w:rsidRPr="00D23308">
        <w:t>0.02 mg </w:t>
      </w:r>
      <w:r w:rsidR="00E72922" w:rsidRPr="00D23308">
        <w:t>ethinylestradiol</w:t>
      </w:r>
      <w:r w:rsidRPr="00D23308">
        <w:t>/</w:t>
      </w:r>
      <w:r w:rsidR="001361FB" w:rsidRPr="00D23308">
        <w:t xml:space="preserve">3 mg </w:t>
      </w:r>
      <w:r w:rsidR="009A2E70" w:rsidRPr="00D23308">
        <w:t>drospirenone</w:t>
      </w:r>
      <w:r w:rsidRPr="00D23308">
        <w:t>.</w:t>
      </w:r>
    </w:p>
    <w:p w14:paraId="2E0A4BE6" w14:textId="738438C8" w:rsidR="003A30A1" w:rsidRPr="00D23308" w:rsidRDefault="003A30A1" w:rsidP="00145304">
      <w:pPr>
        <w:pStyle w:val="Heading5"/>
      </w:pPr>
      <w:r>
        <w:t>Safety in pregnancy</w:t>
      </w:r>
    </w:p>
    <w:p w14:paraId="7A955435" w14:textId="5B840EBF" w:rsidR="00704218" w:rsidRDefault="00704218" w:rsidP="00C41EBD">
      <w:r w:rsidRPr="00D23308">
        <w:t xml:space="preserve">In the pooled Phase </w:t>
      </w:r>
      <w:r w:rsidR="0080147A" w:rsidRPr="00D23308">
        <w:t>III</w:t>
      </w:r>
      <w:r w:rsidRPr="00D23308">
        <w:t xml:space="preserve"> studies, 38 pregnancies were exposed to </w:t>
      </w:r>
      <w:r w:rsidR="00286A63" w:rsidRPr="00D23308">
        <w:t>15 mg estetrol</w:t>
      </w:r>
      <w:r w:rsidR="00537754">
        <w:t xml:space="preserve"> </w:t>
      </w:r>
      <w:r w:rsidR="00286A63" w:rsidRPr="00D23308">
        <w:t>/</w:t>
      </w:r>
      <w:r w:rsidR="00537754">
        <w:t xml:space="preserve"> </w:t>
      </w:r>
      <w:r w:rsidR="00286A63" w:rsidRPr="00D23308">
        <w:t>3</w:t>
      </w:r>
      <w:r w:rsidR="00537754">
        <w:t> </w:t>
      </w:r>
      <w:r w:rsidR="00286A63" w:rsidRPr="00D23308">
        <w:t>mg</w:t>
      </w:r>
      <w:r w:rsidR="00537754">
        <w:t> </w:t>
      </w:r>
      <w:r w:rsidR="00286A63" w:rsidRPr="00D23308">
        <w:t>drospirenone</w:t>
      </w:r>
      <w:r w:rsidRPr="00D23308">
        <w:t xml:space="preserve"> (either on-treatment pregnancies or pre-treatment). Amongst those, 9</w:t>
      </w:r>
      <w:r w:rsidR="001361FB" w:rsidRPr="00D23308">
        <w:t> </w:t>
      </w:r>
      <w:r w:rsidRPr="00D23308">
        <w:t xml:space="preserve">subjects (27.3%) carried the pregnancy to term and delivered a healthy child; 4 subjects (12.1%) had a late preterm delivery of a healthy child; 12 subjects (36.4%) had an elective abortion; 7 subjects (21.2%) had a spontaneous abortion; 2 subjects (6.1%) an ectopic pregnancy; and 4 subjects (12.1%) were lost to follow-up. In the specific evaluation of endometrial safety, the findings were as expected for a </w:t>
      </w:r>
      <w:r w:rsidR="00537754">
        <w:t>combined hormonal contraceptive</w:t>
      </w:r>
      <w:r w:rsidRPr="00D23308">
        <w:t>, with mostly atrophic or inactive endometrium.</w:t>
      </w:r>
    </w:p>
    <w:p w14:paraId="15AF1066" w14:textId="2BF08DCB" w:rsidR="003A30A1" w:rsidRPr="00D23308" w:rsidRDefault="003A30A1" w:rsidP="00145304">
      <w:pPr>
        <w:pStyle w:val="Heading5"/>
      </w:pPr>
      <w:r>
        <w:t>Laboratory and vital findings</w:t>
      </w:r>
    </w:p>
    <w:p w14:paraId="4DCC815F" w14:textId="7436A46D" w:rsidR="00704218" w:rsidRPr="00D23308" w:rsidRDefault="00704218" w:rsidP="00C41EBD">
      <w:r w:rsidRPr="00D23308">
        <w:t xml:space="preserve">No significant changes in </w:t>
      </w:r>
      <w:r w:rsidR="001361FB" w:rsidRPr="00D23308">
        <w:t>carbohydrate</w:t>
      </w:r>
      <w:r w:rsidRPr="00D23308">
        <w:t xml:space="preserve"> metabolism, lipid, liver protein or haemostatic parameters were observed in the Nextstellis clinical studies. </w:t>
      </w:r>
      <w:r w:rsidR="001361FB" w:rsidRPr="00D23308">
        <w:t>Hyperkalaemia</w:t>
      </w:r>
      <w:r w:rsidRPr="00D23308">
        <w:t xml:space="preserve"> (defined as a potassium level &gt;</w:t>
      </w:r>
      <w:r w:rsidR="00537754">
        <w:t xml:space="preserve"> </w:t>
      </w:r>
      <w:r w:rsidRPr="00D23308">
        <w:t xml:space="preserve">5.3 mmol/L) and was reported in 3.2% (120/3790) of the subjects. Overall, </w:t>
      </w:r>
      <w:r w:rsidR="001361FB" w:rsidRPr="00D23308">
        <w:t>hyperkalaemia</w:t>
      </w:r>
      <w:r w:rsidRPr="00D23308">
        <w:t xml:space="preserve"> was mild and transient in </w:t>
      </w:r>
      <w:proofErr w:type="gramStart"/>
      <w:r w:rsidRPr="00D23308">
        <w:t>the majority of</w:t>
      </w:r>
      <w:proofErr w:type="gramEnd"/>
      <w:r w:rsidRPr="00D23308">
        <w:t xml:space="preserve"> subjects, having resolved prior to the end of their study treatment; Only 4 subjects (3.3%) had a potassium level 8.0</w:t>
      </w:r>
      <w:r w:rsidR="00537754">
        <w:t> </w:t>
      </w:r>
      <w:r w:rsidRPr="00D23308">
        <w:t xml:space="preserve">mmol/L or greater and no adverse reactions were attributed to </w:t>
      </w:r>
      <w:r w:rsidR="001361FB" w:rsidRPr="00D23308">
        <w:t>hyperkalaemia</w:t>
      </w:r>
      <w:r w:rsidRPr="00D23308">
        <w:t xml:space="preserve"> and no subjects were discontinued due to elevated potassium levels.</w:t>
      </w:r>
    </w:p>
    <w:p w14:paraId="398BE6C3" w14:textId="0866EFC1" w:rsidR="00704218" w:rsidRPr="00D23308" w:rsidRDefault="00704218" w:rsidP="00C41EBD">
      <w:r w:rsidRPr="00D23308">
        <w:t xml:space="preserve">No meaningful changes in mean blood pressure or heart rate were observed. No </w:t>
      </w:r>
      <w:r w:rsidR="001361FB" w:rsidRPr="00D23308">
        <w:t>electrocardiogram</w:t>
      </w:r>
      <w:r w:rsidRPr="00D23308">
        <w:t xml:space="preserve"> or echocardiography was performed in the Phase </w:t>
      </w:r>
      <w:r w:rsidR="0080147A" w:rsidRPr="00D23308">
        <w:t>III</w:t>
      </w:r>
      <w:r w:rsidRPr="00D23308">
        <w:t xml:space="preserve"> studies and in Study ES-C02. Specific analysis of cardiac safety was performed in </w:t>
      </w:r>
      <w:r w:rsidR="001361FB" w:rsidRPr="00D23308">
        <w:lastRenderedPageBreak/>
        <w:t>Studies </w:t>
      </w:r>
      <w:r w:rsidRPr="00D23308">
        <w:t>MIT</w:t>
      </w:r>
      <w:r w:rsidR="001361FB" w:rsidRPr="00D23308">
        <w:noBreakHyphen/>
      </w:r>
      <w:r w:rsidRPr="00D23308">
        <w:t>Es0001</w:t>
      </w:r>
      <w:r w:rsidR="001361FB" w:rsidRPr="00D23308">
        <w:noBreakHyphen/>
      </w:r>
      <w:r w:rsidRPr="00D23308">
        <w:t xml:space="preserve">C103 and MIT-Es0001-C106. In </w:t>
      </w:r>
      <w:r w:rsidR="001361FB" w:rsidRPr="00D23308">
        <w:t xml:space="preserve">Studies </w:t>
      </w:r>
      <w:r w:rsidRPr="00D23308">
        <w:t>MIT-Es0001-C201 and MIT</w:t>
      </w:r>
      <w:r w:rsidR="00537754">
        <w:noBreakHyphen/>
      </w:r>
      <w:r w:rsidRPr="00D23308">
        <w:t>Es0001-C202, no clinically significant changes or trends were observed for heart rate, PR</w:t>
      </w:r>
      <w:r w:rsidR="00537754">
        <w:t>-</w:t>
      </w:r>
      <w:r w:rsidRPr="00D23308">
        <w:t>interval, QRS duration, QT</w:t>
      </w:r>
      <w:r w:rsidR="00537754">
        <w:t>-</w:t>
      </w:r>
      <w:r w:rsidRPr="00D23308">
        <w:t>interval</w:t>
      </w:r>
      <w:r w:rsidR="00D23308" w:rsidRPr="00D23308">
        <w:t>;</w:t>
      </w:r>
      <w:r w:rsidR="00D23308" w:rsidRPr="00D23308">
        <w:rPr>
          <w:color w:val="2B579A"/>
          <w:shd w:val="clear" w:color="auto" w:fill="E6E6E6"/>
          <w:vertAlign w:val="superscript"/>
        </w:rPr>
        <w:fldChar w:fldCharType="begin"/>
      </w:r>
      <w:r w:rsidR="00D23308" w:rsidRPr="00D23308">
        <w:rPr>
          <w:vertAlign w:val="superscript"/>
        </w:rPr>
        <w:instrText xml:space="preserve"> NOTEREF _Ref106365133 \h  \* MERGEFORMAT </w:instrText>
      </w:r>
      <w:r w:rsidR="00D23308" w:rsidRPr="00D23308">
        <w:rPr>
          <w:color w:val="2B579A"/>
          <w:shd w:val="clear" w:color="auto" w:fill="E6E6E6"/>
          <w:vertAlign w:val="superscript"/>
        </w:rPr>
      </w:r>
      <w:r w:rsidR="00D23308" w:rsidRPr="00D23308">
        <w:rPr>
          <w:color w:val="2B579A"/>
          <w:shd w:val="clear" w:color="auto" w:fill="E6E6E6"/>
          <w:vertAlign w:val="superscript"/>
        </w:rPr>
        <w:fldChar w:fldCharType="separate"/>
      </w:r>
      <w:r w:rsidR="005319AF">
        <w:rPr>
          <w:vertAlign w:val="superscript"/>
        </w:rPr>
        <w:t>13</w:t>
      </w:r>
      <w:r w:rsidR="00D23308" w:rsidRPr="00D23308">
        <w:rPr>
          <w:color w:val="2B579A"/>
          <w:shd w:val="clear" w:color="auto" w:fill="E6E6E6"/>
          <w:vertAlign w:val="superscript"/>
        </w:rPr>
        <w:fldChar w:fldCharType="end"/>
      </w:r>
      <w:r w:rsidRPr="00D23308">
        <w:t xml:space="preserve"> and </w:t>
      </w:r>
      <w:r w:rsidR="00D23308" w:rsidRPr="00D23308">
        <w:t>QT</w:t>
      </w:r>
      <w:r w:rsidR="003A30A1">
        <w:t>-</w:t>
      </w:r>
      <w:r w:rsidR="00D23308" w:rsidRPr="00D23308">
        <w:t>interval corrected for heart rate (</w:t>
      </w:r>
      <w:proofErr w:type="spellStart"/>
      <w:r w:rsidRPr="00D23308">
        <w:t>QTcF</w:t>
      </w:r>
      <w:proofErr w:type="spellEnd"/>
      <w:r w:rsidR="00D23308" w:rsidRPr="00D23308">
        <w:t>)</w:t>
      </w:r>
      <w:r w:rsidRPr="00D23308">
        <w:t xml:space="preserve"> interval.</w:t>
      </w:r>
      <w:r w:rsidR="00D23308" w:rsidRPr="00D23308">
        <w:rPr>
          <w:color w:val="2B579A"/>
          <w:shd w:val="clear" w:color="auto" w:fill="E6E6E6"/>
          <w:vertAlign w:val="superscript"/>
        </w:rPr>
        <w:fldChar w:fldCharType="begin"/>
      </w:r>
      <w:r w:rsidR="00D23308" w:rsidRPr="00D23308">
        <w:rPr>
          <w:vertAlign w:val="superscript"/>
        </w:rPr>
        <w:instrText xml:space="preserve"> NOTEREF _Ref106365133 \h  \* MERGEFORMAT </w:instrText>
      </w:r>
      <w:r w:rsidR="00D23308" w:rsidRPr="00D23308">
        <w:rPr>
          <w:color w:val="2B579A"/>
          <w:shd w:val="clear" w:color="auto" w:fill="E6E6E6"/>
          <w:vertAlign w:val="superscript"/>
        </w:rPr>
      </w:r>
      <w:r w:rsidR="00D23308" w:rsidRPr="00D23308">
        <w:rPr>
          <w:color w:val="2B579A"/>
          <w:shd w:val="clear" w:color="auto" w:fill="E6E6E6"/>
          <w:vertAlign w:val="superscript"/>
        </w:rPr>
        <w:fldChar w:fldCharType="separate"/>
      </w:r>
      <w:r w:rsidR="005319AF">
        <w:rPr>
          <w:vertAlign w:val="superscript"/>
        </w:rPr>
        <w:t>13</w:t>
      </w:r>
      <w:r w:rsidR="00D23308" w:rsidRPr="00D23308">
        <w:rPr>
          <w:color w:val="2B579A"/>
          <w:shd w:val="clear" w:color="auto" w:fill="E6E6E6"/>
          <w:vertAlign w:val="superscript"/>
        </w:rPr>
        <w:fldChar w:fldCharType="end"/>
      </w:r>
    </w:p>
    <w:p w14:paraId="4720AB18" w14:textId="45FBAB3C" w:rsidR="00704218" w:rsidRPr="00D23308" w:rsidRDefault="00704218" w:rsidP="00145304">
      <w:pPr>
        <w:pStyle w:val="Heading5"/>
        <w:rPr>
          <w:rFonts w:eastAsia="TimesNewRoman"/>
        </w:rPr>
      </w:pPr>
      <w:r w:rsidRPr="00D23308">
        <w:rPr>
          <w:rFonts w:eastAsia="TimesNewRoman"/>
        </w:rPr>
        <w:t>Special populations</w:t>
      </w:r>
    </w:p>
    <w:p w14:paraId="4B5092E8" w14:textId="63110482" w:rsidR="00704218" w:rsidRPr="00D23308" w:rsidRDefault="00704218">
      <w:r w:rsidRPr="00D23308">
        <w:t xml:space="preserve">The pivotal Phase </w:t>
      </w:r>
      <w:r w:rsidR="0080147A" w:rsidRPr="00D23308">
        <w:t>III</w:t>
      </w:r>
      <w:r w:rsidRPr="00D23308">
        <w:t xml:space="preserve"> studies included women from 18 years (Study </w:t>
      </w:r>
      <w:r w:rsidR="000759AE" w:rsidRPr="000759AE">
        <w:t>MIT</w:t>
      </w:r>
      <w:r w:rsidR="000759AE">
        <w:noBreakHyphen/>
      </w:r>
      <w:r w:rsidR="000759AE" w:rsidRPr="000759AE">
        <w:t>Es0001</w:t>
      </w:r>
      <w:r w:rsidR="000759AE">
        <w:noBreakHyphen/>
      </w:r>
      <w:r w:rsidR="000759AE" w:rsidRPr="000759AE">
        <w:t>C301</w:t>
      </w:r>
      <w:r w:rsidRPr="00D23308">
        <w:t>) or 16 years (Study</w:t>
      </w:r>
      <w:r w:rsidR="001361FB" w:rsidRPr="00D23308">
        <w:t> </w:t>
      </w:r>
      <w:r w:rsidR="000759AE" w:rsidRPr="00D23308">
        <w:t>MIT</w:t>
      </w:r>
      <w:r w:rsidR="000759AE">
        <w:noBreakHyphen/>
      </w:r>
      <w:r w:rsidR="000759AE" w:rsidRPr="00D23308">
        <w:t>Es0001</w:t>
      </w:r>
      <w:r w:rsidR="000759AE">
        <w:noBreakHyphen/>
      </w:r>
      <w:r w:rsidR="000759AE" w:rsidRPr="00D23308">
        <w:t>C302</w:t>
      </w:r>
      <w:r w:rsidRPr="00D23308">
        <w:t>).</w:t>
      </w:r>
    </w:p>
    <w:p w14:paraId="6D20AA4A" w14:textId="04D5FF48" w:rsidR="00704218" w:rsidRPr="00D23308" w:rsidRDefault="00704218" w:rsidP="00C41EBD">
      <w:r w:rsidRPr="00D23308">
        <w:t xml:space="preserve">When safety data from the </w:t>
      </w:r>
      <w:r w:rsidR="00864110" w:rsidRPr="00D23308">
        <w:t xml:space="preserve">integrated summary of safety </w:t>
      </w:r>
      <w:r w:rsidRPr="00D23308">
        <w:t>population was analysed based on age, there were no apparent differences in distribution of TEAEs between subjects aged ≥</w:t>
      </w:r>
      <w:r w:rsidR="006141E9" w:rsidRPr="00D23308">
        <w:t xml:space="preserve"> </w:t>
      </w:r>
      <w:r w:rsidRPr="00D23308">
        <w:t>16</w:t>
      </w:r>
      <w:r w:rsidR="006141E9" w:rsidRPr="00D23308">
        <w:t xml:space="preserve"> to </w:t>
      </w:r>
      <w:r w:rsidRPr="00D23308">
        <w:t>≤</w:t>
      </w:r>
      <w:r w:rsidR="00535331">
        <w:t xml:space="preserve"> </w:t>
      </w:r>
      <w:r w:rsidRPr="00D23308">
        <w:t>35 years and subjects aged &gt;</w:t>
      </w:r>
      <w:r w:rsidR="006141E9" w:rsidRPr="00D23308">
        <w:t xml:space="preserve"> </w:t>
      </w:r>
      <w:r w:rsidRPr="00D23308">
        <w:t xml:space="preserve">35 </w:t>
      </w:r>
      <w:r w:rsidR="006141E9" w:rsidRPr="00D23308">
        <w:t xml:space="preserve">to </w:t>
      </w:r>
      <w:r w:rsidRPr="00D23308">
        <w:t>≤</w:t>
      </w:r>
      <w:r w:rsidR="006141E9" w:rsidRPr="00D23308">
        <w:t xml:space="preserve"> </w:t>
      </w:r>
      <w:r w:rsidRPr="00D23308">
        <w:t xml:space="preserve">50 years. Data are considered too limited to draw firm conclusions on the effect of weight/BMI, smoking </w:t>
      </w:r>
      <w:proofErr w:type="gramStart"/>
      <w:r w:rsidRPr="00D23308">
        <w:t>status</w:t>
      </w:r>
      <w:proofErr w:type="gramEnd"/>
      <w:r w:rsidRPr="00D23308">
        <w:t xml:space="preserve"> or race on the safety of </w:t>
      </w:r>
      <w:r w:rsidR="009A2E70" w:rsidRPr="00D23308">
        <w:t>estetrol</w:t>
      </w:r>
      <w:r w:rsidRPr="00D23308">
        <w:t>/</w:t>
      </w:r>
      <w:r w:rsidR="009A2E70" w:rsidRPr="00D23308">
        <w:t>drospirenone</w:t>
      </w:r>
      <w:r w:rsidRPr="00D23308">
        <w:t>.</w:t>
      </w:r>
    </w:p>
    <w:p w14:paraId="1931DB30" w14:textId="7122C0DC" w:rsidR="00704218" w:rsidRPr="00D23308" w:rsidRDefault="00704218" w:rsidP="00C41EBD">
      <w:r w:rsidRPr="00D23308">
        <w:t xml:space="preserve">The currently proposed </w:t>
      </w:r>
      <w:r w:rsidR="00323F35">
        <w:t>Product Information</w:t>
      </w:r>
      <w:r w:rsidRPr="00D23308">
        <w:t xml:space="preserve"> includes that </w:t>
      </w:r>
      <w:r w:rsidR="00F818E9" w:rsidRPr="00D23308">
        <w:t>safety</w:t>
      </w:r>
      <w:r w:rsidRPr="00D23308">
        <w:t xml:space="preserve"> and efficacy of </w:t>
      </w:r>
      <w:r w:rsidR="006256DF" w:rsidRPr="00D23308">
        <w:t>Nextstellis</w:t>
      </w:r>
      <w:r w:rsidRPr="00D23308">
        <w:t xml:space="preserve"> have been established in women of reproductive potential, 16</w:t>
      </w:r>
      <w:r w:rsidR="006141E9" w:rsidRPr="00D23308">
        <w:t xml:space="preserve"> to </w:t>
      </w:r>
      <w:r w:rsidRPr="00D23308">
        <w:t>50 years of age.</w:t>
      </w:r>
    </w:p>
    <w:p w14:paraId="11136D9A" w14:textId="08BAAA43" w:rsidR="00704218" w:rsidRPr="00D23308" w:rsidRDefault="00704218" w:rsidP="00704218">
      <w:r w:rsidRPr="00D23308">
        <w:t xml:space="preserve">Known risks with </w:t>
      </w:r>
      <w:r w:rsidR="003A30A1">
        <w:t>combined hormonal contraceptive</w:t>
      </w:r>
      <w:r w:rsidR="003A30A1" w:rsidRPr="00D23308">
        <w:t xml:space="preserve"> </w:t>
      </w:r>
      <w:r w:rsidRPr="00D23308">
        <w:t xml:space="preserve">in hepatic impairment and the potentially increased risk of hyperkalaemia from </w:t>
      </w:r>
      <w:r w:rsidR="009A2E70" w:rsidRPr="00D23308">
        <w:t>drospirenone</w:t>
      </w:r>
      <w:r w:rsidRPr="00D23308">
        <w:t xml:space="preserve"> in patients with renal impairment are handled by standard contraindications and warnings in the </w:t>
      </w:r>
      <w:r w:rsidR="00323F35">
        <w:t>Product Information</w:t>
      </w:r>
      <w:r w:rsidRPr="00D23308">
        <w:t>.</w:t>
      </w:r>
    </w:p>
    <w:p w14:paraId="6F06AC06" w14:textId="77777777" w:rsidR="008E7846" w:rsidRPr="00D23308" w:rsidRDefault="00386150" w:rsidP="007B6132">
      <w:pPr>
        <w:pStyle w:val="Heading3"/>
        <w:rPr>
          <w:lang w:eastAsia="en-AU"/>
        </w:rPr>
      </w:pPr>
      <w:bookmarkStart w:id="60" w:name="_Toc314842514"/>
      <w:bookmarkStart w:id="61" w:name="_Toc109301847"/>
      <w:r w:rsidRPr="00D23308">
        <w:rPr>
          <w:lang w:eastAsia="en-AU"/>
        </w:rPr>
        <w:t>Risk m</w:t>
      </w:r>
      <w:r w:rsidR="008E7846" w:rsidRPr="00D23308">
        <w:rPr>
          <w:lang w:eastAsia="en-AU"/>
        </w:rPr>
        <w:t xml:space="preserve">anagement </w:t>
      </w:r>
      <w:r w:rsidRPr="00D23308">
        <w:rPr>
          <w:lang w:eastAsia="en-AU"/>
        </w:rPr>
        <w:t>p</w:t>
      </w:r>
      <w:r w:rsidR="008E7846" w:rsidRPr="00D23308">
        <w:rPr>
          <w:lang w:eastAsia="en-AU"/>
        </w:rPr>
        <w:t>lan</w:t>
      </w:r>
      <w:bookmarkEnd w:id="60"/>
      <w:bookmarkEnd w:id="61"/>
    </w:p>
    <w:p w14:paraId="25BCE69C" w14:textId="23F17CC5" w:rsidR="00704218" w:rsidRPr="00D23308" w:rsidRDefault="002A05FC" w:rsidP="00C41EBD">
      <w:bookmarkStart w:id="62" w:name="_Toc247691531"/>
      <w:bookmarkStart w:id="63" w:name="_Toc314842515"/>
      <w:bookmarkStart w:id="64" w:name="_Toc196046505"/>
      <w:bookmarkStart w:id="65" w:name="_Toc196046949"/>
      <w:r w:rsidRPr="00D23308">
        <w:t xml:space="preserve">The sponsor </w:t>
      </w:r>
      <w:r w:rsidR="00704218" w:rsidRPr="00D23308">
        <w:t>has submitted EU-</w:t>
      </w:r>
      <w:r w:rsidR="00BF2A8F" w:rsidRPr="00D23308">
        <w:t>risk management plan (</w:t>
      </w:r>
      <w:r w:rsidR="00704218" w:rsidRPr="00D23308">
        <w:t>RMP</w:t>
      </w:r>
      <w:r w:rsidR="00BF2A8F" w:rsidRPr="00D23308">
        <w:t>)</w:t>
      </w:r>
      <w:r w:rsidR="00704218" w:rsidRPr="00D23308">
        <w:t xml:space="preserve"> version 0.2 (dated 20 February 2020; </w:t>
      </w:r>
      <w:r w:rsidR="00BF2A8F" w:rsidRPr="00D23308">
        <w:t>data lock point (</w:t>
      </w:r>
      <w:r w:rsidR="00704218" w:rsidRPr="00D23308">
        <w:t>DLP</w:t>
      </w:r>
      <w:r w:rsidR="00BF2A8F" w:rsidRPr="00D23308">
        <w:t>)</w:t>
      </w:r>
      <w:r w:rsidR="00704218" w:rsidRPr="00D23308">
        <w:t xml:space="preserve"> 31</w:t>
      </w:r>
      <w:r w:rsidR="006141E9" w:rsidRPr="00D23308">
        <w:t> </w:t>
      </w:r>
      <w:r w:rsidR="00704218" w:rsidRPr="00D23308">
        <w:t>October</w:t>
      </w:r>
      <w:r w:rsidR="006141E9" w:rsidRPr="00D23308">
        <w:t> </w:t>
      </w:r>
      <w:r w:rsidR="00704218" w:rsidRPr="00D23308">
        <w:t xml:space="preserve">2019) and </w:t>
      </w:r>
      <w:r w:rsidR="00BF2A8F" w:rsidRPr="00D23308">
        <w:t>Australia specific annex (</w:t>
      </w:r>
      <w:r w:rsidR="00704218" w:rsidRPr="00D23308">
        <w:t>ASA</w:t>
      </w:r>
      <w:r w:rsidR="00BF2A8F" w:rsidRPr="00D23308">
        <w:t>)</w:t>
      </w:r>
      <w:r w:rsidR="00704218" w:rsidRPr="00D23308">
        <w:t xml:space="preserve"> version 0.1 (dated 26 August 2020) in support of this application. At </w:t>
      </w:r>
      <w:r w:rsidR="006141E9" w:rsidRPr="00D23308">
        <w:t>the second round of evaluation</w:t>
      </w:r>
      <w:r w:rsidR="00704218" w:rsidRPr="00D23308">
        <w:t>, the sponsor has submitted EU-RMP version</w:t>
      </w:r>
      <w:r w:rsidR="006141E9" w:rsidRPr="00D23308">
        <w:t> </w:t>
      </w:r>
      <w:r w:rsidR="00704218" w:rsidRPr="00D23308">
        <w:t>0.7 (dated 17 March 2021; DLP 31 October 2019) and ASA version 0.2 (dated 28</w:t>
      </w:r>
      <w:r w:rsidR="006141E9" w:rsidRPr="00D23308">
        <w:t> </w:t>
      </w:r>
      <w:r w:rsidR="00704218" w:rsidRPr="00D23308">
        <w:t xml:space="preserve">April 2021) in support of this </w:t>
      </w:r>
      <w:r w:rsidR="006141E9" w:rsidRPr="00D23308">
        <w:t>submission</w:t>
      </w:r>
      <w:r w:rsidR="00704218" w:rsidRPr="00D23308">
        <w:t>.</w:t>
      </w:r>
    </w:p>
    <w:p w14:paraId="6BCD3A8D" w14:textId="565F8DE4" w:rsidR="0074163C" w:rsidRPr="00D23308" w:rsidRDefault="0074163C" w:rsidP="00C41EBD">
      <w:r w:rsidRPr="00D23308">
        <w:t xml:space="preserve">The summary of safety concerns and their associated risk monitoring and mitigation strategies are summarised in </w:t>
      </w:r>
      <w:r w:rsidR="006141E9" w:rsidRPr="00D23308">
        <w:rPr>
          <w:color w:val="2B579A"/>
          <w:shd w:val="clear" w:color="auto" w:fill="E6E6E6"/>
        </w:rPr>
        <w:fldChar w:fldCharType="begin"/>
      </w:r>
      <w:r w:rsidR="006141E9" w:rsidRPr="00D23308">
        <w:instrText xml:space="preserve"> REF _Ref97629131 \h </w:instrText>
      </w:r>
      <w:r w:rsidR="00D23308">
        <w:instrText xml:space="preserve"> \* MERGEFORMAT </w:instrText>
      </w:r>
      <w:r w:rsidR="006141E9" w:rsidRPr="00D23308">
        <w:rPr>
          <w:color w:val="2B579A"/>
          <w:shd w:val="clear" w:color="auto" w:fill="E6E6E6"/>
        </w:rPr>
      </w:r>
      <w:r w:rsidR="006141E9" w:rsidRPr="00D23308">
        <w:rPr>
          <w:color w:val="2B579A"/>
          <w:shd w:val="clear" w:color="auto" w:fill="E6E6E6"/>
        </w:rPr>
        <w:fldChar w:fldCharType="separate"/>
      </w:r>
      <w:r w:rsidR="005319AF" w:rsidRPr="00D67ED2">
        <w:t xml:space="preserve">Table </w:t>
      </w:r>
      <w:r w:rsidR="005319AF">
        <w:rPr>
          <w:noProof/>
        </w:rPr>
        <w:t>12</w:t>
      </w:r>
      <w:r w:rsidR="006141E9" w:rsidRPr="00D23308">
        <w:rPr>
          <w:color w:val="2B579A"/>
          <w:shd w:val="clear" w:color="auto" w:fill="E6E6E6"/>
        </w:rPr>
        <w:fldChar w:fldCharType="end"/>
      </w:r>
      <w:r w:rsidRPr="00D23308">
        <w:t xml:space="preserve">. Further information regarding </w:t>
      </w:r>
      <w:r w:rsidR="00CC5044" w:rsidRPr="00D23308">
        <w:t>the TGA</w:t>
      </w:r>
      <w:r w:rsidR="00BF7063" w:rsidRPr="00D23308">
        <w:t>’</w:t>
      </w:r>
      <w:r w:rsidR="00CC5044" w:rsidRPr="00D23308">
        <w:t>s r</w:t>
      </w:r>
      <w:r w:rsidRPr="00D23308">
        <w:t xml:space="preserve">isk management approach can be found in </w:t>
      </w:r>
      <w:hyperlink r:id="rId32" w:history="1">
        <w:r w:rsidRPr="00D23308">
          <w:rPr>
            <w:rStyle w:val="Hyperlink"/>
          </w:rPr>
          <w:t>risk management plans for medicines and biologicals</w:t>
        </w:r>
      </w:hyperlink>
      <w:r w:rsidRPr="00D23308">
        <w:t xml:space="preserve"> and </w:t>
      </w:r>
      <w:hyperlink r:id="rId33" w:history="1">
        <w:r w:rsidRPr="00D23308">
          <w:rPr>
            <w:rStyle w:val="Hyperlink"/>
          </w:rPr>
          <w:t>the TGA's risk management approach</w:t>
        </w:r>
      </w:hyperlink>
      <w:r w:rsidRPr="00D23308">
        <w:t>.</w:t>
      </w:r>
    </w:p>
    <w:p w14:paraId="3B4C2530" w14:textId="07D82E28" w:rsidR="0074163C" w:rsidRPr="00D67ED2" w:rsidRDefault="0074163C" w:rsidP="00D67ED2">
      <w:pPr>
        <w:pStyle w:val="TableTitle"/>
      </w:pPr>
      <w:bookmarkStart w:id="66" w:name="_Ref97629131"/>
      <w:r w:rsidRPr="00D67ED2">
        <w:t xml:space="preserve">Table </w:t>
      </w:r>
      <w:r w:rsidRPr="00D67ED2">
        <w:fldChar w:fldCharType="begin"/>
      </w:r>
      <w:r w:rsidRPr="00D67ED2">
        <w:instrText>SEQ Table \* ARABIC</w:instrText>
      </w:r>
      <w:r w:rsidRPr="00D67ED2">
        <w:fldChar w:fldCharType="separate"/>
      </w:r>
      <w:r w:rsidR="005319AF">
        <w:rPr>
          <w:noProof/>
        </w:rPr>
        <w:t>12</w:t>
      </w:r>
      <w:r w:rsidRPr="00D67ED2">
        <w:fldChar w:fldCharType="end"/>
      </w:r>
      <w:bookmarkEnd w:id="66"/>
      <w:r w:rsidRPr="00D67ED2">
        <w:t>: Summary of safety concerns</w:t>
      </w:r>
    </w:p>
    <w:tbl>
      <w:tblPr>
        <w:tblStyle w:val="TableTGAblue"/>
        <w:tblW w:w="8354" w:type="dxa"/>
        <w:tblLayout w:type="fixed"/>
        <w:tblLook w:val="04A0" w:firstRow="1" w:lastRow="0" w:firstColumn="1" w:lastColumn="0" w:noHBand="0" w:noVBand="1"/>
      </w:tblPr>
      <w:tblGrid>
        <w:gridCol w:w="1327"/>
        <w:gridCol w:w="2774"/>
        <w:gridCol w:w="992"/>
        <w:gridCol w:w="1134"/>
        <w:gridCol w:w="993"/>
        <w:gridCol w:w="1134"/>
      </w:tblGrid>
      <w:tr w:rsidR="00704218" w:rsidRPr="00D23308" w14:paraId="4EBC1DF9" w14:textId="77777777" w:rsidTr="00CE0095">
        <w:trPr>
          <w:cnfStyle w:val="100000000000" w:firstRow="1" w:lastRow="0" w:firstColumn="0" w:lastColumn="0" w:oddVBand="0" w:evenVBand="0" w:oddHBand="0" w:evenHBand="0" w:firstRowFirstColumn="0" w:firstRowLastColumn="0" w:lastRowFirstColumn="0" w:lastRowLastColumn="0"/>
          <w:trHeight w:val="131"/>
        </w:trPr>
        <w:tc>
          <w:tcPr>
            <w:tcW w:w="4101" w:type="dxa"/>
            <w:gridSpan w:val="2"/>
            <w:vMerge w:val="restart"/>
            <w:tcBorders>
              <w:top w:val="single" w:sz="4" w:space="0" w:color="auto"/>
              <w:left w:val="single" w:sz="4" w:space="0" w:color="auto"/>
              <w:bottom w:val="single" w:sz="4" w:space="0" w:color="auto"/>
              <w:right w:val="single" w:sz="4" w:space="0" w:color="auto"/>
            </w:tcBorders>
          </w:tcPr>
          <w:p w14:paraId="2C930BA4" w14:textId="77777777" w:rsidR="00704218" w:rsidRPr="00D23308" w:rsidRDefault="00704218" w:rsidP="006E1E32">
            <w:pPr>
              <w:pStyle w:val="Tabletext"/>
              <w:ind w:left="0" w:right="0"/>
              <w:rPr>
                <w:bCs/>
              </w:rPr>
            </w:pPr>
            <w:r w:rsidRPr="00D23308">
              <w:rPr>
                <w:bCs/>
              </w:rPr>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20325D49" w14:textId="77777777" w:rsidR="00704218" w:rsidRPr="00D23308" w:rsidRDefault="00704218" w:rsidP="006E1E32">
            <w:pPr>
              <w:pStyle w:val="Tabletext"/>
              <w:ind w:left="0" w:right="0"/>
              <w:rPr>
                <w:bCs/>
                <w:sz w:val="18"/>
              </w:rPr>
            </w:pPr>
            <w:r w:rsidRPr="00D23308">
              <w:rPr>
                <w:bCs/>
                <w:sz w:val="18"/>
              </w:rPr>
              <w:t>Pharmacovigilance</w:t>
            </w:r>
          </w:p>
        </w:tc>
        <w:tc>
          <w:tcPr>
            <w:tcW w:w="2127" w:type="dxa"/>
            <w:gridSpan w:val="2"/>
            <w:tcBorders>
              <w:top w:val="single" w:sz="4" w:space="0" w:color="auto"/>
              <w:left w:val="single" w:sz="4" w:space="0" w:color="auto"/>
              <w:bottom w:val="single" w:sz="4" w:space="0" w:color="auto"/>
              <w:right w:val="single" w:sz="4" w:space="0" w:color="auto"/>
            </w:tcBorders>
          </w:tcPr>
          <w:p w14:paraId="473170AB" w14:textId="77777777" w:rsidR="00704218" w:rsidRPr="00D23308" w:rsidRDefault="00704218" w:rsidP="006E1E32">
            <w:pPr>
              <w:pStyle w:val="Tabletext"/>
              <w:ind w:left="0" w:right="0"/>
              <w:rPr>
                <w:bCs/>
                <w:sz w:val="18"/>
              </w:rPr>
            </w:pPr>
            <w:r w:rsidRPr="00D23308">
              <w:rPr>
                <w:bCs/>
                <w:sz w:val="18"/>
              </w:rPr>
              <w:t>Risk Minimisation</w:t>
            </w:r>
          </w:p>
        </w:tc>
      </w:tr>
      <w:tr w:rsidR="00704218" w:rsidRPr="00D23308" w14:paraId="2623C86E" w14:textId="77777777" w:rsidTr="00CE0095">
        <w:trPr>
          <w:trHeight w:val="150"/>
        </w:trPr>
        <w:tc>
          <w:tcPr>
            <w:tcW w:w="4101" w:type="dxa"/>
            <w:gridSpan w:val="2"/>
            <w:vMerge/>
            <w:tcBorders>
              <w:top w:val="single" w:sz="4" w:space="0" w:color="auto"/>
              <w:left w:val="single" w:sz="4" w:space="0" w:color="auto"/>
              <w:bottom w:val="single" w:sz="4" w:space="0" w:color="auto"/>
              <w:right w:val="single" w:sz="4" w:space="0" w:color="auto"/>
            </w:tcBorders>
            <w:shd w:val="clear" w:color="auto" w:fill="006DA7"/>
          </w:tcPr>
          <w:p w14:paraId="21D6A8BC" w14:textId="77777777" w:rsidR="00704218" w:rsidRPr="00D23308" w:rsidRDefault="00704218" w:rsidP="006E1E32">
            <w:pPr>
              <w:pStyle w:val="Tabletext"/>
              <w:ind w:left="0" w:right="0"/>
              <w:rPr>
                <w:b/>
                <w:bCs/>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4313EE84" w14:textId="77777777" w:rsidR="00704218" w:rsidRPr="00D23308" w:rsidRDefault="00704218" w:rsidP="006E1E32">
            <w:pPr>
              <w:pStyle w:val="Tabletext"/>
              <w:ind w:left="0" w:right="0"/>
              <w:rPr>
                <w:b/>
                <w:bCs/>
                <w:color w:val="FFFFFF" w:themeColor="background1"/>
                <w:sz w:val="18"/>
              </w:rPr>
            </w:pPr>
            <w:r w:rsidRPr="00D23308">
              <w:rPr>
                <w:b/>
                <w:bCs/>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6EB21CF6" w14:textId="77777777" w:rsidR="00704218" w:rsidRPr="00D23308" w:rsidRDefault="00704218" w:rsidP="006E1E32">
            <w:pPr>
              <w:pStyle w:val="Tabletext"/>
              <w:ind w:left="0" w:right="0"/>
              <w:rPr>
                <w:b/>
                <w:bCs/>
                <w:color w:val="FFFFFF" w:themeColor="background1"/>
                <w:sz w:val="18"/>
              </w:rPr>
            </w:pPr>
            <w:r w:rsidRPr="00D23308">
              <w:rPr>
                <w:b/>
                <w:bCs/>
                <w:color w:val="FFFFFF" w:themeColor="background1"/>
                <w:sz w:val="18"/>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420DEF7F" w14:textId="77777777" w:rsidR="00704218" w:rsidRPr="00D23308" w:rsidRDefault="00704218" w:rsidP="006E1E32">
            <w:pPr>
              <w:pStyle w:val="Tabletext"/>
              <w:ind w:left="0" w:right="0"/>
              <w:rPr>
                <w:b/>
                <w:bCs/>
                <w:color w:val="FFFFFF" w:themeColor="background1"/>
                <w:sz w:val="18"/>
              </w:rPr>
            </w:pPr>
            <w:r w:rsidRPr="00D23308">
              <w:rPr>
                <w:b/>
                <w:bCs/>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BA9A4CB" w14:textId="77777777" w:rsidR="00704218" w:rsidRPr="00D23308" w:rsidRDefault="00704218" w:rsidP="006E1E32">
            <w:pPr>
              <w:pStyle w:val="Tabletext"/>
              <w:ind w:left="0" w:right="0"/>
              <w:rPr>
                <w:b/>
                <w:bCs/>
                <w:color w:val="FFFFFF" w:themeColor="background1"/>
                <w:sz w:val="18"/>
              </w:rPr>
            </w:pPr>
            <w:r w:rsidRPr="00D23308">
              <w:rPr>
                <w:b/>
                <w:bCs/>
                <w:color w:val="FFFFFF" w:themeColor="background1"/>
                <w:sz w:val="18"/>
              </w:rPr>
              <w:t>Additional</w:t>
            </w:r>
          </w:p>
        </w:tc>
      </w:tr>
      <w:tr w:rsidR="00704218" w:rsidRPr="00D23308" w14:paraId="6CAA98A3" w14:textId="77777777" w:rsidTr="00CE0095">
        <w:trPr>
          <w:trHeight w:val="137"/>
        </w:trPr>
        <w:tc>
          <w:tcPr>
            <w:tcW w:w="1327" w:type="dxa"/>
            <w:vMerge w:val="restart"/>
            <w:tcBorders>
              <w:top w:val="single" w:sz="4" w:space="0" w:color="auto"/>
            </w:tcBorders>
          </w:tcPr>
          <w:p w14:paraId="45CCDEC8" w14:textId="77777777" w:rsidR="00704218" w:rsidRPr="00D23308" w:rsidRDefault="00704218" w:rsidP="006E1E32">
            <w:pPr>
              <w:pStyle w:val="Tabletext"/>
              <w:ind w:left="0" w:right="0"/>
              <w:rPr>
                <w:b/>
              </w:rPr>
            </w:pPr>
            <w:r w:rsidRPr="00D23308">
              <w:rPr>
                <w:b/>
              </w:rPr>
              <w:t>Important identified risks</w:t>
            </w:r>
          </w:p>
        </w:tc>
        <w:tc>
          <w:tcPr>
            <w:tcW w:w="2774" w:type="dxa"/>
            <w:tcBorders>
              <w:top w:val="single" w:sz="4" w:space="0" w:color="auto"/>
            </w:tcBorders>
          </w:tcPr>
          <w:p w14:paraId="023BED1A" w14:textId="43003A84" w:rsidR="00704218" w:rsidRPr="00D23308" w:rsidRDefault="00704218" w:rsidP="006E1E32">
            <w:pPr>
              <w:autoSpaceDE w:val="0"/>
              <w:autoSpaceDN w:val="0"/>
              <w:adjustRightInd w:val="0"/>
              <w:ind w:left="0" w:right="0"/>
              <w:rPr>
                <w:sz w:val="20"/>
                <w:szCs w:val="20"/>
              </w:rPr>
            </w:pPr>
            <w:r w:rsidRPr="00D23308">
              <w:rPr>
                <w:sz w:val="20"/>
                <w:szCs w:val="20"/>
              </w:rPr>
              <w:t>Venous thromboembolism</w:t>
            </w:r>
          </w:p>
        </w:tc>
        <w:tc>
          <w:tcPr>
            <w:tcW w:w="992" w:type="dxa"/>
            <w:tcBorders>
              <w:top w:val="single" w:sz="4" w:space="0" w:color="auto"/>
            </w:tcBorders>
          </w:tcPr>
          <w:p w14:paraId="5003A4A8"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Borders>
              <w:top w:val="single" w:sz="4" w:space="0" w:color="auto"/>
            </w:tcBorders>
          </w:tcPr>
          <w:p w14:paraId="36D0B34D" w14:textId="77777777" w:rsidR="00704218" w:rsidRPr="00D23308" w:rsidRDefault="00704218" w:rsidP="006E1E32">
            <w:pPr>
              <w:pStyle w:val="Tabletext"/>
              <w:ind w:left="0" w:right="0"/>
              <w:jc w:val="center"/>
            </w:pPr>
            <w:r w:rsidRPr="00D23308">
              <w:rPr>
                <w:rFonts w:ascii="Wingdings" w:eastAsia="Wingdings" w:hAnsi="Wingdings" w:cs="Wingdings"/>
              </w:rPr>
              <w:t></w:t>
            </w:r>
            <w:r w:rsidRPr="00D23308">
              <w:t>*</w:t>
            </w:r>
          </w:p>
        </w:tc>
        <w:tc>
          <w:tcPr>
            <w:tcW w:w="993" w:type="dxa"/>
            <w:tcBorders>
              <w:top w:val="single" w:sz="4" w:space="0" w:color="auto"/>
            </w:tcBorders>
          </w:tcPr>
          <w:p w14:paraId="7F7B5B86"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Borders>
              <w:top w:val="single" w:sz="4" w:space="0" w:color="auto"/>
            </w:tcBorders>
          </w:tcPr>
          <w:p w14:paraId="3A73199E" w14:textId="77777777" w:rsidR="00704218" w:rsidRPr="00D23308" w:rsidRDefault="00704218" w:rsidP="006E1E32">
            <w:pPr>
              <w:pStyle w:val="Tabletext"/>
              <w:ind w:left="0" w:right="0"/>
              <w:jc w:val="center"/>
            </w:pPr>
            <w:r w:rsidRPr="00D23308">
              <w:rPr>
                <w:rFonts w:ascii="Wingdings" w:eastAsia="Wingdings" w:hAnsi="Wingdings" w:cs="Wingdings"/>
              </w:rPr>
              <w:t></w:t>
            </w:r>
            <w:r w:rsidRPr="00D23308">
              <w:t>*</w:t>
            </w:r>
          </w:p>
        </w:tc>
      </w:tr>
      <w:tr w:rsidR="00704218" w:rsidRPr="00D23308" w14:paraId="4B81EAEA" w14:textId="77777777" w:rsidTr="00CE0095">
        <w:trPr>
          <w:trHeight w:val="187"/>
        </w:trPr>
        <w:tc>
          <w:tcPr>
            <w:tcW w:w="1327" w:type="dxa"/>
            <w:vMerge/>
          </w:tcPr>
          <w:p w14:paraId="67AEA80A" w14:textId="77777777" w:rsidR="00704218" w:rsidRPr="00D23308" w:rsidRDefault="00704218" w:rsidP="006E1E32">
            <w:pPr>
              <w:pStyle w:val="Tabletext"/>
              <w:ind w:left="0" w:right="0"/>
              <w:rPr>
                <w:b/>
              </w:rPr>
            </w:pPr>
          </w:p>
        </w:tc>
        <w:tc>
          <w:tcPr>
            <w:tcW w:w="2774" w:type="dxa"/>
          </w:tcPr>
          <w:p w14:paraId="3271672B" w14:textId="626BB42D" w:rsidR="00704218" w:rsidRPr="00D23308" w:rsidRDefault="00704218" w:rsidP="006E1E32">
            <w:pPr>
              <w:pStyle w:val="Tabletext"/>
              <w:ind w:left="0" w:right="0"/>
            </w:pPr>
            <w:r w:rsidRPr="00D23308">
              <w:t>Arterial thromboembolism</w:t>
            </w:r>
          </w:p>
        </w:tc>
        <w:tc>
          <w:tcPr>
            <w:tcW w:w="992" w:type="dxa"/>
          </w:tcPr>
          <w:p w14:paraId="438FA6CD"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Pr>
          <w:p w14:paraId="78FED991" w14:textId="77777777" w:rsidR="00704218" w:rsidRPr="00D23308" w:rsidRDefault="00704218" w:rsidP="006E1E32">
            <w:pPr>
              <w:pStyle w:val="Tabletext"/>
              <w:ind w:left="0" w:right="0"/>
              <w:jc w:val="center"/>
            </w:pPr>
            <w:r w:rsidRPr="00D23308">
              <w:rPr>
                <w:rFonts w:ascii="Wingdings" w:eastAsia="Wingdings" w:hAnsi="Wingdings" w:cs="Wingdings"/>
              </w:rPr>
              <w:t></w:t>
            </w:r>
            <w:r w:rsidRPr="00D23308">
              <w:t>**</w:t>
            </w:r>
          </w:p>
        </w:tc>
        <w:tc>
          <w:tcPr>
            <w:tcW w:w="993" w:type="dxa"/>
          </w:tcPr>
          <w:p w14:paraId="63ED7A5F"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Pr>
          <w:p w14:paraId="287C8187" w14:textId="77777777" w:rsidR="00704218" w:rsidRPr="00D23308" w:rsidRDefault="00704218" w:rsidP="006E1E32">
            <w:pPr>
              <w:pStyle w:val="Tabletext"/>
              <w:ind w:left="0" w:right="0"/>
              <w:jc w:val="center"/>
            </w:pPr>
            <w:r w:rsidRPr="00D23308">
              <w:rPr>
                <w:rFonts w:ascii="Wingdings" w:eastAsia="Wingdings" w:hAnsi="Wingdings" w:cs="Wingdings"/>
              </w:rPr>
              <w:t></w:t>
            </w:r>
            <w:r w:rsidRPr="00D23308">
              <w:t>*</w:t>
            </w:r>
          </w:p>
        </w:tc>
      </w:tr>
      <w:tr w:rsidR="00704218" w:rsidRPr="00D23308" w14:paraId="038C081A" w14:textId="77777777" w:rsidTr="00CE0095">
        <w:trPr>
          <w:trHeight w:val="889"/>
        </w:trPr>
        <w:tc>
          <w:tcPr>
            <w:tcW w:w="1327" w:type="dxa"/>
          </w:tcPr>
          <w:p w14:paraId="521DE8CD" w14:textId="77777777" w:rsidR="00704218" w:rsidRPr="00D23308" w:rsidRDefault="00704218" w:rsidP="006E1E32">
            <w:pPr>
              <w:pStyle w:val="Tabletext"/>
              <w:ind w:left="0" w:right="0"/>
              <w:rPr>
                <w:b/>
              </w:rPr>
            </w:pPr>
            <w:r w:rsidRPr="00D23308">
              <w:rPr>
                <w:b/>
              </w:rPr>
              <w:t>Important potential risks</w:t>
            </w:r>
          </w:p>
        </w:tc>
        <w:tc>
          <w:tcPr>
            <w:tcW w:w="2774" w:type="dxa"/>
          </w:tcPr>
          <w:p w14:paraId="6078D97C" w14:textId="77777777" w:rsidR="00704218" w:rsidRPr="00D23308" w:rsidRDefault="00704218" w:rsidP="006E1E32">
            <w:pPr>
              <w:pStyle w:val="Tabletext"/>
              <w:ind w:left="0" w:right="0"/>
            </w:pPr>
            <w:r w:rsidRPr="00D23308">
              <w:t>None</w:t>
            </w:r>
          </w:p>
        </w:tc>
        <w:tc>
          <w:tcPr>
            <w:tcW w:w="992" w:type="dxa"/>
          </w:tcPr>
          <w:p w14:paraId="173C6229" w14:textId="77777777" w:rsidR="00704218" w:rsidRPr="00D23308" w:rsidRDefault="00704218" w:rsidP="006E1E32">
            <w:pPr>
              <w:pStyle w:val="Tabletext"/>
              <w:ind w:left="0" w:right="0"/>
              <w:jc w:val="center"/>
            </w:pPr>
          </w:p>
        </w:tc>
        <w:tc>
          <w:tcPr>
            <w:tcW w:w="1134" w:type="dxa"/>
          </w:tcPr>
          <w:p w14:paraId="028E78E5" w14:textId="77777777" w:rsidR="00704218" w:rsidRPr="00D23308" w:rsidRDefault="00704218" w:rsidP="006E1E32">
            <w:pPr>
              <w:pStyle w:val="Tabletext"/>
              <w:ind w:left="0" w:right="0"/>
              <w:jc w:val="center"/>
            </w:pPr>
          </w:p>
        </w:tc>
        <w:tc>
          <w:tcPr>
            <w:tcW w:w="993" w:type="dxa"/>
          </w:tcPr>
          <w:p w14:paraId="2EC08CEF" w14:textId="77777777" w:rsidR="00704218" w:rsidRPr="00D23308" w:rsidRDefault="00704218" w:rsidP="006E1E32">
            <w:pPr>
              <w:pStyle w:val="Tabletext"/>
              <w:ind w:left="0" w:right="0"/>
              <w:jc w:val="center"/>
            </w:pPr>
          </w:p>
        </w:tc>
        <w:tc>
          <w:tcPr>
            <w:tcW w:w="1134" w:type="dxa"/>
          </w:tcPr>
          <w:p w14:paraId="2BEB78F5" w14:textId="77777777" w:rsidR="00704218" w:rsidRPr="00D23308" w:rsidRDefault="00704218" w:rsidP="006E1E32">
            <w:pPr>
              <w:pStyle w:val="Tabletext"/>
              <w:ind w:left="0" w:right="0"/>
              <w:jc w:val="center"/>
            </w:pPr>
          </w:p>
        </w:tc>
      </w:tr>
      <w:tr w:rsidR="00704218" w:rsidRPr="00D23308" w14:paraId="4747FFBA" w14:textId="77777777" w:rsidTr="00CE0095">
        <w:trPr>
          <w:trHeight w:val="889"/>
        </w:trPr>
        <w:tc>
          <w:tcPr>
            <w:tcW w:w="1327" w:type="dxa"/>
          </w:tcPr>
          <w:p w14:paraId="2E1F90A8" w14:textId="77777777" w:rsidR="00704218" w:rsidRPr="00D23308" w:rsidRDefault="00704218" w:rsidP="006E1E32">
            <w:pPr>
              <w:pStyle w:val="Tabletext"/>
              <w:ind w:left="0" w:right="0"/>
              <w:rPr>
                <w:b/>
              </w:rPr>
            </w:pPr>
            <w:r w:rsidRPr="00D23308">
              <w:rPr>
                <w:b/>
              </w:rPr>
              <w:t>Missing information</w:t>
            </w:r>
          </w:p>
        </w:tc>
        <w:tc>
          <w:tcPr>
            <w:tcW w:w="2774" w:type="dxa"/>
          </w:tcPr>
          <w:p w14:paraId="0BFD5440" w14:textId="3D2803D5" w:rsidR="00704218" w:rsidRPr="00112318" w:rsidRDefault="00704218" w:rsidP="006E1E32">
            <w:pPr>
              <w:pStyle w:val="Tabletext"/>
              <w:ind w:left="0" w:right="0"/>
              <w:rPr>
                <w:iCs/>
                <w:strike/>
              </w:rPr>
            </w:pPr>
            <w:r w:rsidRPr="00112318">
              <w:rPr>
                <w:iCs/>
              </w:rPr>
              <w:t>Exposure during pregnancy</w:t>
            </w:r>
          </w:p>
        </w:tc>
        <w:tc>
          <w:tcPr>
            <w:tcW w:w="992" w:type="dxa"/>
          </w:tcPr>
          <w:p w14:paraId="1095DF37"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Pr>
          <w:p w14:paraId="60A0EACA" w14:textId="77777777" w:rsidR="00704218" w:rsidRPr="00D23308" w:rsidRDefault="00704218" w:rsidP="006E1E32">
            <w:pPr>
              <w:pStyle w:val="Tabletext"/>
              <w:ind w:left="0" w:right="0"/>
              <w:jc w:val="center"/>
            </w:pPr>
            <w:r w:rsidRPr="00D23308">
              <w:rPr>
                <w:rFonts w:ascii="Wingdings" w:eastAsia="Wingdings" w:hAnsi="Wingdings" w:cs="Wingdings"/>
              </w:rPr>
              <w:t></w:t>
            </w:r>
            <w:r w:rsidRPr="00D23308">
              <w:t>**</w:t>
            </w:r>
          </w:p>
        </w:tc>
        <w:tc>
          <w:tcPr>
            <w:tcW w:w="993" w:type="dxa"/>
          </w:tcPr>
          <w:p w14:paraId="185C2EDD" w14:textId="77777777" w:rsidR="00704218" w:rsidRPr="00D23308" w:rsidRDefault="00704218" w:rsidP="006E1E32">
            <w:pPr>
              <w:pStyle w:val="Tabletext"/>
              <w:ind w:left="0" w:right="0"/>
              <w:jc w:val="center"/>
            </w:pPr>
            <w:r w:rsidRPr="00D23308">
              <w:rPr>
                <w:rFonts w:ascii="Wingdings" w:eastAsia="Wingdings" w:hAnsi="Wingdings" w:cs="Wingdings"/>
              </w:rPr>
              <w:t></w:t>
            </w:r>
          </w:p>
        </w:tc>
        <w:tc>
          <w:tcPr>
            <w:tcW w:w="1134" w:type="dxa"/>
          </w:tcPr>
          <w:p w14:paraId="237E81D8" w14:textId="77777777" w:rsidR="00704218" w:rsidRPr="00D23308" w:rsidRDefault="00704218" w:rsidP="006E1E32">
            <w:pPr>
              <w:pStyle w:val="Tabletext"/>
              <w:ind w:left="0" w:right="0"/>
              <w:jc w:val="center"/>
            </w:pPr>
            <w:r w:rsidRPr="00D23308">
              <w:t>–</w:t>
            </w:r>
          </w:p>
        </w:tc>
      </w:tr>
    </w:tbl>
    <w:p w14:paraId="302A6E9E" w14:textId="014FE63C" w:rsidR="00704218" w:rsidRPr="00D23308" w:rsidRDefault="00704218" w:rsidP="00C41EBD">
      <w:pPr>
        <w:pStyle w:val="TableDescription"/>
      </w:pPr>
      <w:r w:rsidRPr="00D23308">
        <w:t xml:space="preserve">*Additional Risk Minimisation activities include a Checklist for Prescribers and an Information Card for consumers. All the educational material will be available on the sponsor’s website (yet to be developed) </w:t>
      </w:r>
      <w:r w:rsidRPr="00D23308">
        <w:lastRenderedPageBreak/>
        <w:t xml:space="preserve">and the Information Card for consumers will also be available on the TGA website attached to the </w:t>
      </w:r>
      <w:r w:rsidR="00BF2A8F" w:rsidRPr="00D23308">
        <w:t>Consumer Medicines Information</w:t>
      </w:r>
      <w:r w:rsidRPr="00D23308">
        <w:t>.</w:t>
      </w:r>
    </w:p>
    <w:p w14:paraId="66E27A63" w14:textId="77777777" w:rsidR="00704218" w:rsidRPr="00D23308" w:rsidRDefault="00704218" w:rsidP="00C41EBD">
      <w:pPr>
        <w:pStyle w:val="TableDescription"/>
      </w:pPr>
      <w:r w:rsidRPr="00D23308">
        <w:t>** International Active Surveillance Study</w:t>
      </w:r>
    </w:p>
    <w:p w14:paraId="172E32ED" w14:textId="45D3AEA0" w:rsidR="00704218" w:rsidRPr="00D23308" w:rsidRDefault="00704218" w:rsidP="00C41EBD">
      <w:pPr>
        <w:pStyle w:val="ListBullet"/>
      </w:pPr>
      <w:r w:rsidRPr="00D23308">
        <w:t xml:space="preserve">The summary of safety concerns includes only two </w:t>
      </w:r>
      <w:r w:rsidR="006141E9" w:rsidRPr="00D23308">
        <w:t xml:space="preserve">important identified risks including </w:t>
      </w:r>
      <w:r w:rsidR="00535331">
        <w:t>venous thromboembolism (</w:t>
      </w:r>
      <w:r w:rsidRPr="00D23308">
        <w:t>VTE</w:t>
      </w:r>
      <w:r w:rsidR="00535331">
        <w:t>)</w:t>
      </w:r>
      <w:r w:rsidRPr="00D23308">
        <w:t xml:space="preserve"> and </w:t>
      </w:r>
      <w:r w:rsidR="00BF2A8F" w:rsidRPr="00D23308">
        <w:t>arterial thromboembolism (</w:t>
      </w:r>
      <w:r w:rsidRPr="00D23308">
        <w:t>ATE</w:t>
      </w:r>
      <w:r w:rsidR="00BF2A8F" w:rsidRPr="00D23308">
        <w:t>)</w:t>
      </w:r>
      <w:r w:rsidRPr="00D23308">
        <w:t xml:space="preserve">. There are no </w:t>
      </w:r>
      <w:r w:rsidR="006141E9" w:rsidRPr="00D23308">
        <w:t>important potential risks listed</w:t>
      </w:r>
      <w:r w:rsidRPr="00D23308">
        <w:t xml:space="preserve">. This is acceptable as safety concerns for similar products listed on the EMA site of approved safety concerns now only list VTE and ATE as </w:t>
      </w:r>
      <w:r w:rsidR="006141E9" w:rsidRPr="00D23308">
        <w:t xml:space="preserve">important identified risks </w:t>
      </w:r>
      <w:r w:rsidRPr="00D23308">
        <w:t xml:space="preserve">with no other risks listed. The most recent EU-RMP version 0.7 and ASA version 0.2 includes </w:t>
      </w:r>
      <w:r w:rsidR="006141E9" w:rsidRPr="00D23308">
        <w:t>‘</w:t>
      </w:r>
      <w:r w:rsidRPr="00D23308">
        <w:t>Exposure during pregnancy</w:t>
      </w:r>
      <w:r w:rsidR="006141E9" w:rsidRPr="00D23308">
        <w:t>’</w:t>
      </w:r>
      <w:r w:rsidRPr="00D23308">
        <w:t xml:space="preserve"> as </w:t>
      </w:r>
      <w:r w:rsidR="006141E9" w:rsidRPr="00D23308">
        <w:t>missing information.</w:t>
      </w:r>
    </w:p>
    <w:p w14:paraId="62646E16" w14:textId="5FEDA49E" w:rsidR="00704218" w:rsidRPr="00D23308" w:rsidRDefault="00704218" w:rsidP="00C41EBD">
      <w:pPr>
        <w:pStyle w:val="ListBullet"/>
      </w:pPr>
      <w:r w:rsidRPr="00D23308">
        <w:t xml:space="preserve">Only routine pharmacovigilance activities are proposed which is sufficient to capture any risk which may not yet be identified with this product. Routine pharmacovigilance will also monitor the efficacy of the additional risk minimisation activities which is acceptable. At </w:t>
      </w:r>
      <w:r w:rsidR="006141E9" w:rsidRPr="00D23308">
        <w:t>the second round of evaluation</w:t>
      </w:r>
      <w:r w:rsidRPr="00D23308">
        <w:t xml:space="preserve">, the EU-RMP </w:t>
      </w:r>
      <w:r w:rsidR="006141E9" w:rsidRPr="00D23308">
        <w:t xml:space="preserve">includes an international active surveillance study as </w:t>
      </w:r>
      <w:r w:rsidRPr="00D23308">
        <w:t xml:space="preserve">additional pharmacovigilance applicable to all the safety concerns. The results will be applicable to </w:t>
      </w:r>
      <w:r w:rsidR="006141E9" w:rsidRPr="00D23308">
        <w:t>Australia,</w:t>
      </w:r>
      <w:r w:rsidRPr="00D23308">
        <w:t xml:space="preserve"> but the study will only include Europeans.</w:t>
      </w:r>
    </w:p>
    <w:p w14:paraId="41E0207A" w14:textId="3DD88844" w:rsidR="00704218" w:rsidRPr="00D23308" w:rsidRDefault="00704218" w:rsidP="00C41EBD">
      <w:pPr>
        <w:pStyle w:val="ListBullet"/>
      </w:pPr>
      <w:r w:rsidRPr="00D23308">
        <w:t xml:space="preserve">Routine and additional risk minimisation activities have been proposed. Additional risk minimisation activities include a Checklist for Prescribers and an Information Card and Questions and Answers for Women. These will be available on the sponsor’s website. The additional activities are consistent with those described in the EU-RMP and are adequate to address the risks associated with the development of VTE and ATE. At </w:t>
      </w:r>
      <w:r w:rsidR="006141E9" w:rsidRPr="00D23308">
        <w:t>the second round of evaluation</w:t>
      </w:r>
      <w:r w:rsidRPr="00D23308">
        <w:t xml:space="preserve">, the EU-RMP no longer requires the </w:t>
      </w:r>
      <w:r w:rsidR="00BF2A8F" w:rsidRPr="00D23308">
        <w:t xml:space="preserve">questions and answers </w:t>
      </w:r>
      <w:r w:rsidRPr="00D23308">
        <w:t xml:space="preserve">for </w:t>
      </w:r>
      <w:r w:rsidR="006141E9" w:rsidRPr="00D23308">
        <w:t xml:space="preserve">women </w:t>
      </w:r>
      <w:r w:rsidRPr="00D23308">
        <w:t xml:space="preserve">(the </w:t>
      </w:r>
      <w:r w:rsidR="00BF2A8F" w:rsidRPr="00D23308">
        <w:t>Consumer Medicines Information (</w:t>
      </w:r>
      <w:r w:rsidRPr="00D23308">
        <w:t>CMI</w:t>
      </w:r>
      <w:r w:rsidR="00BF2A8F" w:rsidRPr="00D23308">
        <w:t>)</w:t>
      </w:r>
      <w:r w:rsidRPr="00D23308">
        <w:t xml:space="preserve"> and Information for </w:t>
      </w:r>
      <w:r w:rsidR="006141E9" w:rsidRPr="00D23308">
        <w:t xml:space="preserve">women </w:t>
      </w:r>
      <w:r w:rsidRPr="00D23308">
        <w:t>should be adequate to address any safety issues). In addition, the sponsor states that the Information for Women will also be available on the TGA website attached to the CMI.</w:t>
      </w:r>
    </w:p>
    <w:p w14:paraId="26479DC8" w14:textId="77777777" w:rsidR="008E7846" w:rsidRPr="00D23308" w:rsidRDefault="00AA0ED0" w:rsidP="008E7846">
      <w:pPr>
        <w:pStyle w:val="Heading3"/>
      </w:pPr>
      <w:bookmarkStart w:id="67" w:name="_Toc109301848"/>
      <w:r w:rsidRPr="00D23308">
        <w:t>Risk-benefit a</w:t>
      </w:r>
      <w:r w:rsidR="008E7846" w:rsidRPr="00D23308">
        <w:t>nalysis</w:t>
      </w:r>
      <w:bookmarkEnd w:id="62"/>
      <w:bookmarkEnd w:id="63"/>
      <w:bookmarkEnd w:id="67"/>
    </w:p>
    <w:p w14:paraId="247CCC10" w14:textId="77777777" w:rsidR="0074163C" w:rsidRPr="00D23308" w:rsidRDefault="0074163C" w:rsidP="0074163C">
      <w:pPr>
        <w:pStyle w:val="Heading4"/>
      </w:pPr>
      <w:bookmarkStart w:id="68" w:name="_Toc98931932"/>
      <w:r w:rsidRPr="00D23308">
        <w:t>Delegate’s considerations</w:t>
      </w:r>
      <w:bookmarkEnd w:id="68"/>
    </w:p>
    <w:p w14:paraId="717B8C34" w14:textId="52F00233" w:rsidR="00704218" w:rsidRPr="00D23308" w:rsidRDefault="00704218" w:rsidP="00C41EBD">
      <w:r w:rsidRPr="00D23308">
        <w:t>Several contraceptive methods for use by females are already available, both hormonal and non-hormonal. However, since women have different needs and experiences (</w:t>
      </w:r>
      <w:r w:rsidR="004833C3" w:rsidRPr="00D23308">
        <w:t>for example,</w:t>
      </w:r>
      <w:r w:rsidRPr="00D23308">
        <w:t xml:space="preserve"> side effects, and poor bleeding patterns) with some methods, there can still be a place for a new </w:t>
      </w:r>
      <w:r w:rsidR="0096178A">
        <w:t>combined hormonal contraceptive</w:t>
      </w:r>
      <w:r w:rsidR="0096178A" w:rsidRPr="00D23308">
        <w:t xml:space="preserve"> </w:t>
      </w:r>
      <w:r w:rsidRPr="00D23308">
        <w:t>even if there is no large unmet medical need.</w:t>
      </w:r>
    </w:p>
    <w:p w14:paraId="2BBEAA8B" w14:textId="35B17158" w:rsidR="00704218" w:rsidRPr="00D23308" w:rsidRDefault="00C41EBD" w:rsidP="006E1E32">
      <w:pPr>
        <w:pStyle w:val="Heading5"/>
      </w:pPr>
      <w:r w:rsidRPr="00D23308">
        <w:t>Quality</w:t>
      </w:r>
    </w:p>
    <w:p w14:paraId="4CA14F84" w14:textId="2AB21683" w:rsidR="00704218" w:rsidRPr="00D23308" w:rsidRDefault="004833C3" w:rsidP="00C41EBD">
      <w:r w:rsidRPr="00D23308">
        <w:t>O</w:t>
      </w:r>
      <w:r w:rsidR="00704218" w:rsidRPr="00D23308">
        <w:t xml:space="preserve">utstanding </w:t>
      </w:r>
      <w:r w:rsidRPr="00D23308">
        <w:t>quality (</w:t>
      </w:r>
      <w:r w:rsidR="0096178A">
        <w:t>Good Manufacturing Practice</w:t>
      </w:r>
      <w:r w:rsidR="0096178A" w:rsidRPr="00D23308">
        <w:t xml:space="preserve"> </w:t>
      </w:r>
      <w:r w:rsidR="00704218" w:rsidRPr="00D23308">
        <w:t>clearance</w:t>
      </w:r>
      <w:r w:rsidRPr="00D23308">
        <w:t>)</w:t>
      </w:r>
      <w:r w:rsidR="00704218" w:rsidRPr="00D23308">
        <w:t xml:space="preserve"> issues </w:t>
      </w:r>
      <w:r w:rsidRPr="00D23308">
        <w:t>have been</w:t>
      </w:r>
      <w:r w:rsidR="00704218" w:rsidRPr="00D23308">
        <w:t xml:space="preserve"> resolved prior to registration of the product.</w:t>
      </w:r>
    </w:p>
    <w:p w14:paraId="63745D8F" w14:textId="45B17CD5" w:rsidR="00704218" w:rsidRPr="00D23308" w:rsidRDefault="00C41EBD" w:rsidP="006E1E32">
      <w:pPr>
        <w:pStyle w:val="Heading5"/>
      </w:pPr>
      <w:r w:rsidRPr="00D23308">
        <w:t>Efficacy</w:t>
      </w:r>
    </w:p>
    <w:p w14:paraId="0236124A" w14:textId="05AC7264" w:rsidR="00704218" w:rsidRPr="00D23308" w:rsidRDefault="00704218" w:rsidP="00C41EBD">
      <w:r w:rsidRPr="00D23308">
        <w:t xml:space="preserve">The submission includes several clinical studies addressing the </w:t>
      </w:r>
      <w:r w:rsidR="0040561E">
        <w:t>pharmacokinetics (</w:t>
      </w:r>
      <w:r w:rsidRPr="00D23308">
        <w:t>PK</w:t>
      </w:r>
      <w:r w:rsidR="0040561E">
        <w:t>)</w:t>
      </w:r>
      <w:r w:rsidRPr="00D23308">
        <w:t xml:space="preserve"> of estetrol alone, as well as the clinical studies addressing the PK of estetrol with co</w:t>
      </w:r>
      <w:r w:rsidR="0040561E">
        <w:noBreakHyphen/>
      </w:r>
      <w:r w:rsidRPr="00D23308">
        <w:t xml:space="preserve">administration of drospirenone. In general, sufficient PK information of estetrol has been provided. The clinical results of the </w:t>
      </w:r>
      <w:proofErr w:type="gramStart"/>
      <w:r w:rsidRPr="00D23308">
        <w:t>above</w:t>
      </w:r>
      <w:r w:rsidR="004833C3" w:rsidRPr="00D23308">
        <w:t xml:space="preserve"> </w:t>
      </w:r>
      <w:r w:rsidRPr="00D23308">
        <w:t>mentioned</w:t>
      </w:r>
      <w:proofErr w:type="gramEnd"/>
      <w:r w:rsidRPr="00D23308">
        <w:t xml:space="preserve"> clinical pharmacology programme generally appear to be sufficient for the proposed dose range and regimen (</w:t>
      </w:r>
      <w:r w:rsidR="00286A63" w:rsidRPr="00D23308">
        <w:t>15</w:t>
      </w:r>
      <w:r w:rsidR="0040561E">
        <w:t> </w:t>
      </w:r>
      <w:r w:rsidR="00286A63" w:rsidRPr="00D23308">
        <w:t>mg estetrol/3</w:t>
      </w:r>
      <w:r w:rsidR="004833C3" w:rsidRPr="00D23308">
        <w:t> </w:t>
      </w:r>
      <w:r w:rsidR="00286A63" w:rsidRPr="00D23308">
        <w:t xml:space="preserve">mg drospirenone </w:t>
      </w:r>
      <w:r w:rsidRPr="00D23308">
        <w:t>24/4</w:t>
      </w:r>
      <w:r w:rsidR="006A5BA0">
        <w:t>-day</w:t>
      </w:r>
      <w:r w:rsidRPr="00D23308">
        <w:t xml:space="preserve"> regimen). An appropriate </w:t>
      </w:r>
      <w:r w:rsidR="006A5BA0" w:rsidRPr="00D23308">
        <w:t>well-tolerated</w:t>
      </w:r>
      <w:r w:rsidRPr="00D23308">
        <w:t xml:space="preserve"> contraceptive treatment effect has been observed with </w:t>
      </w:r>
      <w:r w:rsidR="00286A63" w:rsidRPr="00D23308">
        <w:t>15 mg estetrol/3 mg drospirenone</w:t>
      </w:r>
      <w:r w:rsidRPr="00D23308">
        <w:t>; as well as an adequate bleeding pattern, in comparison with Qlaira.</w:t>
      </w:r>
      <w:r w:rsidR="00C270AA" w:rsidRPr="00C270AA">
        <w:rPr>
          <w:color w:val="2B579A"/>
          <w:shd w:val="clear" w:color="auto" w:fill="E6E6E6"/>
          <w:vertAlign w:val="superscript"/>
        </w:rPr>
        <w:fldChar w:fldCharType="begin"/>
      </w:r>
      <w:r w:rsidR="00C270AA" w:rsidRPr="00C270AA">
        <w:rPr>
          <w:vertAlign w:val="superscript"/>
        </w:rPr>
        <w:instrText xml:space="preserve"> NOTEREF _Ref106369607 \h </w:instrText>
      </w:r>
      <w:r w:rsidR="00C270AA">
        <w:rPr>
          <w:vertAlign w:val="superscript"/>
        </w:rPr>
        <w:instrText xml:space="preserve"> \* MERGEFORMAT </w:instrText>
      </w:r>
      <w:r w:rsidR="00C270AA" w:rsidRPr="00C270AA">
        <w:rPr>
          <w:color w:val="2B579A"/>
          <w:shd w:val="clear" w:color="auto" w:fill="E6E6E6"/>
          <w:vertAlign w:val="superscript"/>
        </w:rPr>
      </w:r>
      <w:r w:rsidR="00C270AA" w:rsidRPr="00C270AA">
        <w:rPr>
          <w:color w:val="2B579A"/>
          <w:shd w:val="clear" w:color="auto" w:fill="E6E6E6"/>
          <w:vertAlign w:val="superscript"/>
        </w:rPr>
        <w:fldChar w:fldCharType="separate"/>
      </w:r>
      <w:r w:rsidR="005319AF">
        <w:rPr>
          <w:vertAlign w:val="superscript"/>
        </w:rPr>
        <w:t>15</w:t>
      </w:r>
      <w:r w:rsidR="00C270AA" w:rsidRPr="00C270AA">
        <w:rPr>
          <w:color w:val="2B579A"/>
          <w:shd w:val="clear" w:color="auto" w:fill="E6E6E6"/>
          <w:vertAlign w:val="superscript"/>
        </w:rPr>
        <w:fldChar w:fldCharType="end"/>
      </w:r>
    </w:p>
    <w:p w14:paraId="6F686477" w14:textId="50A4E8F5" w:rsidR="00704218" w:rsidRPr="00D23308" w:rsidRDefault="00704218" w:rsidP="00C41EBD">
      <w:r w:rsidRPr="00D23308">
        <w:lastRenderedPageBreak/>
        <w:t xml:space="preserve">The application for </w:t>
      </w:r>
      <w:r w:rsidR="009A2E70" w:rsidRPr="00D23308">
        <w:t>estetrol</w:t>
      </w:r>
      <w:r w:rsidRPr="00D23308">
        <w:t>/</w:t>
      </w:r>
      <w:r w:rsidR="009A2E70" w:rsidRPr="00D23308">
        <w:t>drospirenone</w:t>
      </w:r>
      <w:r w:rsidRPr="00D23308">
        <w:t xml:space="preserve"> is supported by two Phase </w:t>
      </w:r>
      <w:r w:rsidR="0080147A" w:rsidRPr="00D23308">
        <w:t>III</w:t>
      </w:r>
      <w:r w:rsidRPr="00D23308">
        <w:t>, multicentre, open</w:t>
      </w:r>
      <w:r w:rsidR="006A5BA0">
        <w:t> </w:t>
      </w:r>
      <w:r w:rsidRPr="00D23308">
        <w:t>label, single</w:t>
      </w:r>
      <w:r w:rsidR="005A1CC0" w:rsidRPr="00D23308">
        <w:t xml:space="preserve"> </w:t>
      </w:r>
      <w:r w:rsidRPr="00D23308">
        <w:t>arm studies; Study MIT-Es0001-C301 (conducted in Europe/Russia) and Study</w:t>
      </w:r>
      <w:r w:rsidR="004833C3" w:rsidRPr="00D23308">
        <w:t> </w:t>
      </w:r>
      <w:r w:rsidRPr="00D23308">
        <w:t>MIT-Es0001-C302 (conducted in the US/Canada). The selection of 15</w:t>
      </w:r>
      <w:r w:rsidR="004833C3" w:rsidRPr="00D23308">
        <w:t> </w:t>
      </w:r>
      <w:r w:rsidRPr="00D23308">
        <w:t xml:space="preserve">mg </w:t>
      </w:r>
      <w:r w:rsidR="009A2E70" w:rsidRPr="00D23308">
        <w:t>estetrol</w:t>
      </w:r>
      <w:r w:rsidRPr="00D23308">
        <w:t>/3</w:t>
      </w:r>
      <w:r w:rsidR="004833C3" w:rsidRPr="00D23308">
        <w:t> </w:t>
      </w:r>
      <w:r w:rsidRPr="00D23308">
        <w:t xml:space="preserve">mg </w:t>
      </w:r>
      <w:r w:rsidR="009A2E70" w:rsidRPr="00D23308">
        <w:t>drospirenone</w:t>
      </w:r>
      <w:r w:rsidRPr="00D23308">
        <w:t xml:space="preserve"> dose for the Phase </w:t>
      </w:r>
      <w:r w:rsidR="0080147A" w:rsidRPr="00D23308">
        <w:t>III</w:t>
      </w:r>
      <w:r w:rsidRPr="00D23308">
        <w:t xml:space="preserve"> studies was adequately justified.</w:t>
      </w:r>
    </w:p>
    <w:p w14:paraId="12E3234B" w14:textId="62CC651E" w:rsidR="00704218" w:rsidRPr="00D23308" w:rsidRDefault="00704218" w:rsidP="00C41EBD">
      <w:r w:rsidRPr="00D23308">
        <w:t>Overall, the pivotal studies have been designed in accordance with the requirements in the EMA guideline</w:t>
      </w:r>
      <w:r w:rsidR="006256DF" w:rsidRPr="00D23308">
        <w:t>.</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p>
    <w:p w14:paraId="2ECDBA9B" w14:textId="5B669D3B" w:rsidR="00704218" w:rsidRPr="00D23308" w:rsidRDefault="00704218" w:rsidP="00C41EBD">
      <w:r w:rsidRPr="00D23308">
        <w:t>The two pivotal studies did not include an active comparator for comparison of bleeding patterns, which is a deficiency. However, earlier studies (</w:t>
      </w:r>
      <w:r w:rsidR="004833C3" w:rsidRPr="00D23308">
        <w:t>for example, Study</w:t>
      </w:r>
      <w:r w:rsidRPr="00D23308">
        <w:t xml:space="preserve"> ES-C02 which included </w:t>
      </w:r>
      <w:proofErr w:type="spellStart"/>
      <w:r w:rsidRPr="00D23308">
        <w:t>Qlaira</w:t>
      </w:r>
      <w:proofErr w:type="spellEnd"/>
      <w:r w:rsidR="00205C3C">
        <w:t xml:space="preserve"> (</w:t>
      </w:r>
      <w:proofErr w:type="spellStart"/>
      <w:r w:rsidRPr="00D23308">
        <w:t>estradiol</w:t>
      </w:r>
      <w:proofErr w:type="spellEnd"/>
      <w:r w:rsidRPr="00D23308">
        <w:t xml:space="preserve"> valerate/</w:t>
      </w:r>
      <w:proofErr w:type="spellStart"/>
      <w:r w:rsidRPr="00D23308">
        <w:t>dienogest</w:t>
      </w:r>
      <w:proofErr w:type="spellEnd"/>
      <w:r w:rsidRPr="00D23308">
        <w:t>)</w:t>
      </w:r>
      <w:r w:rsidR="006A5BA0">
        <w:t>);</w:t>
      </w:r>
      <w:r w:rsidR="00205C3C" w:rsidRPr="00205C3C">
        <w:rPr>
          <w:color w:val="2B579A"/>
          <w:shd w:val="clear" w:color="auto" w:fill="E6E6E6"/>
          <w:vertAlign w:val="superscript"/>
        </w:rPr>
        <w:fldChar w:fldCharType="begin"/>
      </w:r>
      <w:r w:rsidR="00205C3C" w:rsidRPr="00205C3C">
        <w:rPr>
          <w:vertAlign w:val="superscript"/>
        </w:rPr>
        <w:instrText xml:space="preserve"> NOTEREF _Ref106369607 \h </w:instrText>
      </w:r>
      <w:r w:rsidR="00205C3C">
        <w:rPr>
          <w:vertAlign w:val="superscript"/>
        </w:rPr>
        <w:instrText xml:space="preserve"> \* MERGEFORMAT </w:instrText>
      </w:r>
      <w:r w:rsidR="00205C3C" w:rsidRPr="00205C3C">
        <w:rPr>
          <w:color w:val="2B579A"/>
          <w:shd w:val="clear" w:color="auto" w:fill="E6E6E6"/>
          <w:vertAlign w:val="superscript"/>
        </w:rPr>
      </w:r>
      <w:r w:rsidR="00205C3C" w:rsidRPr="00205C3C">
        <w:rPr>
          <w:color w:val="2B579A"/>
          <w:shd w:val="clear" w:color="auto" w:fill="E6E6E6"/>
          <w:vertAlign w:val="superscript"/>
        </w:rPr>
        <w:fldChar w:fldCharType="separate"/>
      </w:r>
      <w:r w:rsidR="005319AF">
        <w:rPr>
          <w:vertAlign w:val="superscript"/>
        </w:rPr>
        <w:t>15</w:t>
      </w:r>
      <w:r w:rsidR="00205C3C" w:rsidRPr="00205C3C">
        <w:rPr>
          <w:color w:val="2B579A"/>
          <w:shd w:val="clear" w:color="auto" w:fill="E6E6E6"/>
          <w:vertAlign w:val="superscript"/>
        </w:rPr>
        <w:fldChar w:fldCharType="end"/>
      </w:r>
      <w:r w:rsidRPr="00D23308">
        <w:t xml:space="preserve"> have included comparators that can contribute to assessment of the bleeding pattern. This is considered acceptable.</w:t>
      </w:r>
    </w:p>
    <w:p w14:paraId="257C954A" w14:textId="54C6E96F" w:rsidR="00704218" w:rsidRPr="00D23308" w:rsidRDefault="00704218" w:rsidP="00C41EBD">
      <w:r w:rsidRPr="00D23308">
        <w:t>The studies included heterosexually</w:t>
      </w:r>
      <w:r w:rsidR="007A610D">
        <w:t xml:space="preserve"> </w:t>
      </w:r>
      <w:r w:rsidRPr="00D23308">
        <w:t>active females</w:t>
      </w:r>
      <w:r w:rsidR="007A610D">
        <w:t>,</w:t>
      </w:r>
      <w:r w:rsidRPr="00D23308">
        <w:t xml:space="preserve"> </w:t>
      </w:r>
      <w:r w:rsidR="007A610D">
        <w:t xml:space="preserve">at </w:t>
      </w:r>
      <w:r w:rsidR="009B40BE">
        <w:t>risk</w:t>
      </w:r>
      <w:r w:rsidRPr="00D23308">
        <w:t xml:space="preserve"> </w:t>
      </w:r>
      <w:r w:rsidR="007A610D">
        <w:t>of</w:t>
      </w:r>
      <w:r w:rsidRPr="00D23308">
        <w:t xml:space="preserve"> pregnancy and requesting contraception, and who were willing to use the investigational product as the primary method of contraception for 13 consecutive cycles. The women were aged 18 to 50 years (inclusive) in Study </w:t>
      </w:r>
      <w:r w:rsidR="000759AE" w:rsidRPr="000759AE">
        <w:t>MIT</w:t>
      </w:r>
      <w:r w:rsidR="000759AE">
        <w:noBreakHyphen/>
      </w:r>
      <w:r w:rsidR="000759AE" w:rsidRPr="000759AE">
        <w:t>Es0001</w:t>
      </w:r>
      <w:r w:rsidR="000759AE">
        <w:noBreakHyphen/>
      </w:r>
      <w:r w:rsidR="000759AE" w:rsidRPr="000759AE">
        <w:t>C301</w:t>
      </w:r>
      <w:r w:rsidRPr="00D23308">
        <w:t xml:space="preserve"> and 16</w:t>
      </w:r>
      <w:r w:rsidR="004833C3" w:rsidRPr="00D23308">
        <w:t xml:space="preserve"> to </w:t>
      </w:r>
      <w:r w:rsidRPr="00D23308">
        <w:t>50 years in Study</w:t>
      </w:r>
      <w:r w:rsidR="004833C3" w:rsidRPr="00D23308">
        <w:t> </w:t>
      </w:r>
      <w:r w:rsidR="000759AE" w:rsidRPr="00D23308">
        <w:t>MIT</w:t>
      </w:r>
      <w:r w:rsidR="000759AE">
        <w:noBreakHyphen/>
      </w:r>
      <w:r w:rsidR="000759AE" w:rsidRPr="00D23308">
        <w:t>Es0001</w:t>
      </w:r>
      <w:r w:rsidR="000759AE">
        <w:noBreakHyphen/>
      </w:r>
      <w:r w:rsidR="000759AE" w:rsidRPr="00D23308">
        <w:t>C302</w:t>
      </w:r>
      <w:r w:rsidRPr="00D23308">
        <w:t xml:space="preserve">. Eligible subjects were treated with 15 mg </w:t>
      </w:r>
      <w:r w:rsidR="009A2E70" w:rsidRPr="00D23308">
        <w:t>estetrol</w:t>
      </w:r>
      <w:r w:rsidRPr="00D23308">
        <w:t xml:space="preserve">/3 mg </w:t>
      </w:r>
      <w:r w:rsidR="009A2E70" w:rsidRPr="00D23308">
        <w:t>drospirenone</w:t>
      </w:r>
      <w:r w:rsidRPr="00D23308">
        <w:t xml:space="preserve"> for a maximum of 13 consecutive cycles. The treatment was to be taken once daily in a 24/4</w:t>
      </w:r>
      <w:r w:rsidR="007A610D">
        <w:t>-</w:t>
      </w:r>
      <w:r w:rsidRPr="00D23308">
        <w:t xml:space="preserve">day regimen, </w:t>
      </w:r>
      <w:r w:rsidR="005465BA" w:rsidRPr="00D23308">
        <w:t>that is</w:t>
      </w:r>
      <w:r w:rsidRPr="00D23308">
        <w:t>, 24 active tablets followed by 4 placebo tablets (</w:t>
      </w:r>
      <w:proofErr w:type="gramStart"/>
      <w:r w:rsidRPr="00D23308">
        <w:t>4</w:t>
      </w:r>
      <w:r w:rsidR="005A1CC0" w:rsidRPr="00D23308">
        <w:t xml:space="preserve"> </w:t>
      </w:r>
      <w:r w:rsidRPr="00D23308">
        <w:t>day</w:t>
      </w:r>
      <w:proofErr w:type="gramEnd"/>
      <w:r w:rsidRPr="00D23308">
        <w:t xml:space="preserve"> hormone</w:t>
      </w:r>
      <w:r w:rsidR="005A1CC0" w:rsidRPr="00D23308">
        <w:t xml:space="preserve"> </w:t>
      </w:r>
      <w:r w:rsidRPr="00D23308">
        <w:t>free interval).</w:t>
      </w:r>
      <w:r w:rsidR="004833C3" w:rsidRPr="00D23308">
        <w:t xml:space="preserve"> T</w:t>
      </w:r>
      <w:r w:rsidRPr="00D23308">
        <w:t>he ITT population comprised 1</w:t>
      </w:r>
      <w:r w:rsidR="004833C3" w:rsidRPr="00D23308">
        <w:t>,</w:t>
      </w:r>
      <w:r w:rsidRPr="00D23308">
        <w:t xml:space="preserve">553 subjects </w:t>
      </w:r>
      <w:r w:rsidR="004833C3" w:rsidRPr="00D23308">
        <w:t xml:space="preserve">in Study </w:t>
      </w:r>
      <w:r w:rsidR="000759AE" w:rsidRPr="000759AE">
        <w:t>MIT</w:t>
      </w:r>
      <w:r w:rsidR="000759AE">
        <w:noBreakHyphen/>
      </w:r>
      <w:r w:rsidR="000759AE" w:rsidRPr="000759AE">
        <w:t>Es0001</w:t>
      </w:r>
      <w:r w:rsidR="000759AE">
        <w:noBreakHyphen/>
      </w:r>
      <w:r w:rsidR="000759AE" w:rsidRPr="000759AE">
        <w:t>C301</w:t>
      </w:r>
      <w:r w:rsidR="000759AE">
        <w:t xml:space="preserve"> </w:t>
      </w:r>
      <w:r w:rsidRPr="00D23308">
        <w:t xml:space="preserve">and </w:t>
      </w:r>
      <w:r w:rsidR="004833C3" w:rsidRPr="00D23308">
        <w:t xml:space="preserve">1,864 subjects </w:t>
      </w:r>
      <w:r w:rsidRPr="00D23308">
        <w:t xml:space="preserve">in </w:t>
      </w:r>
      <w:r w:rsidR="004833C3" w:rsidRPr="00D23308">
        <w:t xml:space="preserve">Study </w:t>
      </w:r>
      <w:r w:rsidR="000759AE" w:rsidRPr="00D23308">
        <w:t>MIT</w:t>
      </w:r>
      <w:r w:rsidR="000759AE">
        <w:noBreakHyphen/>
      </w:r>
      <w:r w:rsidR="000759AE" w:rsidRPr="00D23308">
        <w:t>Es0001</w:t>
      </w:r>
      <w:r w:rsidR="000759AE">
        <w:noBreakHyphen/>
      </w:r>
      <w:r w:rsidR="000759AE" w:rsidRPr="00D23308">
        <w:t>C302</w:t>
      </w:r>
      <w:r w:rsidRPr="00D23308">
        <w:t>. The studies had a non-comparative, open</w:t>
      </w:r>
      <w:r w:rsidR="005A1CC0" w:rsidRPr="00D23308">
        <w:t xml:space="preserve"> </w:t>
      </w:r>
      <w:r w:rsidRPr="00D23308">
        <w:t>label single arm design, hence, there were no objectives related to superiority or non-inferiority and randomisation and blinding were not necessary. The use of a single arm, non-comparative study design is considered acceptable for the evaluation of a new hormonal contraceptive, in accordance with the EMA guideline.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p>
    <w:p w14:paraId="37780E93" w14:textId="1848E414" w:rsidR="00704218" w:rsidRPr="00D23308" w:rsidRDefault="00704218" w:rsidP="00C41EBD">
      <w:r w:rsidRPr="00D23308">
        <w:t xml:space="preserve">The lack of an active comparator for the studies evaluating the contraceptive efficacy of a new contraceptive method is acceptable according to this guideline, </w:t>
      </w:r>
      <w:proofErr w:type="gramStart"/>
      <w:r w:rsidRPr="00D23308">
        <w:t>as long as</w:t>
      </w:r>
      <w:proofErr w:type="gramEnd"/>
      <w:r w:rsidRPr="00D23308">
        <w:t xml:space="preserve"> the number of cycles studied are sufficient to obtain the desired precision of the estimate of contraceptive efficacy and unless the expected </w:t>
      </w:r>
      <w:r w:rsidR="004A44A5" w:rsidRPr="00D23308">
        <w:t>Pearl Index</w:t>
      </w:r>
      <w:r w:rsidRPr="00D23308">
        <w:t xml:space="preserve"> is high (</w:t>
      </w:r>
      <w:r w:rsidR="004A44A5" w:rsidRPr="00D23308">
        <w:t xml:space="preserve">Pearl Index </w:t>
      </w:r>
      <w:r w:rsidR="004833C3" w:rsidRPr="00D23308">
        <w:t>greater than</w:t>
      </w:r>
      <w:r w:rsidR="004A44A5" w:rsidRPr="00D23308">
        <w:t xml:space="preserve"> </w:t>
      </w:r>
      <w:r w:rsidR="004833C3" w:rsidRPr="00D23308">
        <w:t>one</w:t>
      </w:r>
      <w:r w:rsidRPr="00D23308">
        <w:t>). The earlier studies (</w:t>
      </w:r>
      <w:r w:rsidR="004833C3" w:rsidRPr="00D23308">
        <w:t>for example, Study</w:t>
      </w:r>
      <w:r w:rsidRPr="00D23308">
        <w:t xml:space="preserve"> ES-C02 which included </w:t>
      </w:r>
      <w:proofErr w:type="spellStart"/>
      <w:r w:rsidRPr="00D23308">
        <w:t>Qlaira</w:t>
      </w:r>
      <w:proofErr w:type="spellEnd"/>
      <w:r w:rsidR="00205C3C">
        <w:t xml:space="preserve"> (</w:t>
      </w:r>
      <w:proofErr w:type="spellStart"/>
      <w:r w:rsidRPr="00D23308">
        <w:t>estradiol</w:t>
      </w:r>
      <w:proofErr w:type="spellEnd"/>
      <w:r w:rsidRPr="00D23308">
        <w:t xml:space="preserve"> valerate/</w:t>
      </w:r>
      <w:proofErr w:type="spellStart"/>
      <w:r w:rsidRPr="00D23308">
        <w:t>dienogest</w:t>
      </w:r>
      <w:proofErr w:type="spellEnd"/>
      <w:r w:rsidRPr="00D23308">
        <w:t>)</w:t>
      </w:r>
      <w:r w:rsidR="00205C3C" w:rsidRPr="00205C3C">
        <w:rPr>
          <w:color w:val="2B579A"/>
          <w:shd w:val="clear" w:color="auto" w:fill="E6E6E6"/>
          <w:vertAlign w:val="superscript"/>
        </w:rPr>
        <w:fldChar w:fldCharType="begin"/>
      </w:r>
      <w:r w:rsidR="00205C3C" w:rsidRPr="00205C3C">
        <w:rPr>
          <w:vertAlign w:val="superscript"/>
        </w:rPr>
        <w:instrText xml:space="preserve"> NOTEREF _Ref106369607 \h </w:instrText>
      </w:r>
      <w:r w:rsidR="00205C3C">
        <w:rPr>
          <w:vertAlign w:val="superscript"/>
        </w:rPr>
        <w:instrText xml:space="preserve"> \* MERGEFORMAT </w:instrText>
      </w:r>
      <w:r w:rsidR="00205C3C" w:rsidRPr="00205C3C">
        <w:rPr>
          <w:color w:val="2B579A"/>
          <w:shd w:val="clear" w:color="auto" w:fill="E6E6E6"/>
          <w:vertAlign w:val="superscript"/>
        </w:rPr>
      </w:r>
      <w:r w:rsidR="00205C3C" w:rsidRPr="00205C3C">
        <w:rPr>
          <w:color w:val="2B579A"/>
          <w:shd w:val="clear" w:color="auto" w:fill="E6E6E6"/>
          <w:vertAlign w:val="superscript"/>
        </w:rPr>
        <w:fldChar w:fldCharType="separate"/>
      </w:r>
      <w:r w:rsidR="005319AF">
        <w:rPr>
          <w:vertAlign w:val="superscript"/>
        </w:rPr>
        <w:t>15</w:t>
      </w:r>
      <w:r w:rsidR="00205C3C" w:rsidRPr="00205C3C">
        <w:rPr>
          <w:color w:val="2B579A"/>
          <w:shd w:val="clear" w:color="auto" w:fill="E6E6E6"/>
          <w:vertAlign w:val="superscript"/>
        </w:rPr>
        <w:fldChar w:fldCharType="end"/>
      </w:r>
      <w:r w:rsidRPr="00D23308">
        <w:t xml:space="preserve"> have included comparators that can contribute to assessment of the bleeding pattern. The sample size and statistical methods are overall considered acceptable.</w:t>
      </w:r>
    </w:p>
    <w:p w14:paraId="13D3FD50" w14:textId="77777777" w:rsidR="00704218" w:rsidRPr="00D23308" w:rsidRDefault="00704218" w:rsidP="00C41EBD">
      <w:r w:rsidRPr="00D23308">
        <w:t>The inclusion and exclusion criteria were in line with those applied in other hormonal contraception studies and generally acceptable to identify the population using contraceptives.</w:t>
      </w:r>
    </w:p>
    <w:p w14:paraId="46A9ACB8" w14:textId="0C616B6F" w:rsidR="00704218" w:rsidRPr="00D23308" w:rsidRDefault="00704218" w:rsidP="00C41EBD">
      <w:r w:rsidRPr="00D23308">
        <w:t>The primary objective of both studies was to evaluate the contraceptive efficacy of 15</w:t>
      </w:r>
      <w:r w:rsidR="004833C3" w:rsidRPr="00D23308">
        <w:t> </w:t>
      </w:r>
      <w:r w:rsidRPr="00D23308">
        <w:t xml:space="preserve">mg </w:t>
      </w:r>
      <w:r w:rsidR="009A2E70" w:rsidRPr="00D23308">
        <w:t>estetrol</w:t>
      </w:r>
      <w:r w:rsidRPr="00D23308">
        <w:t xml:space="preserve">/3 mg </w:t>
      </w:r>
      <w:r w:rsidR="009A2E70" w:rsidRPr="00D23308">
        <w:t>drospirenone</w:t>
      </w:r>
      <w:r w:rsidRPr="00D23308">
        <w:t xml:space="preserve"> using the Pearl Index in subjects aged 18 to 35 years (16 to 35</w:t>
      </w:r>
      <w:r w:rsidR="004833C3" w:rsidRPr="00D23308">
        <w:t> </w:t>
      </w:r>
      <w:r w:rsidRPr="00D23308">
        <w:t>years in Study</w:t>
      </w:r>
      <w:r w:rsidR="004833C3" w:rsidRPr="00D23308">
        <w:t> </w:t>
      </w:r>
      <w:r w:rsidR="000759AE" w:rsidRPr="00D23308">
        <w:t>MIT</w:t>
      </w:r>
      <w:r w:rsidR="000759AE">
        <w:noBreakHyphen/>
      </w:r>
      <w:r w:rsidR="000759AE" w:rsidRPr="00D23308">
        <w:t>Es0001</w:t>
      </w:r>
      <w:r w:rsidR="000759AE">
        <w:noBreakHyphen/>
      </w:r>
      <w:r w:rsidR="000759AE" w:rsidRPr="00D23308">
        <w:t>C302</w:t>
      </w:r>
      <w:r w:rsidRPr="00D23308">
        <w:t>), inclusive, at the time of screening. The corresponding primary efficacy variable was the number of on-treatment pregnancies assessed by the Pearl Index in the ITT population of women aged 18 to 35 years (16 to 35 years in Study</w:t>
      </w:r>
      <w:r w:rsidR="004833C3" w:rsidRPr="00D23308">
        <w:t> </w:t>
      </w:r>
      <w:r w:rsidR="000759AE" w:rsidRPr="00D23308">
        <w:t>MIT</w:t>
      </w:r>
      <w:r w:rsidR="000759AE">
        <w:noBreakHyphen/>
      </w:r>
      <w:r w:rsidR="000759AE" w:rsidRPr="00D23308">
        <w:t>Es0001</w:t>
      </w:r>
      <w:r w:rsidR="000759AE">
        <w:noBreakHyphen/>
      </w:r>
      <w:r w:rsidR="000759AE" w:rsidRPr="00D23308">
        <w:t>C302</w:t>
      </w:r>
      <w:r w:rsidRPr="00D23308">
        <w:t xml:space="preserve">), inclusive, at the time of screening with </w:t>
      </w:r>
      <w:r w:rsidR="009B40BE">
        <w:t>at-risk</w:t>
      </w:r>
      <w:r w:rsidRPr="00D23308">
        <w:t xml:space="preserve"> cycles. This is the overall (method </w:t>
      </w:r>
      <w:r w:rsidR="00987497">
        <w:t>plus</w:t>
      </w:r>
      <w:r w:rsidRPr="00D23308">
        <w:t xml:space="preserve"> user failure) Pearl Index determined (according to the FDA definition) and can be considered the strictest determined Pearl Index. The study objectives and outcomes are adequate for studies evaluating a new contraceptive.</w:t>
      </w:r>
    </w:p>
    <w:p w14:paraId="7653F3B2" w14:textId="77777777" w:rsidR="00704218" w:rsidRPr="00D23308" w:rsidRDefault="00704218" w:rsidP="00C41EBD">
      <w:r w:rsidRPr="00D23308">
        <w:t>There were no remarkable findings with respect to medical history, or prior and concomitant medications in either of the studies, reflecting a relatively young and healthy population.</w:t>
      </w:r>
    </w:p>
    <w:p w14:paraId="0DB8E03D" w14:textId="2203D5EC" w:rsidR="00704218" w:rsidRPr="00D23308" w:rsidRDefault="00704218" w:rsidP="00C41EBD">
      <w:r w:rsidRPr="00D23308">
        <w:t xml:space="preserve">In Study </w:t>
      </w:r>
      <w:r w:rsidR="000759AE" w:rsidRPr="000759AE">
        <w:t>MIT</w:t>
      </w:r>
      <w:r w:rsidR="000759AE">
        <w:noBreakHyphen/>
      </w:r>
      <w:r w:rsidR="000759AE" w:rsidRPr="000759AE">
        <w:t>Es0001</w:t>
      </w:r>
      <w:r w:rsidR="000759AE">
        <w:noBreakHyphen/>
      </w:r>
      <w:r w:rsidR="000759AE" w:rsidRPr="000759AE">
        <w:t>C301</w:t>
      </w:r>
      <w:r w:rsidRPr="00D23308">
        <w:t>, five on-treatment pregnancies resulted in a Pearl Index of 0.44 (95%</w:t>
      </w:r>
      <w:r w:rsidR="0040561E">
        <w:t> </w:t>
      </w:r>
      <w:r w:rsidRPr="00D23308">
        <w:t>CI:</w:t>
      </w:r>
      <w:r w:rsidR="0040561E">
        <w:t> </w:t>
      </w:r>
      <w:r w:rsidRPr="00D23308">
        <w:t xml:space="preserve">0.14, 1.03) in subjects aged 18 to 35 years with </w:t>
      </w:r>
      <w:r w:rsidR="009B40BE">
        <w:t>at-risk</w:t>
      </w:r>
      <w:r w:rsidRPr="00D23308">
        <w:t xml:space="preserve"> cycles; the primary efficacy variable. The corresponding </w:t>
      </w:r>
      <w:r w:rsidR="004A44A5" w:rsidRPr="00D23308">
        <w:t>Pearl Index</w:t>
      </w:r>
      <w:r w:rsidRPr="00D23308">
        <w:t xml:space="preserve"> in the whole age group (18</w:t>
      </w:r>
      <w:r w:rsidR="004A44A5" w:rsidRPr="00D23308">
        <w:t xml:space="preserve"> to </w:t>
      </w:r>
      <w:r w:rsidRPr="00D23308">
        <w:t>50 years) was 0.38 (95% CI: 0.12, 0.89).</w:t>
      </w:r>
    </w:p>
    <w:p w14:paraId="087F3F48" w14:textId="40E6838F" w:rsidR="00704218" w:rsidRPr="00D23308" w:rsidRDefault="00704218" w:rsidP="00C41EBD">
      <w:r w:rsidRPr="00D23308">
        <w:lastRenderedPageBreak/>
        <w:t xml:space="preserve">Several other Pearl </w:t>
      </w:r>
      <w:r w:rsidR="00864110" w:rsidRPr="00D23308">
        <w:t>Index</w:t>
      </w:r>
      <w:r w:rsidRPr="00D23308">
        <w:t xml:space="preserve"> values were also presented. The ‘typical use’ </w:t>
      </w:r>
      <w:r w:rsidR="004A44A5" w:rsidRPr="00D23308">
        <w:t>Pearl Index</w:t>
      </w:r>
      <w:r w:rsidRPr="00D23308">
        <w:t xml:space="preserve"> (in which all cycles are included in the denominator regardless of other methods of birth control, occurrence of sexual intercourse or compliance with the protocol) in the </w:t>
      </w:r>
      <w:proofErr w:type="gramStart"/>
      <w:r w:rsidRPr="00D23308">
        <w:t>18</w:t>
      </w:r>
      <w:r w:rsidR="00335952" w:rsidRPr="00D23308">
        <w:t xml:space="preserve"> to </w:t>
      </w:r>
      <w:r w:rsidRPr="00D23308">
        <w:t>35</w:t>
      </w:r>
      <w:r w:rsidR="004833C3" w:rsidRPr="00D23308">
        <w:t> </w:t>
      </w:r>
      <w:r w:rsidRPr="00D23308">
        <w:t>year</w:t>
      </w:r>
      <w:r w:rsidR="00335952" w:rsidRPr="00D23308">
        <w:t xml:space="preserve"> </w:t>
      </w:r>
      <w:r w:rsidRPr="00D23308">
        <w:t>old</w:t>
      </w:r>
      <w:proofErr w:type="gramEnd"/>
      <w:r w:rsidRPr="00D23308">
        <w:t xml:space="preserve"> age group was 0.42 (95% CI: 0.14, 0.99). These Pearl </w:t>
      </w:r>
      <w:r w:rsidR="00864110" w:rsidRPr="00D23308">
        <w:t>Index</w:t>
      </w:r>
      <w:r w:rsidRPr="00D23308">
        <w:t xml:space="preserve"> values were all low and comply with the requirement for precision in accordance with the EMA </w:t>
      </w:r>
      <w:r w:rsidR="00F1682F">
        <w:t>g</w:t>
      </w:r>
      <w:r w:rsidRPr="00D23308">
        <w:t>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since the difference between the upper limit of the corresponding </w:t>
      </w:r>
      <w:r w:rsidR="0040561E">
        <w:t>two-</w:t>
      </w:r>
      <w:r w:rsidRPr="00D23308">
        <w:t xml:space="preserve">sided 95% CI for the Pearl Index and the point estimate was </w:t>
      </w:r>
      <w:r w:rsidR="004833C3" w:rsidRPr="00D23308">
        <w:t>less than one</w:t>
      </w:r>
      <w:r w:rsidRPr="00D23308">
        <w:t>.</w:t>
      </w:r>
    </w:p>
    <w:p w14:paraId="14AB6CB3" w14:textId="16DEE974" w:rsidR="00704218" w:rsidRPr="00D23308" w:rsidRDefault="00704218" w:rsidP="00C41EBD">
      <w:r w:rsidRPr="00D23308">
        <w:t>Life</w:t>
      </w:r>
      <w:r w:rsidR="0039354E" w:rsidRPr="00D23308">
        <w:t xml:space="preserve"> </w:t>
      </w:r>
      <w:r w:rsidRPr="00D23308">
        <w:t>table analyses (based on Kaplan-Meier estimates) were consistent with the Pearl Index results.</w:t>
      </w:r>
    </w:p>
    <w:p w14:paraId="0F75C3B5" w14:textId="781C46D5" w:rsidR="00704218" w:rsidRPr="00D23308" w:rsidRDefault="00704218" w:rsidP="00C41EBD">
      <w:r w:rsidRPr="00D23308">
        <w:t xml:space="preserve">In </w:t>
      </w:r>
      <w:r w:rsidR="00701EFE" w:rsidRPr="00D23308">
        <w:t xml:space="preserve">Study </w:t>
      </w:r>
      <w:r w:rsidR="000759AE" w:rsidRPr="00D23308">
        <w:t>MIT</w:t>
      </w:r>
      <w:r w:rsidR="000759AE">
        <w:noBreakHyphen/>
      </w:r>
      <w:r w:rsidR="000759AE" w:rsidRPr="00D23308">
        <w:t>Es0001</w:t>
      </w:r>
      <w:r w:rsidR="000759AE">
        <w:noBreakHyphen/>
      </w:r>
      <w:r w:rsidR="000759AE" w:rsidRPr="00D23308">
        <w:t>C302</w:t>
      </w:r>
      <w:r w:rsidRPr="00D23308">
        <w:t>, 28 on-treatment pregnancies resulted in a Pearl Index in subjects aged 16</w:t>
      </w:r>
      <w:r w:rsidR="004833C3" w:rsidRPr="00D23308">
        <w:t> </w:t>
      </w:r>
      <w:r w:rsidRPr="00D23308">
        <w:t xml:space="preserve">to 35 years with </w:t>
      </w:r>
      <w:r w:rsidR="009B40BE">
        <w:t>at-risk</w:t>
      </w:r>
      <w:r w:rsidRPr="00D23308">
        <w:t xml:space="preserve"> cycles, of 2.42 (95% CI: 1.58, 3.54). In the whole group (up to 50</w:t>
      </w:r>
      <w:r w:rsidR="004833C3" w:rsidRPr="00D23308">
        <w:t> </w:t>
      </w:r>
      <w:r w:rsidRPr="00D23308">
        <w:t xml:space="preserve">years of age) and with alternative calculation methods, the Pearl Indices ranged from 2.09 to 2.52. These </w:t>
      </w:r>
      <w:r w:rsidR="004A44A5" w:rsidRPr="00D23308">
        <w:t>Pearl Index</w:t>
      </w:r>
      <w:r w:rsidRPr="00D23308">
        <w:t xml:space="preserve"> did not comply with the requirement for precision in accordance with the EMA </w:t>
      </w:r>
      <w:r w:rsidR="00F1682F">
        <w:t>g</w:t>
      </w:r>
      <w:r w:rsidRPr="00D23308">
        <w:t>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since the difference between the upper limit of the corresponding </w:t>
      </w:r>
      <w:r w:rsidR="0040561E">
        <w:t>two-</w:t>
      </w:r>
      <w:r w:rsidRPr="00D23308">
        <w:t xml:space="preserve">sided 95% CI for the Pearl Index and the point estimate was </w:t>
      </w:r>
      <w:r w:rsidR="004833C3" w:rsidRPr="00D23308">
        <w:t>greater than one</w:t>
      </w:r>
      <w:r w:rsidRPr="00D23308">
        <w:t xml:space="preserve">. However, the upper limit of the 95% CI was below </w:t>
      </w:r>
      <w:r w:rsidR="0040561E">
        <w:t>five</w:t>
      </w:r>
      <w:r w:rsidRPr="00D23308">
        <w:t xml:space="preserve"> as claimed in the</w:t>
      </w:r>
      <w:r w:rsidR="00F1682F">
        <w:t xml:space="preserve"> </w:t>
      </w:r>
      <w:r w:rsidRPr="00D23308">
        <w:t xml:space="preserve">FDA </w:t>
      </w:r>
      <w:r w:rsidR="00F1682F">
        <w:t>g</w:t>
      </w:r>
      <w:r w:rsidRPr="00D23308">
        <w:t>uidance.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_Ref106368368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24</w:t>
      </w:r>
      <w:r w:rsidR="00F1682F" w:rsidRPr="00F1682F">
        <w:rPr>
          <w:color w:val="2B579A"/>
          <w:shd w:val="clear" w:color="auto" w:fill="E6E6E6"/>
          <w:vertAlign w:val="superscript"/>
        </w:rPr>
        <w:fldChar w:fldCharType="end"/>
      </w:r>
    </w:p>
    <w:p w14:paraId="33E19E78" w14:textId="0EBB897F" w:rsidR="00704218" w:rsidRPr="00D23308" w:rsidRDefault="00704218" w:rsidP="00C41EBD">
      <w:r w:rsidRPr="00D23308">
        <w:t xml:space="preserve">The </w:t>
      </w:r>
      <w:r w:rsidR="004A44A5" w:rsidRPr="00D23308">
        <w:t>Pearl Index</w:t>
      </w:r>
      <w:r w:rsidRPr="00D23308">
        <w:t xml:space="preserve"> for </w:t>
      </w:r>
      <w:r w:rsidR="00864110" w:rsidRPr="00D23308">
        <w:t>method failure</w:t>
      </w:r>
      <w:r w:rsidRPr="00D23308">
        <w:t xml:space="preserve"> was 1.43 (95% CI 0.78, 2.39) for the age group 16</w:t>
      </w:r>
      <w:r w:rsidR="00864110" w:rsidRPr="00D23308">
        <w:t xml:space="preserve"> to </w:t>
      </w:r>
      <w:r w:rsidRPr="00D23308">
        <w:t>35</w:t>
      </w:r>
      <w:r w:rsidR="00864110" w:rsidRPr="00D23308">
        <w:t> </w:t>
      </w:r>
      <w:r w:rsidRPr="00D23308">
        <w:t>years and 1.44 (95% CI 0.82, 2.34) for the whole study population, both with acceptable precision according to the EMA guideline.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p>
    <w:p w14:paraId="71891F68" w14:textId="2632B8C1" w:rsidR="00704218" w:rsidRPr="00D23308" w:rsidRDefault="00704218" w:rsidP="00C41EBD">
      <w:r w:rsidRPr="00D23308">
        <w:t xml:space="preserve">The bleeding pattern was overall acceptable and as expected for </w:t>
      </w:r>
      <w:r w:rsidR="0040561E">
        <w:t>combined hormonal contraceptives</w:t>
      </w:r>
      <w:r w:rsidRPr="00D23308">
        <w:t xml:space="preserve">. Less than 20% of women reported unscheduled bleeding with a tendency of improvement over the year. </w:t>
      </w:r>
      <w:proofErr w:type="gramStart"/>
      <w:r w:rsidRPr="00D23308">
        <w:t>The vast majority of</w:t>
      </w:r>
      <w:proofErr w:type="gramEnd"/>
      <w:r w:rsidRPr="00D23308">
        <w:t xml:space="preserve"> women reported scheduled bleeding, occurring in association with the hormone</w:t>
      </w:r>
      <w:r w:rsidR="005A1CC0" w:rsidRPr="00D23308">
        <w:t xml:space="preserve"> </w:t>
      </w:r>
      <w:r w:rsidRPr="00D23308">
        <w:t>free days. Few women (around 3%) discontinued for bleeding/spotting</w:t>
      </w:r>
      <w:r w:rsidR="004D11AC">
        <w:t>-</w:t>
      </w:r>
      <w:r w:rsidRPr="00D23308">
        <w:t xml:space="preserve">related </w:t>
      </w:r>
      <w:r w:rsidR="005A1CC0" w:rsidRPr="00D23308">
        <w:t>AE</w:t>
      </w:r>
      <w:r w:rsidRPr="00D23308">
        <w:t>s.</w:t>
      </w:r>
    </w:p>
    <w:p w14:paraId="3486D35D" w14:textId="66F66289" w:rsidR="00704218" w:rsidRPr="00D23308" w:rsidRDefault="00704218" w:rsidP="00C41EBD">
      <w:r w:rsidRPr="00D23308">
        <w:t xml:space="preserve">The results were not consistent across both pivotal studies. In the US/Canadian </w:t>
      </w:r>
      <w:r w:rsidR="00701EFE" w:rsidRPr="00D23308">
        <w:t>Study</w:t>
      </w:r>
      <w:r w:rsidR="00864110" w:rsidRPr="00D23308">
        <w:t> </w:t>
      </w:r>
      <w:r w:rsidR="000759AE" w:rsidRPr="00D23308">
        <w:t>MIT</w:t>
      </w:r>
      <w:r w:rsidR="000759AE">
        <w:noBreakHyphen/>
      </w:r>
      <w:r w:rsidR="000759AE" w:rsidRPr="00D23308">
        <w:t>Es0001</w:t>
      </w:r>
      <w:r w:rsidR="000759AE">
        <w:noBreakHyphen/>
      </w:r>
      <w:r w:rsidR="000759AE" w:rsidRPr="00D23308">
        <w:t>C302</w:t>
      </w:r>
      <w:r w:rsidRPr="00D23308">
        <w:t xml:space="preserve">, the total number of pregnancies was higher than in Study </w:t>
      </w:r>
      <w:r w:rsidR="000759AE" w:rsidRPr="000759AE">
        <w:t>MIT</w:t>
      </w:r>
      <w:r w:rsidR="000759AE">
        <w:noBreakHyphen/>
      </w:r>
      <w:r w:rsidR="000759AE" w:rsidRPr="000759AE">
        <w:t>Es0001</w:t>
      </w:r>
      <w:r w:rsidR="000759AE">
        <w:noBreakHyphen/>
      </w:r>
      <w:r w:rsidR="000759AE" w:rsidRPr="000759AE">
        <w:t>C301</w:t>
      </w:r>
      <w:r w:rsidRPr="00D23308">
        <w:t>. Of the 28</w:t>
      </w:r>
      <w:r w:rsidR="00F75441">
        <w:t> </w:t>
      </w:r>
      <w:r w:rsidRPr="00D23308">
        <w:t>on</w:t>
      </w:r>
      <w:r w:rsidR="00864110" w:rsidRPr="00D23308">
        <w:noBreakHyphen/>
      </w:r>
      <w:r w:rsidRPr="00D23308">
        <w:t>treatment pregnancies, twelve pregnancies were considered user failures and 16</w:t>
      </w:r>
      <w:r w:rsidR="00864110" w:rsidRPr="00D23308">
        <w:t> </w:t>
      </w:r>
      <w:r w:rsidR="004A44A5" w:rsidRPr="00D23308">
        <w:t>method failure</w:t>
      </w:r>
      <w:r w:rsidRPr="00D23308">
        <w:t xml:space="preserve">s. The requirement for precision of the </w:t>
      </w:r>
      <w:r w:rsidR="004A44A5" w:rsidRPr="00D23308">
        <w:t>Pearl Index</w:t>
      </w:r>
      <w:r w:rsidRPr="00D23308">
        <w:t xml:space="preserve"> (2.42, 95% CI: 1.58, 3.54) was not met in accordance with the EMA </w:t>
      </w:r>
      <w:r w:rsidR="00F1682F">
        <w:t>g</w:t>
      </w:r>
      <w:r w:rsidRPr="00D23308">
        <w:t>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The defined primary Pearl </w:t>
      </w:r>
      <w:r w:rsidR="00864110" w:rsidRPr="00D23308">
        <w:t>I</w:t>
      </w:r>
      <w:r w:rsidRPr="00D23308">
        <w:t xml:space="preserve">ndex value as well as the secondary </w:t>
      </w:r>
      <w:r w:rsidR="004A44A5" w:rsidRPr="00D23308">
        <w:t>Pearl Indice</w:t>
      </w:r>
      <w:r w:rsidRPr="00D23308">
        <w:t xml:space="preserve">s were higher in the US/Canadian </w:t>
      </w:r>
      <w:r w:rsidR="00701EFE" w:rsidRPr="00D23308">
        <w:t>Study</w:t>
      </w:r>
      <w:r w:rsidR="00987497">
        <w:t> </w:t>
      </w:r>
      <w:r w:rsidR="000759AE" w:rsidRPr="00D23308">
        <w:t>MIT</w:t>
      </w:r>
      <w:r w:rsidR="000759AE">
        <w:noBreakHyphen/>
      </w:r>
      <w:r w:rsidR="000759AE" w:rsidRPr="00D23308">
        <w:t>Es0001</w:t>
      </w:r>
      <w:r w:rsidR="000759AE">
        <w:noBreakHyphen/>
      </w:r>
      <w:r w:rsidR="000759AE" w:rsidRPr="00D23308">
        <w:t>C302</w:t>
      </w:r>
      <w:r w:rsidRPr="00D23308">
        <w:t xml:space="preserve"> compared with the European/Russian </w:t>
      </w:r>
      <w:r w:rsidR="00701EFE"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w:t>
      </w:r>
    </w:p>
    <w:p w14:paraId="336776EB" w14:textId="0A2CC0EA" w:rsidR="00704218" w:rsidRPr="00D23308" w:rsidRDefault="00704218" w:rsidP="00C41EBD">
      <w:r w:rsidRPr="00D23308">
        <w:t xml:space="preserve">It is acknowledged that higher Pearl Index estimates observed in US </w:t>
      </w:r>
      <w:r w:rsidR="00701EFE" w:rsidRPr="00D23308">
        <w:t>versus</w:t>
      </w:r>
      <w:r w:rsidRPr="00D23308">
        <w:t xml:space="preserve"> EU (non-US) studies is a common phenomenon found for several contraceptives and non-compliance was identified as one of the main factors impacting the efficacy of oral contraceptives in clinical trials. This would fit with the observation that for user</w:t>
      </w:r>
      <w:r w:rsidR="00864110" w:rsidRPr="00D23308">
        <w:t xml:space="preserve"> </w:t>
      </w:r>
      <w:r w:rsidRPr="00D23308">
        <w:t>independent contraceptive methods (</w:t>
      </w:r>
      <w:r w:rsidR="00864110" w:rsidRPr="00D23308">
        <w:t xml:space="preserve">for example, </w:t>
      </w:r>
      <w:r w:rsidR="0040561E">
        <w:t>i</w:t>
      </w:r>
      <w:r w:rsidR="00864110" w:rsidRPr="00D23308">
        <w:t>ntrauterine device</w:t>
      </w:r>
      <w:r w:rsidRPr="00D23308">
        <w:t xml:space="preserve">s), the </w:t>
      </w:r>
      <w:r w:rsidR="004A44A5" w:rsidRPr="00D23308">
        <w:t>Pearl Index</w:t>
      </w:r>
      <w:r w:rsidRPr="00D23308">
        <w:t xml:space="preserve"> difference was small or absent. A slightly lower compliance was observed in the US</w:t>
      </w:r>
      <w:r w:rsidR="00F75441">
        <w:t>/Canada</w:t>
      </w:r>
      <w:r w:rsidRPr="00D23308">
        <w:t xml:space="preserve"> </w:t>
      </w:r>
      <w:r w:rsidR="00F75441">
        <w:t xml:space="preserve">Study </w:t>
      </w:r>
      <w:r w:rsidR="000759AE" w:rsidRPr="00D23308">
        <w:t>MIT</w:t>
      </w:r>
      <w:r w:rsidR="000759AE">
        <w:noBreakHyphen/>
      </w:r>
      <w:r w:rsidR="000759AE" w:rsidRPr="00D23308">
        <w:t>Es0001</w:t>
      </w:r>
      <w:r w:rsidR="000759AE">
        <w:noBreakHyphen/>
      </w:r>
      <w:r w:rsidR="000759AE" w:rsidRPr="00D23308">
        <w:t>C302</w:t>
      </w:r>
      <w:r w:rsidR="00F75441">
        <w:t xml:space="preserve"> </w:t>
      </w:r>
      <w:r w:rsidR="00701EFE" w:rsidRPr="00D23308">
        <w:t>versus</w:t>
      </w:r>
      <w:r w:rsidRPr="00D23308">
        <w:t xml:space="preserve"> the EU</w:t>
      </w:r>
      <w:r w:rsidR="00F75441">
        <w:t>/Russia</w:t>
      </w:r>
      <w:r w:rsidRPr="00D23308">
        <w:t xml:space="preserve"> </w:t>
      </w:r>
      <w:r w:rsidR="00F75441">
        <w:t>S</w:t>
      </w:r>
      <w:r w:rsidRPr="00D23308">
        <w:t>tudy</w:t>
      </w:r>
      <w:r w:rsidR="00F75441">
        <w:t xml:space="preserve"> </w:t>
      </w:r>
      <w:r w:rsidR="000759AE" w:rsidRPr="000759AE">
        <w:t>MIT</w:t>
      </w:r>
      <w:r w:rsidR="000759AE">
        <w:noBreakHyphen/>
      </w:r>
      <w:r w:rsidR="000759AE" w:rsidRPr="000759AE">
        <w:t>Es0001</w:t>
      </w:r>
      <w:r w:rsidR="000759AE">
        <w:noBreakHyphen/>
      </w:r>
      <w:r w:rsidR="000759AE" w:rsidRPr="000759AE">
        <w:t>C301</w:t>
      </w:r>
      <w:r w:rsidRPr="00D23308">
        <w:t xml:space="preserve">, although it is unclear if this difference would be large enough to lead to the observed </w:t>
      </w:r>
      <w:r w:rsidR="004A44A5" w:rsidRPr="00D23308">
        <w:t>Pearl Index</w:t>
      </w:r>
      <w:r w:rsidRPr="00D23308">
        <w:t xml:space="preserve"> difference.</w:t>
      </w:r>
    </w:p>
    <w:p w14:paraId="2349F0EF" w14:textId="75584A27" w:rsidR="00704218" w:rsidRPr="00D23308" w:rsidRDefault="00704218" w:rsidP="00C41EBD">
      <w:r w:rsidRPr="00D23308">
        <w:t xml:space="preserve">The </w:t>
      </w:r>
      <w:r w:rsidR="00395F07" w:rsidRPr="00D23308">
        <w:t>sponsor</w:t>
      </w:r>
      <w:r w:rsidRPr="00D23308">
        <w:t xml:space="preserve"> has presented pooled Pearl </w:t>
      </w:r>
      <w:r w:rsidR="00864110" w:rsidRPr="00D23308">
        <w:t>Index</w:t>
      </w:r>
      <w:r w:rsidRPr="00D23308">
        <w:t xml:space="preserve"> results for the two pivotal studies. The studies are both large and the European study (</w:t>
      </w:r>
      <w:r w:rsidR="00864110" w:rsidRPr="00D23308">
        <w:t xml:space="preserve">Study </w:t>
      </w:r>
      <w:r w:rsidR="000759AE" w:rsidRPr="000759AE">
        <w:t>MIT</w:t>
      </w:r>
      <w:r w:rsidR="000759AE">
        <w:noBreakHyphen/>
      </w:r>
      <w:r w:rsidR="000759AE" w:rsidRPr="000759AE">
        <w:t>Es0001</w:t>
      </w:r>
      <w:r w:rsidR="000759AE">
        <w:noBreakHyphen/>
      </w:r>
      <w:r w:rsidR="000759AE" w:rsidRPr="000759AE">
        <w:t>C301</w:t>
      </w:r>
      <w:r w:rsidRPr="00D23308">
        <w:t xml:space="preserve">) provided a Pearl </w:t>
      </w:r>
      <w:r w:rsidR="00864110" w:rsidRPr="00D23308">
        <w:t>Index</w:t>
      </w:r>
      <w:r w:rsidRPr="00D23308">
        <w:t xml:space="preserve"> with an acceptable precision </w:t>
      </w:r>
      <w:proofErr w:type="gramStart"/>
      <w:r w:rsidRPr="00D23308">
        <w:t>and also</w:t>
      </w:r>
      <w:proofErr w:type="gramEnd"/>
      <w:r w:rsidRPr="00D23308">
        <w:t xml:space="preserve"> given the differences in both the studies, including inconsistent results, the Delegate does not consider a need for pooling.</w:t>
      </w:r>
    </w:p>
    <w:p w14:paraId="66ACD950" w14:textId="06FABD5B" w:rsidR="00704218" w:rsidRPr="00D23308" w:rsidRDefault="00C41EBD" w:rsidP="006E1E32">
      <w:pPr>
        <w:pStyle w:val="Heading5"/>
      </w:pPr>
      <w:r w:rsidRPr="00D23308">
        <w:t>S</w:t>
      </w:r>
      <w:r w:rsidR="00704218" w:rsidRPr="00D23308">
        <w:t>afety</w:t>
      </w:r>
    </w:p>
    <w:p w14:paraId="1019BFC3" w14:textId="1F0B60C0" w:rsidR="00704218" w:rsidRPr="00D23308" w:rsidRDefault="00704218" w:rsidP="00C41EBD">
      <w:r w:rsidRPr="00D23308">
        <w:t xml:space="preserve">The safety profile of Nextstellis was acceptable. The most common </w:t>
      </w:r>
      <w:r w:rsidR="00145304">
        <w:t>AEs</w:t>
      </w:r>
      <w:r w:rsidR="0040561E" w:rsidRPr="00D23308">
        <w:t xml:space="preserve"> </w:t>
      </w:r>
      <w:r w:rsidRPr="00D23308">
        <w:t xml:space="preserve">were headache (6.4%), metrorrhagia (4.6%), viral upper respiratory tract infection (3.9%), acne (3.7%), dysmenorrhea (3.3%), vaginal haemorrhage (3.1%), nausea (2.7%), urinary tract infection (2.5%), weight increased (2.6%), breast pain (2.3%) and abdominal pain (2.1%). The </w:t>
      </w:r>
      <w:r w:rsidR="00145304">
        <w:t>AE</w:t>
      </w:r>
      <w:r w:rsidR="0040561E" w:rsidRPr="00D23308">
        <w:t xml:space="preserve"> </w:t>
      </w:r>
      <w:r w:rsidRPr="00D23308">
        <w:lastRenderedPageBreak/>
        <w:t xml:space="preserve">profile appears </w:t>
      </w:r>
      <w:proofErr w:type="gramStart"/>
      <w:r w:rsidRPr="00D23308">
        <w:t>similar to</w:t>
      </w:r>
      <w:proofErr w:type="gramEnd"/>
      <w:r w:rsidRPr="00D23308">
        <w:t xml:space="preserve"> other </w:t>
      </w:r>
      <w:r w:rsidR="0040561E">
        <w:t>combined hormonal contraceptive</w:t>
      </w:r>
      <w:r w:rsidRPr="00D23308">
        <w:t xml:space="preserve">s and the clinical safety profile is overall not concerning. The known risks with </w:t>
      </w:r>
      <w:r w:rsidR="0040561E">
        <w:t>these contraceptives</w:t>
      </w:r>
      <w:r w:rsidR="0040561E" w:rsidRPr="00D23308">
        <w:t xml:space="preserve"> </w:t>
      </w:r>
      <w:r w:rsidRPr="00D23308">
        <w:t>can be managed by pharmacovigilance measures under the RMP.</w:t>
      </w:r>
    </w:p>
    <w:p w14:paraId="46DE4C52" w14:textId="6B5B286E" w:rsidR="00704218" w:rsidRPr="00D23308" w:rsidRDefault="00704218" w:rsidP="00C41EBD">
      <w:r>
        <w:t xml:space="preserve">The two events of </w:t>
      </w:r>
      <w:r w:rsidR="0040561E">
        <w:t xml:space="preserve">venous thromboembolism (VTE) </w:t>
      </w:r>
      <w:r>
        <w:t>were both considered related to study treatment.</w:t>
      </w:r>
      <w:r w:rsidR="00C96017">
        <w:t xml:space="preserve"> </w:t>
      </w:r>
      <w:r>
        <w:t xml:space="preserve">The currently available clinical safety database is too small to draw conclusions regarding the magnitude of the risk for/incidence of VTEs at treatment with </w:t>
      </w:r>
      <w:r w:rsidR="009A2E70">
        <w:t>estetrol</w:t>
      </w:r>
      <w:r>
        <w:t>/</w:t>
      </w:r>
      <w:r w:rsidR="009A2E70">
        <w:t>drospirenone</w:t>
      </w:r>
      <w:r>
        <w:t xml:space="preserve">, and the </w:t>
      </w:r>
      <w:r w:rsidR="00395F07">
        <w:t>sponsor</w:t>
      </w:r>
      <w:r>
        <w:t xml:space="preserve">’s attempt to calculate an incidence based on the </w:t>
      </w:r>
      <w:r w:rsidR="00864110">
        <w:t>integrated summary of safety</w:t>
      </w:r>
      <w:r>
        <w:t xml:space="preserve"> population is not considered conclusive. Treatment with </w:t>
      </w:r>
      <w:r w:rsidR="00286A63">
        <w:t>15</w:t>
      </w:r>
      <w:r w:rsidR="0040561E">
        <w:t> </w:t>
      </w:r>
      <w:r w:rsidR="00286A63">
        <w:t>mg estetrol/</w:t>
      </w:r>
      <w:r w:rsidR="00864110">
        <w:t xml:space="preserve"> </w:t>
      </w:r>
      <w:r w:rsidR="00286A63">
        <w:t>3</w:t>
      </w:r>
      <w:r w:rsidR="00864110">
        <w:t> </w:t>
      </w:r>
      <w:r w:rsidR="00286A63">
        <w:t>mg</w:t>
      </w:r>
      <w:r w:rsidR="00864110">
        <w:t> </w:t>
      </w:r>
      <w:r w:rsidR="00286A63">
        <w:t xml:space="preserve">drospirenone </w:t>
      </w:r>
      <w:r>
        <w:t xml:space="preserve">resulted in the least apparent changes from </w:t>
      </w:r>
      <w:r w:rsidR="00701EFE">
        <w:t>Baseline</w:t>
      </w:r>
      <w:r>
        <w:t xml:space="preserve"> in the haemostatic parameters compared to </w:t>
      </w:r>
      <w:r w:rsidR="00E72922">
        <w:t>ethinylestradiol</w:t>
      </w:r>
      <w:r>
        <w:t>/</w:t>
      </w:r>
      <w:r w:rsidR="00A83CAC">
        <w:t>levonorgestrel</w:t>
      </w:r>
      <w:r>
        <w:t xml:space="preserve"> and </w:t>
      </w:r>
      <w:r w:rsidR="00E72922">
        <w:t>ethinylestradiol</w:t>
      </w:r>
      <w:r>
        <w:t>/</w:t>
      </w:r>
      <w:r w:rsidR="009A2E70">
        <w:t>drospirenone</w:t>
      </w:r>
      <w:r>
        <w:t xml:space="preserve">, which is considered reassuring. The clinical significance of the effects on haemostatic parameters </w:t>
      </w:r>
      <w:proofErr w:type="gramStart"/>
      <w:r>
        <w:t>with regard to</w:t>
      </w:r>
      <w:proofErr w:type="gramEnd"/>
      <w:r>
        <w:t xml:space="preserve"> VTE risk can, however, only be hypothetical. The association with laboratory results, which are surrogate biomarkers, and VTE risk is weak. VTE is an established risk during use of a </w:t>
      </w:r>
      <w:r w:rsidR="0040561E">
        <w:t xml:space="preserve">hormonal contraceptive </w:t>
      </w:r>
      <w:r>
        <w:t xml:space="preserve">and usually associated with the estrogen content of the </w:t>
      </w:r>
      <w:r w:rsidR="0040561E">
        <w:t>combined hormonal contraceptive</w:t>
      </w:r>
      <w:r>
        <w:t xml:space="preserve">. Altogether, no claims regarding the relative risk for VTE with Nextstellis in comparison with other </w:t>
      </w:r>
      <w:r w:rsidR="0040561E">
        <w:t xml:space="preserve">combined hormonal contraceptives </w:t>
      </w:r>
      <w:r>
        <w:t>can be made based on the currently available data.</w:t>
      </w:r>
    </w:p>
    <w:p w14:paraId="5922AD45" w14:textId="29958E03" w:rsidR="00704218" w:rsidRPr="00D23308" w:rsidRDefault="00704218" w:rsidP="00C41EBD">
      <w:r w:rsidRPr="00D23308">
        <w:t xml:space="preserve">The incidence of VTE in the studies was low, and most of the risks associated with </w:t>
      </w:r>
      <w:r w:rsidR="00001DFF">
        <w:t>combined oral contraceptive</w:t>
      </w:r>
      <w:r w:rsidRPr="00D23308">
        <w:t xml:space="preserve">s, including Nextstellis, are addressed with appropriate precautionary text in the </w:t>
      </w:r>
      <w:r w:rsidR="00323F35">
        <w:t>Product Information</w:t>
      </w:r>
      <w:r w:rsidRPr="00D23308">
        <w:t>/CMI. In addition, this is adequately addressed in the RMP. This is considered acceptable.</w:t>
      </w:r>
    </w:p>
    <w:p w14:paraId="2DBAAD43" w14:textId="77777777" w:rsidR="0074163C" w:rsidRPr="00D23308" w:rsidRDefault="0074163C" w:rsidP="0074163C">
      <w:pPr>
        <w:pStyle w:val="Heading4"/>
      </w:pPr>
      <w:bookmarkStart w:id="69" w:name="_Toc98931933"/>
      <w:r w:rsidRPr="00D23308">
        <w:t>Proposed action</w:t>
      </w:r>
      <w:bookmarkEnd w:id="69"/>
    </w:p>
    <w:p w14:paraId="54E4DB5B" w14:textId="0CDED81C" w:rsidR="00704218" w:rsidRPr="00D23308" w:rsidRDefault="00704218" w:rsidP="00C41EBD">
      <w:r w:rsidRPr="00D23308">
        <w:t>Unintended pregnancy negatively affects personal, societal, and maternal and infant health in numerous ways. Providing females of reproductive potential with contraceptive options to prevent unintended pregnancy will have a significant positive impact on maternal and child health.</w:t>
      </w:r>
    </w:p>
    <w:p w14:paraId="6AC0169C" w14:textId="289E7C3C" w:rsidR="00704218" w:rsidRPr="00D23308" w:rsidRDefault="00704218" w:rsidP="00C41EBD">
      <w:r w:rsidRPr="00D23308">
        <w:t xml:space="preserve">An adequate ovulation inhibitory effect and cycle control has been observed for the proposed dose regimen of </w:t>
      </w:r>
      <w:r w:rsidR="00286A63" w:rsidRPr="00D23308">
        <w:t xml:space="preserve">15 mg estetrol/3 mg drospirenone </w:t>
      </w:r>
      <w:r w:rsidRPr="00D23308">
        <w:t>in the clinical pharmacology programme.</w:t>
      </w:r>
    </w:p>
    <w:p w14:paraId="663055BB" w14:textId="47579742" w:rsidR="00704218" w:rsidRPr="00D23308" w:rsidRDefault="00704218" w:rsidP="00C41EBD">
      <w:r w:rsidRPr="00D23308">
        <w:t xml:space="preserve">The contraceptive efficacy results in Study </w:t>
      </w:r>
      <w:r w:rsidR="000759AE" w:rsidRPr="000759AE">
        <w:t>MIT</w:t>
      </w:r>
      <w:r w:rsidR="000759AE">
        <w:noBreakHyphen/>
      </w:r>
      <w:r w:rsidR="000759AE" w:rsidRPr="000759AE">
        <w:t>Es0001</w:t>
      </w:r>
      <w:r w:rsidR="000759AE">
        <w:noBreakHyphen/>
      </w:r>
      <w:r w:rsidR="000759AE" w:rsidRPr="000759AE">
        <w:t>C301</w:t>
      </w:r>
      <w:r w:rsidRPr="00D23308">
        <w:t xml:space="preserve"> show that </w:t>
      </w:r>
      <w:r w:rsidR="009A2E70" w:rsidRPr="00D23308">
        <w:t>estetrol</w:t>
      </w:r>
      <w:r w:rsidRPr="00D23308">
        <w:t>/</w:t>
      </w:r>
      <w:r w:rsidR="009A2E70" w:rsidRPr="00D23308">
        <w:t>drospirenone</w:t>
      </w:r>
      <w:r w:rsidRPr="00D23308">
        <w:t xml:space="preserve"> is a </w:t>
      </w:r>
      <w:r w:rsidR="0040561E">
        <w:t>combined hormonal contraceptive</w:t>
      </w:r>
      <w:r w:rsidR="0040561E" w:rsidRPr="00D23308">
        <w:t xml:space="preserve"> </w:t>
      </w:r>
      <w:r w:rsidRPr="00D23308">
        <w:t xml:space="preserve">with low Pearl </w:t>
      </w:r>
      <w:r w:rsidR="00864110" w:rsidRPr="00D23308">
        <w:t>Index</w:t>
      </w:r>
      <w:r w:rsidRPr="00D23308">
        <w:t xml:space="preserve">. This was true for all definitions of Pearl </w:t>
      </w:r>
      <w:r w:rsidR="00864110" w:rsidRPr="00D23308">
        <w:t>Index</w:t>
      </w:r>
      <w:r w:rsidRPr="00D23308">
        <w:t xml:space="preserve">, including the </w:t>
      </w:r>
      <w:r w:rsidR="004A44A5" w:rsidRPr="00D23308">
        <w:t>method failure Pearl Index</w:t>
      </w:r>
      <w:r w:rsidRPr="00D23308">
        <w:t xml:space="preserve">, as well as for the group of women </w:t>
      </w:r>
      <w:r w:rsidR="00F75441">
        <w:t xml:space="preserve">aged </w:t>
      </w:r>
      <w:r w:rsidRPr="00D23308">
        <w:t>18</w:t>
      </w:r>
      <w:r w:rsidR="00F75441">
        <w:t> </w:t>
      </w:r>
      <w:r w:rsidR="004A44A5" w:rsidRPr="00D23308">
        <w:t xml:space="preserve">to </w:t>
      </w:r>
      <w:r w:rsidRPr="00D23308">
        <w:t xml:space="preserve">35 years and the whole study population up to 50 years of age. The precision in the </w:t>
      </w:r>
      <w:r w:rsidR="004A44A5" w:rsidRPr="00D23308">
        <w:t>Pearl Index</w:t>
      </w:r>
      <w:r w:rsidRPr="00D23308">
        <w:t xml:space="preserve"> estimates was high, thus, fulfilling the requirements in the EMA guideline.</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The Study </w:t>
      </w:r>
      <w:r w:rsidR="000759AE" w:rsidRPr="000759AE">
        <w:t>MIT</w:t>
      </w:r>
      <w:r w:rsidR="000759AE">
        <w:noBreakHyphen/>
      </w:r>
      <w:r w:rsidR="000759AE" w:rsidRPr="000759AE">
        <w:t>Es0001</w:t>
      </w:r>
      <w:r w:rsidR="000759AE">
        <w:noBreakHyphen/>
      </w:r>
      <w:r w:rsidR="000759AE" w:rsidRPr="000759AE">
        <w:t>C301</w:t>
      </w:r>
      <w:r w:rsidRPr="00D23308">
        <w:t xml:space="preserve"> was sufficiently large to demonstrate a Pearl </w:t>
      </w:r>
      <w:r w:rsidR="00864110" w:rsidRPr="00D23308">
        <w:t>Index</w:t>
      </w:r>
      <w:r w:rsidRPr="00D23308">
        <w:t xml:space="preserve"> of adequate precision to support this application.</w:t>
      </w:r>
    </w:p>
    <w:p w14:paraId="6755D8D3" w14:textId="277E7577" w:rsidR="00704218" w:rsidRPr="00D23308" w:rsidRDefault="00704218" w:rsidP="00C41EBD">
      <w:r w:rsidRPr="00D23308">
        <w:t xml:space="preserve">In </w:t>
      </w:r>
      <w:r w:rsidR="00701EFE" w:rsidRPr="00D23308">
        <w:t xml:space="preserve">Study </w:t>
      </w:r>
      <w:r w:rsidR="000759AE" w:rsidRPr="00D23308">
        <w:t>MIT</w:t>
      </w:r>
      <w:r w:rsidR="000759AE">
        <w:noBreakHyphen/>
      </w:r>
      <w:r w:rsidR="000759AE" w:rsidRPr="00D23308">
        <w:t>Es0001</w:t>
      </w:r>
      <w:r w:rsidR="000759AE">
        <w:noBreakHyphen/>
      </w:r>
      <w:r w:rsidR="000759AE" w:rsidRPr="00D23308">
        <w:t>C302</w:t>
      </w:r>
      <w:r w:rsidRPr="00D23308">
        <w:t xml:space="preserve"> on the other hand, the primary </w:t>
      </w:r>
      <w:r w:rsidR="004A44A5" w:rsidRPr="00D23308">
        <w:t>Pearl Index</w:t>
      </w:r>
      <w:r w:rsidRPr="00D23308">
        <w:t xml:space="preserve"> as well as other Pearl </w:t>
      </w:r>
      <w:r w:rsidR="00864110" w:rsidRPr="00D23308">
        <w:t>Indices</w:t>
      </w:r>
      <w:r w:rsidRPr="00D23308">
        <w:t xml:space="preserve"> were much higher and had lower precision, not fulfilling the EMA guideline</w:t>
      </w:r>
      <w:r w:rsidR="00F1682F">
        <w:t>;</w:t>
      </w:r>
      <w:r w:rsidR="00F1682F" w:rsidRPr="00F1682F">
        <w:rPr>
          <w:color w:val="2B579A"/>
          <w:shd w:val="clear" w:color="auto" w:fill="E6E6E6"/>
          <w:vertAlign w:val="superscript"/>
        </w:rPr>
        <w:fldChar w:fldCharType="begin"/>
      </w:r>
      <w:r w:rsidR="00F1682F" w:rsidRPr="00F1682F">
        <w:rPr>
          <w:vertAlign w:val="superscript"/>
        </w:rPr>
        <w:instrText xml:space="preserve"> NOTEREF _Ref106367821 \h </w:instrText>
      </w:r>
      <w:r w:rsidR="00F1682F">
        <w:rPr>
          <w:vertAlign w:val="superscript"/>
        </w:rPr>
        <w:instrText xml:space="preserve"> \* MERGEFORMAT </w:instrText>
      </w:r>
      <w:r w:rsidR="00F1682F" w:rsidRPr="00F1682F">
        <w:rPr>
          <w:color w:val="2B579A"/>
          <w:shd w:val="clear" w:color="auto" w:fill="E6E6E6"/>
          <w:vertAlign w:val="superscript"/>
        </w:rPr>
      </w:r>
      <w:r w:rsidR="00F1682F" w:rsidRPr="00F1682F">
        <w:rPr>
          <w:color w:val="2B579A"/>
          <w:shd w:val="clear" w:color="auto" w:fill="E6E6E6"/>
          <w:vertAlign w:val="superscript"/>
        </w:rPr>
        <w:fldChar w:fldCharType="separate"/>
      </w:r>
      <w:r w:rsidR="005319AF">
        <w:rPr>
          <w:vertAlign w:val="superscript"/>
        </w:rPr>
        <w:t>20</w:t>
      </w:r>
      <w:r w:rsidR="00F1682F" w:rsidRPr="00F1682F">
        <w:rPr>
          <w:color w:val="2B579A"/>
          <w:shd w:val="clear" w:color="auto" w:fill="E6E6E6"/>
          <w:vertAlign w:val="superscript"/>
        </w:rPr>
        <w:fldChar w:fldCharType="end"/>
      </w:r>
      <w:r w:rsidRPr="00D23308">
        <w:t xml:space="preserve"> requirements. These details can merely be noted in the PI.</w:t>
      </w:r>
    </w:p>
    <w:p w14:paraId="636BF416" w14:textId="6310D626" w:rsidR="00704218" w:rsidRPr="00D23308" w:rsidRDefault="00704218" w:rsidP="00C41EBD">
      <w:r w:rsidRPr="00D23308">
        <w:t>Overall, Nextstellis (</w:t>
      </w:r>
      <w:r w:rsidR="00864110" w:rsidRPr="00D23308">
        <w:t>15 mg e</w:t>
      </w:r>
      <w:r w:rsidRPr="00D23308">
        <w:t>stetrol monohydrate</w:t>
      </w:r>
      <w:r w:rsidR="00864110" w:rsidRPr="00D23308">
        <w:t xml:space="preserve">/3 mg </w:t>
      </w:r>
      <w:r w:rsidRPr="00D23308">
        <w:t xml:space="preserve">drospirenone) provided good contraceptive efficacy, predictable vaginal bleeding patterns. Overall, the safety profile of </w:t>
      </w:r>
      <w:r w:rsidR="00286A63" w:rsidRPr="00D23308">
        <w:t>15</w:t>
      </w:r>
      <w:r w:rsidR="00864110" w:rsidRPr="00D23308">
        <w:t> </w:t>
      </w:r>
      <w:r w:rsidR="00286A63" w:rsidRPr="00D23308">
        <w:t xml:space="preserve">mg estetrol/3 mg drospirenone </w:t>
      </w:r>
      <w:r w:rsidRPr="00D23308">
        <w:t>was as expected for an estrogen/progestin oral contraceptive combination.</w:t>
      </w:r>
    </w:p>
    <w:p w14:paraId="737AD279" w14:textId="1300A71A" w:rsidR="00D0735F" w:rsidRDefault="00D0735F" w:rsidP="003F3909">
      <w:r>
        <w:t>Post-ACM meeting, t</w:t>
      </w:r>
      <w:r w:rsidRPr="00D0735F">
        <w:t>he quality evaluator provided chemistry, quality and control</w:t>
      </w:r>
      <w:r>
        <w:t xml:space="preserve"> </w:t>
      </w:r>
      <w:r w:rsidRPr="00D0735F">
        <w:t>clearance for approval and confirmed that there are no outstanding matters form a chemistry perspective.</w:t>
      </w:r>
    </w:p>
    <w:p w14:paraId="544803A0" w14:textId="77777777" w:rsidR="00D0735F" w:rsidRDefault="00D0735F" w:rsidP="00944B74">
      <w:pPr>
        <w:pageBreakBefore/>
      </w:pPr>
      <w:r>
        <w:lastRenderedPageBreak/>
        <w:t>Overall, based on the review of data on quality, safety and efficacy, the Delegate considers that the benefit-risk balance of Nextstellis is favourable in the following indication:</w:t>
      </w:r>
    </w:p>
    <w:p w14:paraId="364834EB" w14:textId="69BFFAB2" w:rsidR="00D0735F" w:rsidRPr="00D0735F" w:rsidRDefault="00D0735F" w:rsidP="00D0735F">
      <w:pPr>
        <w:ind w:left="720"/>
        <w:rPr>
          <w:i/>
          <w:iCs/>
        </w:rPr>
      </w:pPr>
      <w:r w:rsidRPr="00D0735F">
        <w:rPr>
          <w:i/>
          <w:iCs/>
        </w:rPr>
        <w:t>For use by women of reproductive potential to prevent pregnancy.</w:t>
      </w:r>
    </w:p>
    <w:p w14:paraId="42A92BFF" w14:textId="77777777" w:rsidR="0074163C" w:rsidRPr="00D23308" w:rsidRDefault="0074163C" w:rsidP="0074163C">
      <w:pPr>
        <w:pStyle w:val="Heading4"/>
      </w:pPr>
      <w:bookmarkStart w:id="70" w:name="_Toc98931936"/>
      <w:bookmarkStart w:id="71" w:name="_Toc247691532"/>
      <w:bookmarkStart w:id="72" w:name="_Toc314842516"/>
      <w:bookmarkEnd w:id="29"/>
      <w:bookmarkEnd w:id="64"/>
      <w:bookmarkEnd w:id="65"/>
      <w:r w:rsidRPr="00D23308">
        <w:t>Advisory Committee considerations</w:t>
      </w:r>
      <w:bookmarkEnd w:id="70"/>
    </w:p>
    <w:p w14:paraId="6F09A31C" w14:textId="30F0AF99" w:rsidR="0074163C" w:rsidRPr="00D23308" w:rsidRDefault="0074163C" w:rsidP="0074163C">
      <w:pPr>
        <w:rPr>
          <w:bCs/>
        </w:rPr>
      </w:pPr>
      <w:r w:rsidRPr="00D23308">
        <w:rPr>
          <w:bCs/>
        </w:rPr>
        <w:t xml:space="preserve">The </w:t>
      </w:r>
      <w:hyperlink r:id="rId34" w:history="1">
        <w:r w:rsidRPr="00D23308">
          <w:rPr>
            <w:rStyle w:val="Hyperlink"/>
            <w:szCs w:val="21"/>
          </w:rPr>
          <w:t>Advisory Committee on Medicines (ACM)</w:t>
        </w:r>
      </w:hyperlink>
      <w:r w:rsidRPr="00D23308">
        <w:rPr>
          <w:szCs w:val="21"/>
        </w:rPr>
        <w:t>,</w:t>
      </w:r>
      <w:r w:rsidRPr="00D23308">
        <w:rPr>
          <w:bCs/>
        </w:rPr>
        <w:t xml:space="preserve"> having considered the evaluations and the Delegate’s overview, as well as the sponsor’s response to these documents, advised the following.</w:t>
      </w:r>
    </w:p>
    <w:p w14:paraId="5FC36254" w14:textId="77777777" w:rsidR="0074163C" w:rsidRPr="00D23308" w:rsidRDefault="0074163C" w:rsidP="0074163C">
      <w:pPr>
        <w:pStyle w:val="Heading5"/>
      </w:pPr>
      <w:r w:rsidRPr="00D23308">
        <w:t>Specific advice to the Delegate</w:t>
      </w:r>
    </w:p>
    <w:p w14:paraId="37CDCCCD" w14:textId="77777777" w:rsidR="00F87BC1" w:rsidRPr="00D23308" w:rsidRDefault="00F87BC1" w:rsidP="00F87BC1">
      <w:pPr>
        <w:pStyle w:val="Numberbullet0"/>
        <w:rPr>
          <w:b/>
          <w:bCs/>
          <w:i/>
          <w:iCs/>
        </w:rPr>
      </w:pPr>
      <w:r w:rsidRPr="00D23308">
        <w:rPr>
          <w:b/>
          <w:bCs/>
          <w:i/>
          <w:iCs/>
        </w:rPr>
        <w:t>Please comment on the benefit-risk balance of Nextstellis in the proposed indication:</w:t>
      </w:r>
    </w:p>
    <w:p w14:paraId="6D3693DC" w14:textId="46EB0351" w:rsidR="00F87BC1" w:rsidRPr="00D23308" w:rsidRDefault="00F87BC1" w:rsidP="00F87BC1">
      <w:pPr>
        <w:pStyle w:val="Numberbullet0"/>
        <w:numPr>
          <w:ilvl w:val="0"/>
          <w:numId w:val="0"/>
        </w:numPr>
        <w:ind w:left="850"/>
        <w:rPr>
          <w:b/>
          <w:bCs/>
          <w:i/>
          <w:iCs/>
        </w:rPr>
      </w:pPr>
      <w:r w:rsidRPr="00D23308">
        <w:rPr>
          <w:b/>
          <w:bCs/>
          <w:i/>
          <w:iCs/>
        </w:rPr>
        <w:t>For use by women of reproductive potential to prevent pregnancy.</w:t>
      </w:r>
    </w:p>
    <w:p w14:paraId="61D35262" w14:textId="21369E45" w:rsidR="00F87BC1" w:rsidRPr="00D23308" w:rsidRDefault="00F87BC1" w:rsidP="00C41EBD">
      <w:r w:rsidRPr="00D23308">
        <w:t xml:space="preserve">From the clinical data provided to the ACM and in the context of </w:t>
      </w:r>
      <w:r w:rsidR="001C2842" w:rsidRPr="00D23308">
        <w:t>widespread</w:t>
      </w:r>
      <w:r w:rsidRPr="00D23308">
        <w:t xml:space="preserve">, </w:t>
      </w:r>
      <w:r w:rsidR="00F75441" w:rsidRPr="00D23308">
        <w:t>long-term</w:t>
      </w:r>
      <w:r w:rsidRPr="00D23308">
        <w:t xml:space="preserve"> use of </w:t>
      </w:r>
      <w:r w:rsidR="00001DFF">
        <w:t>combined oral contraceptives</w:t>
      </w:r>
      <w:r w:rsidRPr="00D23308">
        <w:t xml:space="preserve">, the ACM considered Nextstellis (estetrol monohydrate/drospirenone) in the relevant dosage to have a positive benefit-risk profile for the prevention of pregnancy, subject to ongoing supervision by the patient’s primary healthcare provider. The risk profile for Nextstellis was not considered to be higher than for other available </w:t>
      </w:r>
      <w:r w:rsidR="00001DFF" w:rsidRPr="00001DFF">
        <w:t>combined oral contraceptives</w:t>
      </w:r>
      <w:r w:rsidRPr="00D23308">
        <w:t>.</w:t>
      </w:r>
    </w:p>
    <w:p w14:paraId="030C765C" w14:textId="29AEF1B3" w:rsidR="00F87BC1" w:rsidRPr="00D23308" w:rsidRDefault="00F87BC1" w:rsidP="00C41EBD">
      <w:r w:rsidRPr="00D23308">
        <w:t xml:space="preserve">The ACM was of the view that while there are uncommon serious risks that may materialise from any </w:t>
      </w:r>
      <w:r w:rsidR="00001DFF">
        <w:t>combined oral contraceptive</w:t>
      </w:r>
      <w:r w:rsidRPr="00D23308">
        <w:t xml:space="preserve">, including Nextstellis, the overall risk of pregnancy is higher than the risk of the adverse events from the </w:t>
      </w:r>
      <w:r w:rsidR="00001DFF">
        <w:t>combined oral contraceptive</w:t>
      </w:r>
      <w:r w:rsidRPr="00D23308">
        <w:t>. The ACM commented that both emotional and physical adverse effects should be recognised in this context.</w:t>
      </w:r>
    </w:p>
    <w:p w14:paraId="10256B76" w14:textId="77777777" w:rsidR="00F87BC1" w:rsidRPr="00D23308" w:rsidRDefault="00F87BC1" w:rsidP="00C41EBD">
      <w:r w:rsidRPr="00D23308">
        <w:t>As women have different needs and experiences, the ACM advised that it is important to have a range of contraceptive options available.</w:t>
      </w:r>
    </w:p>
    <w:p w14:paraId="06983EA7" w14:textId="77777777" w:rsidR="00F87BC1" w:rsidRPr="00D23308" w:rsidRDefault="00F87BC1" w:rsidP="00F87BC1">
      <w:pPr>
        <w:pStyle w:val="Numberbullet0"/>
        <w:rPr>
          <w:b/>
          <w:bCs/>
          <w:i/>
          <w:iCs/>
        </w:rPr>
      </w:pPr>
      <w:r w:rsidRPr="00D23308">
        <w:rPr>
          <w:b/>
          <w:bCs/>
          <w:i/>
          <w:iCs/>
        </w:rPr>
        <w:t xml:space="preserve">The committee is also requested to provide advice on any other issues that it thinks may be relevant to a decision on </w:t>
      </w:r>
      <w:proofErr w:type="gramStart"/>
      <w:r w:rsidRPr="00D23308">
        <w:rPr>
          <w:b/>
          <w:bCs/>
          <w:i/>
          <w:iCs/>
        </w:rPr>
        <w:t>whether or not</w:t>
      </w:r>
      <w:proofErr w:type="gramEnd"/>
      <w:r w:rsidRPr="00D23308">
        <w:rPr>
          <w:b/>
          <w:bCs/>
          <w:i/>
          <w:iCs/>
        </w:rPr>
        <w:t xml:space="preserve"> to approve this application.</w:t>
      </w:r>
    </w:p>
    <w:p w14:paraId="19A83A4D" w14:textId="2EEAFB92" w:rsidR="00F87BC1" w:rsidRPr="00D23308" w:rsidRDefault="001C2842" w:rsidP="00F87BC1">
      <w:r w:rsidRPr="00D23308">
        <w:t>No</w:t>
      </w:r>
      <w:r w:rsidR="00F87BC1" w:rsidRPr="00D23308">
        <w:t xml:space="preserve"> further advice.</w:t>
      </w:r>
    </w:p>
    <w:p w14:paraId="4BD62766" w14:textId="77777777" w:rsidR="0074163C" w:rsidRPr="00D23308" w:rsidRDefault="0074163C" w:rsidP="0074163C">
      <w:pPr>
        <w:pStyle w:val="Heading5"/>
      </w:pPr>
      <w:r w:rsidRPr="00D23308">
        <w:t>Conclusion</w:t>
      </w:r>
    </w:p>
    <w:p w14:paraId="1910638B" w14:textId="77777777" w:rsidR="00F87BC1" w:rsidRPr="00D23308" w:rsidRDefault="00F87BC1" w:rsidP="00F87BC1">
      <w:r w:rsidRPr="00D23308">
        <w:t>The ACM considered this product to have an overall positive benefit-risk profile for the indication:</w:t>
      </w:r>
    </w:p>
    <w:p w14:paraId="24C78E42" w14:textId="360BB29C" w:rsidR="00F87BC1" w:rsidRPr="00D23308" w:rsidRDefault="00F87BC1" w:rsidP="00F87BC1">
      <w:pPr>
        <w:ind w:left="720"/>
        <w:rPr>
          <w:i/>
          <w:iCs/>
        </w:rPr>
      </w:pPr>
      <w:r w:rsidRPr="00D23308">
        <w:rPr>
          <w:i/>
          <w:iCs/>
        </w:rPr>
        <w:t>For use by women of reproductive potential to prevent pregnancy.</w:t>
      </w:r>
    </w:p>
    <w:p w14:paraId="2133C6C0" w14:textId="77777777" w:rsidR="008E7846" w:rsidRPr="00D23308" w:rsidRDefault="008E7846" w:rsidP="00D212F3">
      <w:pPr>
        <w:pStyle w:val="Heading2"/>
      </w:pPr>
      <w:bookmarkStart w:id="73" w:name="_Toc109301849"/>
      <w:r w:rsidRPr="00D23308">
        <w:t>Outcome</w:t>
      </w:r>
      <w:bookmarkEnd w:id="71"/>
      <w:bookmarkEnd w:id="72"/>
      <w:bookmarkEnd w:id="73"/>
    </w:p>
    <w:p w14:paraId="5A5C8798" w14:textId="74455B45" w:rsidR="0074163C" w:rsidRPr="00D23308" w:rsidRDefault="0074163C" w:rsidP="0074163C">
      <w:bookmarkStart w:id="74" w:name="_Toc247691533"/>
      <w:bookmarkStart w:id="75" w:name="_Toc314842517"/>
      <w:r w:rsidRPr="00D23308">
        <w:t xml:space="preserve">Based on a review of quality, </w:t>
      </w:r>
      <w:r w:rsidR="00CC5044" w:rsidRPr="00D23308">
        <w:t>safety,</w:t>
      </w:r>
      <w:r w:rsidRPr="00D23308">
        <w:t xml:space="preserve"> and efficacy, the TGA approved the registration of </w:t>
      </w:r>
      <w:r w:rsidR="006256DF" w:rsidRPr="00D23308">
        <w:t>(</w:t>
      </w:r>
      <w:r w:rsidR="00D81AA8" w:rsidRPr="00D23308">
        <w:t xml:space="preserve">Nextstellis </w:t>
      </w:r>
      <w:r w:rsidRPr="00D23308">
        <w:t>(</w:t>
      </w:r>
      <w:r w:rsidR="00D81AA8" w:rsidRPr="00D23308">
        <w:t>estetrol monohydrate</w:t>
      </w:r>
      <w:r w:rsidR="00F87BC1" w:rsidRPr="00D23308">
        <w:t xml:space="preserve"> </w:t>
      </w:r>
      <w:r w:rsidR="00D81AA8" w:rsidRPr="00D23308">
        <w:t>/</w:t>
      </w:r>
      <w:r w:rsidR="00F87BC1" w:rsidRPr="00D23308">
        <w:t xml:space="preserve"> </w:t>
      </w:r>
      <w:r w:rsidR="00D81AA8" w:rsidRPr="00D23308">
        <w:t>drospirenone</w:t>
      </w:r>
      <w:r w:rsidRPr="00D23308">
        <w:t xml:space="preserve">) </w:t>
      </w:r>
      <w:r w:rsidR="00F87BC1" w:rsidRPr="00D23308">
        <w:t>14.2 mg</w:t>
      </w:r>
      <w:r w:rsidR="00A222AE" w:rsidRPr="00D23308">
        <w:t xml:space="preserve"> </w:t>
      </w:r>
      <w:r w:rsidR="00F87BC1" w:rsidRPr="00D23308">
        <w:t>estetrol and 3</w:t>
      </w:r>
      <w:r w:rsidR="001C2842" w:rsidRPr="00D23308">
        <w:t> </w:t>
      </w:r>
      <w:r w:rsidR="00F87BC1" w:rsidRPr="00D23308">
        <w:t>mg</w:t>
      </w:r>
      <w:r w:rsidR="001C2842" w:rsidRPr="00D23308">
        <w:t> </w:t>
      </w:r>
      <w:r w:rsidR="00F87BC1" w:rsidRPr="00D23308">
        <w:t>drospirenone</w:t>
      </w:r>
      <w:r w:rsidRPr="00D23308">
        <w:t xml:space="preserve">, </w:t>
      </w:r>
      <w:r w:rsidR="006256DF" w:rsidRPr="00D23308">
        <w:t>film</w:t>
      </w:r>
      <w:r w:rsidR="00B717F4">
        <w:t>-</w:t>
      </w:r>
      <w:r w:rsidR="006256DF" w:rsidRPr="00D23308">
        <w:t>coated tablet</w:t>
      </w:r>
      <w:r w:rsidRPr="00D23308">
        <w:t xml:space="preserve">, </w:t>
      </w:r>
      <w:r w:rsidR="006256DF" w:rsidRPr="00D23308">
        <w:t>blister pack</w:t>
      </w:r>
      <w:r w:rsidRPr="00D23308">
        <w:t>, indicated for:</w:t>
      </w:r>
    </w:p>
    <w:p w14:paraId="2ACAB5E0" w14:textId="6C7A1B95" w:rsidR="0074163C" w:rsidRPr="00D23308" w:rsidRDefault="006256DF" w:rsidP="006256DF">
      <w:pPr>
        <w:ind w:left="720"/>
        <w:rPr>
          <w:i/>
          <w:iCs/>
        </w:rPr>
      </w:pPr>
      <w:r w:rsidRPr="00D23308">
        <w:rPr>
          <w:i/>
          <w:iCs/>
        </w:rPr>
        <w:t>Nextstellis</w:t>
      </w:r>
      <w:r w:rsidR="00704218" w:rsidRPr="00D23308">
        <w:rPr>
          <w:i/>
          <w:iCs/>
        </w:rPr>
        <w:t xml:space="preserve"> is indicated for use by women of reproductive potential to prevent pregnancy</w:t>
      </w:r>
    </w:p>
    <w:p w14:paraId="58D35A05" w14:textId="77777777" w:rsidR="00D23139" w:rsidRPr="00D23308" w:rsidRDefault="00D23139" w:rsidP="00944B74">
      <w:pPr>
        <w:pStyle w:val="Heading3"/>
        <w:pageBreakBefore/>
      </w:pPr>
      <w:bookmarkStart w:id="76" w:name="_Toc109301850"/>
      <w:r w:rsidRPr="00D23308">
        <w:lastRenderedPageBreak/>
        <w:t>Specific conditions of registration applying to these goods</w:t>
      </w:r>
      <w:bookmarkEnd w:id="76"/>
    </w:p>
    <w:p w14:paraId="0508A083" w14:textId="4A9582CF" w:rsidR="00D81AA8" w:rsidRPr="00D23308" w:rsidRDefault="006E1E32" w:rsidP="00F87BC1">
      <w:pPr>
        <w:pStyle w:val="ListBullet"/>
      </w:pPr>
      <w:r w:rsidRPr="00D23308">
        <w:t xml:space="preserve">Nextstellis </w:t>
      </w:r>
      <w:r w:rsidR="00D81AA8" w:rsidRPr="00D23308">
        <w:t>(estetrol monohydrate and drospirenone) is to be included in the Black</w:t>
      </w:r>
      <w:r w:rsidR="00F87BC1" w:rsidRPr="00D23308">
        <w:t xml:space="preserve"> </w:t>
      </w:r>
      <w:r w:rsidR="00D81AA8" w:rsidRPr="00D23308">
        <w:t xml:space="preserve">Triangle Scheme. The PI and CMI for </w:t>
      </w:r>
      <w:r w:rsidR="006256DF" w:rsidRPr="00D23308">
        <w:t>Nextstellis</w:t>
      </w:r>
      <w:r w:rsidR="00D81AA8" w:rsidRPr="00D23308">
        <w:t xml:space="preserve"> must include the black triangle</w:t>
      </w:r>
      <w:r w:rsidR="00F87BC1" w:rsidRPr="00D23308">
        <w:t xml:space="preserve"> </w:t>
      </w:r>
      <w:r w:rsidR="00D81AA8" w:rsidRPr="00D23308">
        <w:t>symbol and mandatory accompanying text for five years, which starts from the date</w:t>
      </w:r>
      <w:r w:rsidR="00F87BC1" w:rsidRPr="00D23308">
        <w:t xml:space="preserve"> </w:t>
      </w:r>
      <w:r w:rsidR="00D81AA8" w:rsidRPr="00D23308">
        <w:t>that the sponsor notifies the TGA of supply of the product.</w:t>
      </w:r>
    </w:p>
    <w:p w14:paraId="5B905049" w14:textId="26EFA4C2" w:rsidR="00D81AA8" w:rsidRPr="00D23308" w:rsidRDefault="00D81AA8" w:rsidP="00F87BC1">
      <w:pPr>
        <w:pStyle w:val="ListBullet"/>
      </w:pPr>
      <w:r w:rsidRPr="00D23308">
        <w:t xml:space="preserve">The </w:t>
      </w:r>
      <w:r w:rsidR="006256DF" w:rsidRPr="00D23308">
        <w:t>Nextstellis</w:t>
      </w:r>
      <w:r w:rsidRPr="00D23308">
        <w:t xml:space="preserve"> EU-</w:t>
      </w:r>
      <w:r w:rsidR="001C2842" w:rsidRPr="00D23308">
        <w:t xml:space="preserve">risk management plan </w:t>
      </w:r>
      <w:r w:rsidRPr="00D23308">
        <w:t>(RMP) (version 0.7, dated 17 March</w:t>
      </w:r>
      <w:r w:rsidR="00F87BC1" w:rsidRPr="00D23308">
        <w:t xml:space="preserve"> </w:t>
      </w:r>
      <w:r w:rsidRPr="00D23308">
        <w:t xml:space="preserve">2021, data lock point 31 October 2019), with Australian </w:t>
      </w:r>
      <w:r w:rsidR="001C2842" w:rsidRPr="00D23308">
        <w:t xml:space="preserve">specific annex </w:t>
      </w:r>
      <w:r w:rsidRPr="00D23308">
        <w:t>(version 0.2,</w:t>
      </w:r>
      <w:r w:rsidR="00F87BC1" w:rsidRPr="00D23308">
        <w:t xml:space="preserve"> </w:t>
      </w:r>
      <w:r w:rsidRPr="00D23308">
        <w:t>dated 28</w:t>
      </w:r>
      <w:r w:rsidR="001C2842" w:rsidRPr="00D23308">
        <w:t> </w:t>
      </w:r>
      <w:r w:rsidRPr="00D23308">
        <w:t xml:space="preserve">April 2021), included with </w:t>
      </w:r>
      <w:r w:rsidR="001C2842" w:rsidRPr="00D23308">
        <w:t xml:space="preserve">Submission </w:t>
      </w:r>
      <w:r w:rsidRPr="00D23308">
        <w:t>PM-2020-04185-1-5, and any</w:t>
      </w:r>
      <w:r w:rsidR="00F87BC1" w:rsidRPr="00D23308">
        <w:t xml:space="preserve"> </w:t>
      </w:r>
      <w:r w:rsidRPr="00D23308">
        <w:t>subsequent revisions, as agreed with the TGA will be implemented in Australia.</w:t>
      </w:r>
    </w:p>
    <w:p w14:paraId="4FFFA066" w14:textId="0C85CDE1" w:rsidR="00D81AA8" w:rsidRPr="00D23308" w:rsidRDefault="00D81AA8" w:rsidP="00F87BC1">
      <w:pPr>
        <w:pStyle w:val="ListBullet"/>
        <w:numPr>
          <w:ilvl w:val="0"/>
          <w:numId w:val="0"/>
        </w:numPr>
        <w:ind w:left="360"/>
      </w:pPr>
      <w:r w:rsidRPr="00D23308">
        <w:t>An obligatory component of risk management plans is routine pharmacovigilance.</w:t>
      </w:r>
      <w:r w:rsidR="00F87BC1" w:rsidRPr="00D23308">
        <w:t xml:space="preserve"> </w:t>
      </w:r>
      <w:r w:rsidRPr="00D23308">
        <w:t>Routine pharmacovigilance includes the submission of periodic safety update</w:t>
      </w:r>
      <w:r w:rsidR="00F87BC1" w:rsidRPr="00D23308">
        <w:t xml:space="preserve"> </w:t>
      </w:r>
      <w:r w:rsidRPr="00D23308">
        <w:t>reports (PSURs).</w:t>
      </w:r>
    </w:p>
    <w:p w14:paraId="21A78490" w14:textId="5E407C06" w:rsidR="00F87BC1" w:rsidRPr="00D23308" w:rsidRDefault="00F87BC1" w:rsidP="00F87BC1">
      <w:pPr>
        <w:pStyle w:val="ListBullet"/>
        <w:numPr>
          <w:ilvl w:val="0"/>
          <w:numId w:val="0"/>
        </w:numPr>
        <w:ind w:left="360"/>
      </w:pPr>
      <w:r w:rsidRPr="00D23308">
        <w:t xml:space="preserve">Reports are to be provided in line with the current published list of EU reference dates and frequency of submission of PSURs until the period covered by such reports is not less than three years from the date of </w:t>
      </w:r>
      <w:r w:rsidR="001C2842" w:rsidRPr="00D23308">
        <w:t>the</w:t>
      </w:r>
      <w:r w:rsidRPr="00D23308">
        <w:t xml:space="preserve"> approval letter.</w:t>
      </w:r>
    </w:p>
    <w:p w14:paraId="435A02EB" w14:textId="43CCB2AF" w:rsidR="00D81AA8" w:rsidRPr="00D23308" w:rsidRDefault="00F87BC1" w:rsidP="00F87BC1">
      <w:pPr>
        <w:pStyle w:val="ListBullet"/>
        <w:numPr>
          <w:ilvl w:val="0"/>
          <w:numId w:val="0"/>
        </w:numPr>
        <w:ind w:left="360"/>
      </w:pPr>
      <w:r w:rsidRPr="00D23308">
        <w:t xml:space="preserve">The reports are to at least meet the requirements for PSURs as described in the European Medicines Agency’s Guideline on </w:t>
      </w:r>
      <w:r w:rsidR="001C2842" w:rsidRPr="00D23308">
        <w:t xml:space="preserve">Good Pharmacovigilance Practices </w:t>
      </w:r>
      <w:r w:rsidRPr="00D23308">
        <w:t>(GVP) Module VII-periodic safety update report (Rev 1), Part VII.B Structures and processes. Note that submission of a PSUR does not constitute an application to vary the registration.</w:t>
      </w:r>
    </w:p>
    <w:p w14:paraId="4D6F1DD7" w14:textId="77777777" w:rsidR="008E7846" w:rsidRPr="00D23308" w:rsidRDefault="00A80B5B" w:rsidP="00D23139">
      <w:pPr>
        <w:pStyle w:val="Heading2"/>
      </w:pPr>
      <w:bookmarkStart w:id="77" w:name="_Toc109301851"/>
      <w:r w:rsidRPr="00D23308">
        <w:t xml:space="preserve">Attachment 1. </w:t>
      </w:r>
      <w:r w:rsidR="008E7846" w:rsidRPr="00D23308">
        <w:t xml:space="preserve">Product </w:t>
      </w:r>
      <w:r w:rsidR="00AA0ED0" w:rsidRPr="00D23308">
        <w:t>I</w:t>
      </w:r>
      <w:r w:rsidR="008E7846" w:rsidRPr="00D23308">
        <w:t>nformation</w:t>
      </w:r>
      <w:bookmarkEnd w:id="74"/>
      <w:bookmarkEnd w:id="75"/>
      <w:bookmarkEnd w:id="77"/>
    </w:p>
    <w:p w14:paraId="3AD89540" w14:textId="35F163E5" w:rsidR="00523A21" w:rsidRPr="00D23308" w:rsidRDefault="006136D7" w:rsidP="00C80137">
      <w:r w:rsidRPr="00D23308">
        <w:t xml:space="preserve">The PI for </w:t>
      </w:r>
      <w:r w:rsidR="00D81AA8" w:rsidRPr="00D23308">
        <w:t xml:space="preserve">Nextstellis </w:t>
      </w:r>
      <w:r w:rsidRPr="00D23308">
        <w:t>approved with the submission which is described in this AusPAR is at Attachment 1.</w:t>
      </w:r>
      <w:r w:rsidR="00CC5044" w:rsidRPr="00D23308">
        <w:t xml:space="preserve"> </w:t>
      </w:r>
      <w:r w:rsidR="0074163C" w:rsidRPr="00D23308">
        <w:t xml:space="preserve">For the most recent PI, please refer to the TGA </w:t>
      </w:r>
      <w:hyperlink r:id="rId35" w:history="1">
        <w:r w:rsidR="0074163C" w:rsidRPr="00D23308">
          <w:rPr>
            <w:rStyle w:val="Hyperlink"/>
          </w:rPr>
          <w:t>PI/CMI search facility</w:t>
        </w:r>
        <w:r w:rsidR="0074163C" w:rsidRPr="00D23308">
          <w:rPr>
            <w:rStyle w:val="Hyperlink"/>
            <w:color w:val="auto"/>
            <w:u w:val="none"/>
          </w:rPr>
          <w:t>.</w:t>
        </w:r>
      </w:hyperlink>
    </w:p>
    <w:p w14:paraId="3C3D3D20" w14:textId="6C17814E" w:rsidR="00744121" w:rsidRPr="00D23308" w:rsidRDefault="008E7846" w:rsidP="00744121">
      <w:pPr>
        <w:rPr>
          <w:lang w:eastAsia="ja-JP"/>
        </w:rPr>
      </w:pPr>
      <w:r w:rsidRPr="00D23308">
        <w:br w:type="page"/>
      </w:r>
    </w:p>
    <w:p w14:paraId="145EBA63" w14:textId="77777777" w:rsidR="00C80137" w:rsidRPr="00D23308" w:rsidRDefault="00C80137" w:rsidP="003A7F6C">
      <w:pPr>
        <w:pStyle w:val="TableTitle"/>
        <w:sectPr w:rsidR="00C80137" w:rsidRPr="00D23308"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D23308" w14:paraId="3EC4A89C" w14:textId="77777777" w:rsidTr="00A05FA4">
        <w:trPr>
          <w:trHeight w:hRule="exact" w:val="704"/>
        </w:trPr>
        <w:tc>
          <w:tcPr>
            <w:tcW w:w="9175" w:type="dxa"/>
          </w:tcPr>
          <w:p w14:paraId="11211F91" w14:textId="77777777" w:rsidR="001C32CD" w:rsidRPr="00D23308" w:rsidRDefault="001C32CD" w:rsidP="00A05FA4">
            <w:pPr>
              <w:pStyle w:val="TGASignoff"/>
            </w:pPr>
            <w:r w:rsidRPr="00D23308">
              <w:lastRenderedPageBreak/>
              <w:t>Therapeutic Goods Administration</w:t>
            </w:r>
          </w:p>
        </w:tc>
      </w:tr>
      <w:tr w:rsidR="001C32CD" w:rsidRPr="004C239D" w14:paraId="6EEFB878" w14:textId="77777777" w:rsidTr="00A05FA4">
        <w:trPr>
          <w:trHeight w:val="1221"/>
        </w:trPr>
        <w:tc>
          <w:tcPr>
            <w:tcW w:w="9175" w:type="dxa"/>
            <w:tcMar>
              <w:top w:w="28" w:type="dxa"/>
            </w:tcMar>
          </w:tcPr>
          <w:p w14:paraId="19854596" w14:textId="77777777" w:rsidR="001C32CD" w:rsidRPr="00D23308" w:rsidRDefault="001C32CD" w:rsidP="00A05FA4">
            <w:pPr>
              <w:pStyle w:val="Address"/>
            </w:pPr>
            <w:r w:rsidRPr="00D23308">
              <w:t>PO Box 100 Woden ACT 2606 Australia</w:t>
            </w:r>
          </w:p>
          <w:p w14:paraId="28CB47F6" w14:textId="08921FF0" w:rsidR="001C32CD" w:rsidRPr="00D23308" w:rsidRDefault="001C32CD" w:rsidP="00A05FA4">
            <w:pPr>
              <w:pStyle w:val="Address"/>
            </w:pPr>
            <w:r w:rsidRPr="00D23308">
              <w:t xml:space="preserve">Email: </w:t>
            </w:r>
            <w:hyperlink r:id="rId40" w:history="1">
              <w:r w:rsidRPr="00D23308">
                <w:rPr>
                  <w:rStyle w:val="Hyperlink"/>
                </w:rPr>
                <w:t>info@tga.gov.au</w:t>
              </w:r>
            </w:hyperlink>
            <w:r w:rsidRPr="00D23308">
              <w:t xml:space="preserve">  Phone: 1800 020 </w:t>
            </w:r>
            <w:proofErr w:type="gramStart"/>
            <w:r w:rsidRPr="00D23308">
              <w:t>653  Fax</w:t>
            </w:r>
            <w:proofErr w:type="gramEnd"/>
            <w:r w:rsidRPr="00D23308">
              <w:t>: 02 6232 8605</w:t>
            </w:r>
          </w:p>
          <w:p w14:paraId="19947240" w14:textId="68DFE232" w:rsidR="001C32CD" w:rsidRPr="004C239D" w:rsidRDefault="006A2626" w:rsidP="00A05FA4">
            <w:pPr>
              <w:pStyle w:val="Address"/>
              <w:spacing w:line="260" w:lineRule="atLeast"/>
              <w:rPr>
                <w:b/>
                <w:color w:val="0000FF"/>
                <w:u w:val="single"/>
              </w:rPr>
            </w:pPr>
            <w:hyperlink r:id="rId41" w:history="1">
              <w:r w:rsidR="007C6B9B" w:rsidRPr="00D23308">
                <w:rPr>
                  <w:rStyle w:val="Hyperlink"/>
                  <w:b/>
                </w:rPr>
                <w:t>https://www.tga.gov.au</w:t>
              </w:r>
            </w:hyperlink>
          </w:p>
        </w:tc>
      </w:tr>
    </w:tbl>
    <w:p w14:paraId="7D84CEC6"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5CDD4" w14:textId="77777777" w:rsidR="002B7EFF" w:rsidRDefault="002B7EFF" w:rsidP="00C40A36">
      <w:pPr>
        <w:spacing w:after="0"/>
      </w:pPr>
      <w:r>
        <w:separator/>
      </w:r>
    </w:p>
  </w:endnote>
  <w:endnote w:type="continuationSeparator" w:id="0">
    <w:p w14:paraId="04F0C77A" w14:textId="77777777" w:rsidR="002B7EFF" w:rsidRDefault="002B7EFF" w:rsidP="00C40A36">
      <w:pPr>
        <w:spacing w:after="0"/>
      </w:pPr>
      <w:r>
        <w:continuationSeparator/>
      </w:r>
    </w:p>
  </w:endnote>
  <w:endnote w:type="continuationNotice" w:id="1">
    <w:p w14:paraId="297DEA9D" w14:textId="77777777" w:rsidR="002B7EFF" w:rsidRDefault="002B7E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B7EFF" w:rsidRPr="00487162" w14:paraId="3C9A4F6D" w14:textId="77777777" w:rsidTr="00DB750B">
      <w:trPr>
        <w:trHeight w:val="269"/>
      </w:trPr>
      <w:tc>
        <w:tcPr>
          <w:tcW w:w="7371" w:type="dxa"/>
          <w:tcMar>
            <w:top w:w="142" w:type="dxa"/>
            <w:bottom w:w="0" w:type="dxa"/>
          </w:tcMar>
        </w:tcPr>
        <w:p w14:paraId="27419316" w14:textId="57669336" w:rsidR="002B7EFF" w:rsidRPr="00487162" w:rsidRDefault="002B7EFF" w:rsidP="00460036">
          <w:pPr>
            <w:pStyle w:val="Footer"/>
          </w:pPr>
          <w:proofErr w:type="spellStart"/>
          <w:r w:rsidRPr="00487162">
            <w:t>AusPA</w:t>
          </w:r>
          <w:r>
            <w:t>R</w:t>
          </w:r>
          <w:proofErr w:type="spellEnd"/>
          <w:r>
            <w:t xml:space="preserve"> - </w:t>
          </w:r>
          <w:proofErr w:type="spellStart"/>
          <w:r w:rsidRPr="00D81AA8">
            <w:t>Nextstellis</w:t>
          </w:r>
          <w:proofErr w:type="spellEnd"/>
          <w:r w:rsidRPr="00D81AA8">
            <w:t xml:space="preserve"> </w:t>
          </w:r>
          <w:r>
            <w:t>-</w:t>
          </w:r>
          <w:r w:rsidRPr="00460036">
            <w:t xml:space="preserve"> </w:t>
          </w:r>
          <w:r w:rsidRPr="00D81AA8">
            <w:t>estetrol monohydrate/drospirenone</w:t>
          </w:r>
          <w:r w:rsidRPr="00460036">
            <w:t xml:space="preserve"> </w:t>
          </w:r>
          <w:r>
            <w:t xml:space="preserve">- </w:t>
          </w:r>
          <w:r w:rsidRPr="00D81AA8">
            <w:t xml:space="preserve">Mayne Pharma International Pty Ltd </w:t>
          </w:r>
          <w:r>
            <w:t xml:space="preserve">- </w:t>
          </w:r>
          <w:r w:rsidRPr="00D81AA8">
            <w:t>PM-2020-04185-1-5</w:t>
          </w:r>
          <w:r>
            <w:br/>
            <w:t>Final 21 July 2022</w:t>
          </w:r>
        </w:p>
      </w:tc>
      <w:tc>
        <w:tcPr>
          <w:tcW w:w="1490" w:type="dxa"/>
          <w:tcMar>
            <w:top w:w="142" w:type="dxa"/>
            <w:bottom w:w="0" w:type="dxa"/>
          </w:tcMar>
        </w:tcPr>
        <w:p w14:paraId="19B47FDF" w14:textId="01A56963" w:rsidR="002B7EFF" w:rsidRPr="00487162" w:rsidRDefault="002B7EFF" w:rsidP="00DB750B">
          <w:pPr>
            <w:pStyle w:val="Footer"/>
            <w:jc w:val="right"/>
          </w:pPr>
          <w:r w:rsidRPr="00487162">
            <w:t xml:space="preserve">Page </w:t>
          </w:r>
          <w:r w:rsidR="00944B74">
            <w:rPr>
              <w:color w:val="2B579A"/>
              <w:shd w:val="clear" w:color="auto" w:fill="E6E6E6"/>
            </w:rPr>
            <w:t>27</w:t>
          </w:r>
          <w:r w:rsidRPr="00487162">
            <w:t xml:space="preserve"> of </w:t>
          </w:r>
          <w:r>
            <w:rPr>
              <w:color w:val="2B579A"/>
              <w:shd w:val="clear" w:color="auto" w:fill="E6E6E6"/>
            </w:rPr>
            <w:fldChar w:fldCharType="begin"/>
          </w:r>
          <w:r>
            <w:instrText>NUMPAGES  \* Arabic</w:instrText>
          </w:r>
          <w:r>
            <w:rPr>
              <w:color w:val="2B579A"/>
              <w:shd w:val="clear" w:color="auto" w:fill="E6E6E6"/>
            </w:rPr>
            <w:fldChar w:fldCharType="separate"/>
          </w:r>
          <w:r>
            <w:rPr>
              <w:noProof/>
            </w:rPr>
            <w:t>43</w:t>
          </w:r>
          <w:r>
            <w:rPr>
              <w:color w:val="2B579A"/>
              <w:shd w:val="clear" w:color="auto" w:fill="E6E6E6"/>
            </w:rPr>
            <w:fldChar w:fldCharType="end"/>
          </w:r>
        </w:p>
      </w:tc>
    </w:tr>
  </w:tbl>
  <w:p w14:paraId="06E5D208" w14:textId="77777777" w:rsidR="002B7EFF" w:rsidRDefault="002B7EF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B7EFF" w:rsidRPr="00487162" w14:paraId="00428874" w14:textId="77777777" w:rsidTr="00E45619">
      <w:trPr>
        <w:trHeight w:val="269"/>
      </w:trPr>
      <w:tc>
        <w:tcPr>
          <w:tcW w:w="4519" w:type="dxa"/>
          <w:tcBorders>
            <w:top w:val="single" w:sz="4" w:space="0" w:color="auto"/>
          </w:tcBorders>
          <w:tcMar>
            <w:top w:w="142" w:type="dxa"/>
            <w:bottom w:w="0" w:type="dxa"/>
          </w:tcMar>
        </w:tcPr>
        <w:p w14:paraId="30ECC299" w14:textId="77777777" w:rsidR="002B7EFF" w:rsidRPr="00487162" w:rsidRDefault="002B7EFF" w:rsidP="00FE1DEE">
          <w:pPr>
            <w:pStyle w:val="Footer"/>
          </w:pPr>
          <w:r w:rsidRPr="00487162">
            <w:t>Document title, Part #, Section # - Section title</w:t>
          </w:r>
        </w:p>
        <w:p w14:paraId="05F237FC" w14:textId="77777777" w:rsidR="002B7EFF" w:rsidRPr="00487162" w:rsidRDefault="002B7EFF" w:rsidP="00FE1DEE">
          <w:pPr>
            <w:pStyle w:val="Footer"/>
          </w:pPr>
          <w:r w:rsidRPr="00487162">
            <w:t>V1.0 October 2010</w:t>
          </w:r>
        </w:p>
      </w:tc>
      <w:tc>
        <w:tcPr>
          <w:tcW w:w="4342" w:type="dxa"/>
          <w:tcBorders>
            <w:top w:val="single" w:sz="4" w:space="0" w:color="auto"/>
          </w:tcBorders>
          <w:tcMar>
            <w:top w:w="142" w:type="dxa"/>
            <w:bottom w:w="0" w:type="dxa"/>
          </w:tcMar>
        </w:tcPr>
        <w:p w14:paraId="385A6E34" w14:textId="77777777" w:rsidR="002B7EFF" w:rsidRPr="00487162" w:rsidRDefault="002B7EFF"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noProof/>
              <w:color w:val="2B579A"/>
              <w:shd w:val="clear" w:color="auto" w:fill="E6E6E6"/>
            </w:rPr>
            <w:fldChar w:fldCharType="end"/>
          </w:r>
          <w:r w:rsidRPr="00487162">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21</w:t>
          </w:r>
          <w:r>
            <w:rPr>
              <w:color w:val="2B579A"/>
              <w:shd w:val="clear" w:color="auto" w:fill="E6E6E6"/>
            </w:rPr>
            <w:fldChar w:fldCharType="end"/>
          </w:r>
        </w:p>
      </w:tc>
    </w:tr>
  </w:tbl>
  <w:p w14:paraId="1379692A" w14:textId="77777777" w:rsidR="002B7EFF" w:rsidRDefault="002B7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22791" w14:textId="77777777" w:rsidR="002B7EFF" w:rsidRPr="001C32CD" w:rsidRDefault="002B7EF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B7EFF" w14:paraId="03799CAB" w14:textId="77777777" w:rsidTr="0010601F">
      <w:trPr>
        <w:trHeight w:val="108"/>
      </w:trPr>
      <w:tc>
        <w:tcPr>
          <w:tcW w:w="8875" w:type="dxa"/>
          <w:gridSpan w:val="2"/>
          <w:tcBorders>
            <w:bottom w:val="single" w:sz="4" w:space="0" w:color="auto"/>
          </w:tcBorders>
          <w:tcMar>
            <w:right w:w="284" w:type="dxa"/>
          </w:tcMar>
        </w:tcPr>
        <w:p w14:paraId="42107F2F" w14:textId="77777777" w:rsidR="002B7EFF" w:rsidRDefault="002B7EFF" w:rsidP="006E08B3">
          <w:pPr>
            <w:pStyle w:val="Heading3"/>
          </w:pPr>
          <w:r>
            <w:t>Copyright</w:t>
          </w:r>
        </w:p>
        <w:p w14:paraId="0DEBF5EF" w14:textId="77777777" w:rsidR="002B7EFF" w:rsidRDefault="002B7EFF" w:rsidP="006E08B3">
          <w:r>
            <w:rPr>
              <w:rFonts w:cs="Arial"/>
            </w:rPr>
            <w:t>©</w:t>
          </w:r>
          <w:r>
            <w:t xml:space="preserve"> Commonwealth of Australia [add year]</w:t>
          </w:r>
        </w:p>
        <w:p w14:paraId="30468CB8" w14:textId="77777777" w:rsidR="002B7EFF" w:rsidRDefault="002B7EFF" w:rsidP="006E08B3"/>
        <w:p w14:paraId="1D913FD8" w14:textId="77777777" w:rsidR="002B7EFF" w:rsidRDefault="002B7E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84B0281" w14:textId="77777777" w:rsidR="002B7EFF" w:rsidRDefault="002B7EFF" w:rsidP="006E08B3"/>
        <w:p w14:paraId="20AC022E" w14:textId="77777777" w:rsidR="002B7EFF" w:rsidRDefault="002B7EFF" w:rsidP="006E08B3">
          <w:pPr>
            <w:pStyle w:val="Heading3"/>
          </w:pPr>
          <w:r>
            <w:t>Confidentiality</w:t>
          </w:r>
        </w:p>
        <w:p w14:paraId="01DC6719" w14:textId="77777777" w:rsidR="002B7EFF" w:rsidRDefault="002B7E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F6BC906" w14:textId="77777777" w:rsidR="002B7EFF" w:rsidRDefault="002B7EFF" w:rsidP="006E08B3"/>
        <w:p w14:paraId="650BEC0F" w14:textId="77777777" w:rsidR="002B7EFF" w:rsidRDefault="002B7EFF" w:rsidP="006E08B3">
          <w:r>
            <w:t>For submission made by individuals, all personal details, other than your name, will be removed from your submission before it is published on the TGA’s Internet site.</w:t>
          </w:r>
        </w:p>
        <w:p w14:paraId="156BD631" w14:textId="77777777" w:rsidR="002B7EFF" w:rsidRDefault="002B7EFF" w:rsidP="006E08B3"/>
        <w:p w14:paraId="6504C800" w14:textId="77777777" w:rsidR="002B7EFF" w:rsidRDefault="002B7EFF" w:rsidP="006E08B3">
          <w:r>
            <w:t>In addition, a list of parties making submissions will be published. If you do not wish to be identified with your submission you must specifically request this in the space provided in the submission coversheet.</w:t>
          </w:r>
        </w:p>
      </w:tc>
    </w:tr>
    <w:tr w:rsidR="002B7EFF" w14:paraId="6D14DE32" w14:textId="77777777" w:rsidTr="0010601F">
      <w:trPr>
        <w:trHeight w:val="417"/>
      </w:trPr>
      <w:tc>
        <w:tcPr>
          <w:tcW w:w="4519" w:type="dxa"/>
          <w:tcBorders>
            <w:top w:val="single" w:sz="4" w:space="0" w:color="auto"/>
          </w:tcBorders>
          <w:tcMar>
            <w:top w:w="142" w:type="dxa"/>
            <w:bottom w:w="0" w:type="dxa"/>
          </w:tcMar>
        </w:tcPr>
        <w:p w14:paraId="6B7BF87A" w14:textId="77777777" w:rsidR="002B7EFF" w:rsidRDefault="002B7EFF" w:rsidP="006E08B3">
          <w:r>
            <w:t>Document title, Part #, Section # - Section title</w:t>
          </w:r>
        </w:p>
        <w:p w14:paraId="0DF84E8B" w14:textId="77777777" w:rsidR="002B7EFF" w:rsidRDefault="002B7EFF" w:rsidP="006E08B3">
          <w:r>
            <w:t>V1.0 October 2010</w:t>
          </w:r>
        </w:p>
      </w:tc>
      <w:tc>
        <w:tcPr>
          <w:tcW w:w="4356" w:type="dxa"/>
          <w:tcBorders>
            <w:top w:val="single" w:sz="4" w:space="0" w:color="auto"/>
          </w:tcBorders>
          <w:tcMar>
            <w:top w:w="142" w:type="dxa"/>
            <w:bottom w:w="0" w:type="dxa"/>
          </w:tcMar>
        </w:tcPr>
        <w:p w14:paraId="09E9E578" w14:textId="77777777" w:rsidR="002B7EFF" w:rsidRDefault="002B7EFF"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r>
            <w:t xml:space="preserve"> of </w:t>
          </w:r>
          <w:r>
            <w:rPr>
              <w:color w:val="2B579A"/>
              <w:shd w:val="clear" w:color="auto" w:fill="E6E6E6"/>
            </w:rPr>
            <w:fldChar w:fldCharType="begin"/>
          </w:r>
          <w:r>
            <w:instrText>NUMPAGES  \* Arabic</w:instrText>
          </w:r>
          <w:r>
            <w:rPr>
              <w:color w:val="2B579A"/>
              <w:shd w:val="clear" w:color="auto" w:fill="E6E6E6"/>
            </w:rPr>
            <w:fldChar w:fldCharType="separate"/>
          </w:r>
          <w:r>
            <w:rPr>
              <w:noProof/>
            </w:rPr>
            <w:t>21</w:t>
          </w:r>
          <w:r>
            <w:rPr>
              <w:color w:val="2B579A"/>
              <w:shd w:val="clear" w:color="auto" w:fill="E6E6E6"/>
            </w:rPr>
            <w:fldChar w:fldCharType="end"/>
          </w:r>
          <w:r>
            <w:t xml:space="preserve">  </w:t>
          </w:r>
        </w:p>
      </w:tc>
    </w:tr>
  </w:tbl>
  <w:p w14:paraId="549D0771" w14:textId="77777777" w:rsidR="002B7EFF" w:rsidRDefault="002B7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D71D3" w14:textId="77777777" w:rsidR="002B7EFF" w:rsidRDefault="002B7EFF" w:rsidP="00C40A36">
      <w:pPr>
        <w:spacing w:after="0"/>
      </w:pPr>
      <w:r>
        <w:separator/>
      </w:r>
    </w:p>
  </w:footnote>
  <w:footnote w:type="continuationSeparator" w:id="0">
    <w:p w14:paraId="45393512" w14:textId="77777777" w:rsidR="002B7EFF" w:rsidRDefault="002B7EFF" w:rsidP="00C40A36">
      <w:pPr>
        <w:spacing w:after="0"/>
      </w:pPr>
      <w:r>
        <w:continuationSeparator/>
      </w:r>
    </w:p>
  </w:footnote>
  <w:footnote w:type="continuationNotice" w:id="1">
    <w:p w14:paraId="61C27AD2" w14:textId="77777777" w:rsidR="002B7EFF" w:rsidRDefault="002B7EFF">
      <w:pPr>
        <w:spacing w:before="0" w:after="0" w:line="240" w:lineRule="auto"/>
      </w:pPr>
    </w:p>
  </w:footnote>
  <w:footnote w:id="2">
    <w:p w14:paraId="2BB179F2" w14:textId="75BB4333" w:rsidR="002B7EFF" w:rsidRPr="00EB0EAC" w:rsidRDefault="002B7EFF">
      <w:pPr>
        <w:pStyle w:val="FootnoteText"/>
        <w:rPr>
          <w:lang w:val="en-GB"/>
        </w:rPr>
      </w:pPr>
      <w:r>
        <w:rPr>
          <w:rStyle w:val="FootnoteReference"/>
        </w:rPr>
        <w:footnoteRef/>
      </w:r>
      <w:r>
        <w:t xml:space="preserve"> Each Nexstellis blister pack of 28 film-coated tablets is comprised of 24 active pink-coloured tablets containing 14.2 mg estetrol and 3 mg of drospirenone; and 4 inactive white-coloured tablets as placebo.</w:t>
      </w:r>
    </w:p>
  </w:footnote>
  <w:footnote w:id="3">
    <w:p w14:paraId="5FD17F2D" w14:textId="400B1964" w:rsidR="002B7EFF" w:rsidRDefault="002B7EFF" w:rsidP="00FC35BD">
      <w:pPr>
        <w:pStyle w:val="FootnoteText"/>
      </w:pPr>
      <w:r>
        <w:rPr>
          <w:rStyle w:val="FootnoteReference"/>
        </w:rPr>
        <w:footnoteRef/>
      </w:r>
      <w:r>
        <w:t xml:space="preserve"> </w:t>
      </w:r>
      <w:r w:rsidRPr="00FC35BD">
        <w:t>Richters</w:t>
      </w:r>
      <w:r>
        <w:t>,</w:t>
      </w:r>
      <w:r w:rsidRPr="00FC35BD">
        <w:t xml:space="preserve"> J</w:t>
      </w:r>
      <w:r>
        <w:t xml:space="preserve">. et al. </w:t>
      </w:r>
      <w:r w:rsidRPr="00FC35BD">
        <w:t xml:space="preserve">Sex </w:t>
      </w:r>
      <w:r>
        <w:t>i</w:t>
      </w:r>
      <w:r w:rsidRPr="00FC35BD">
        <w:t xml:space="preserve">n Australia: Contraceptive Practices </w:t>
      </w:r>
      <w:r>
        <w:t>a</w:t>
      </w:r>
      <w:r w:rsidRPr="00FC35BD">
        <w:t xml:space="preserve">mong </w:t>
      </w:r>
      <w:r>
        <w:t>a</w:t>
      </w:r>
      <w:r w:rsidRPr="00FC35BD">
        <w:t xml:space="preserve"> Representative Sample </w:t>
      </w:r>
      <w:r>
        <w:t>o</w:t>
      </w:r>
      <w:r w:rsidRPr="00FC35BD">
        <w:t>f Women</w:t>
      </w:r>
      <w:r>
        <w:t xml:space="preserve">, </w:t>
      </w:r>
      <w:r w:rsidRPr="00FC35BD">
        <w:rPr>
          <w:i/>
          <w:iCs/>
        </w:rPr>
        <w:t>Aust N Z J Public Health</w:t>
      </w:r>
      <w:r>
        <w:t>, 2003; 27(2): 210-216.</w:t>
      </w:r>
    </w:p>
  </w:footnote>
  <w:footnote w:id="4">
    <w:p w14:paraId="32CF3EA6" w14:textId="56E691A9" w:rsidR="002B7EFF" w:rsidRDefault="002B7EFF" w:rsidP="00DE13E9">
      <w:pPr>
        <w:pStyle w:val="FootnoteText"/>
      </w:pPr>
      <w:r>
        <w:rPr>
          <w:rStyle w:val="FootnoteReference"/>
        </w:rPr>
        <w:footnoteRef/>
      </w:r>
      <w:r w:rsidRPr="00375278">
        <w:rPr>
          <w:lang w:val="es-ES"/>
        </w:rPr>
        <w:t xml:space="preserve"> Skiba, M.A. et al. </w:t>
      </w:r>
      <w:r w:rsidRPr="00DE13E9">
        <w:t xml:space="preserve">Hormonal Contraceptive Use </w:t>
      </w:r>
      <w:r>
        <w:t>i</w:t>
      </w:r>
      <w:r w:rsidRPr="00DE13E9">
        <w:t xml:space="preserve">n Australian Women: Who </w:t>
      </w:r>
      <w:r>
        <w:t>i</w:t>
      </w:r>
      <w:r w:rsidRPr="00DE13E9">
        <w:t>s Using What?</w:t>
      </w:r>
      <w:r>
        <w:t xml:space="preserve">, </w:t>
      </w:r>
      <w:r w:rsidRPr="00DE13E9">
        <w:rPr>
          <w:i/>
          <w:iCs/>
        </w:rPr>
        <w:t>Aust N Z J Obstet Gynaecol</w:t>
      </w:r>
      <w:r>
        <w:t>, 2019; 59(5): 717-724.</w:t>
      </w:r>
    </w:p>
  </w:footnote>
  <w:footnote w:id="5">
    <w:p w14:paraId="2AE2B7C2" w14:textId="0495F3F0" w:rsidR="002B7EFF" w:rsidRDefault="002B7EFF">
      <w:pPr>
        <w:pStyle w:val="FootnoteText"/>
      </w:pPr>
      <w:r>
        <w:rPr>
          <w:rStyle w:val="FootnoteReference"/>
        </w:rPr>
        <w:footnoteRef/>
      </w:r>
      <w:r>
        <w:t xml:space="preserve"> </w:t>
      </w:r>
      <w:r w:rsidRPr="00FC35BD">
        <w:t>Bateson</w:t>
      </w:r>
      <w:r>
        <w:t>,</w:t>
      </w:r>
      <w:r w:rsidRPr="00FC35BD">
        <w:t xml:space="preserve"> D</w:t>
      </w:r>
      <w:r>
        <w:t>. et al.</w:t>
      </w:r>
      <w:r w:rsidRPr="00FC35BD">
        <w:t xml:space="preserve"> Contraception: </w:t>
      </w:r>
      <w:r>
        <w:t>a</w:t>
      </w:r>
      <w:r w:rsidRPr="00FC35BD">
        <w:t>n Australian Clinical Practice Handbook</w:t>
      </w:r>
      <w:r>
        <w:t>,</w:t>
      </w:r>
      <w:r w:rsidRPr="00FC35BD">
        <w:t xml:space="preserve"> </w:t>
      </w:r>
      <w:r>
        <w:t xml:space="preserve">third edition, </w:t>
      </w:r>
      <w:r w:rsidRPr="00FC35BD">
        <w:t>Brisbane</w:t>
      </w:r>
      <w:r>
        <w:t>,</w:t>
      </w:r>
      <w:r w:rsidRPr="00FC35BD">
        <w:t xml:space="preserve"> 2012.</w:t>
      </w:r>
    </w:p>
  </w:footnote>
  <w:footnote w:id="6">
    <w:p w14:paraId="61FA2F12" w14:textId="50093C54" w:rsidR="002B7EFF" w:rsidRDefault="002B7EFF">
      <w:pPr>
        <w:pStyle w:val="FootnoteText"/>
      </w:pPr>
      <w:r>
        <w:rPr>
          <w:rStyle w:val="FootnoteReference"/>
        </w:rPr>
        <w:footnoteRef/>
      </w:r>
      <w:r>
        <w:t xml:space="preserve"> </w:t>
      </w:r>
      <w:r w:rsidRPr="00DE13E9">
        <w:t>Kuhl</w:t>
      </w:r>
      <w:r>
        <w:t>,</w:t>
      </w:r>
      <w:r w:rsidRPr="00DE13E9">
        <w:t xml:space="preserve"> H. Comparative Pharmacology of Newer Progestogens, </w:t>
      </w:r>
      <w:r w:rsidRPr="00DE13E9">
        <w:rPr>
          <w:i/>
          <w:iCs/>
        </w:rPr>
        <w:t>Drugs</w:t>
      </w:r>
      <w:r>
        <w:t>,</w:t>
      </w:r>
      <w:r w:rsidRPr="00DE13E9">
        <w:t xml:space="preserve"> 1996;</w:t>
      </w:r>
      <w:r>
        <w:t xml:space="preserve"> </w:t>
      </w:r>
      <w:r w:rsidRPr="00DE13E9">
        <w:t>51(2):</w:t>
      </w:r>
      <w:r>
        <w:t xml:space="preserve"> </w:t>
      </w:r>
      <w:r w:rsidRPr="00DE13E9">
        <w:t>188-215.</w:t>
      </w:r>
    </w:p>
  </w:footnote>
  <w:footnote w:id="7">
    <w:p w14:paraId="484294C3" w14:textId="249BFEB5" w:rsidR="002B7EFF" w:rsidRDefault="002B7EFF">
      <w:pPr>
        <w:pStyle w:val="FootnoteText"/>
      </w:pPr>
      <w:r>
        <w:rPr>
          <w:rStyle w:val="FootnoteReference"/>
        </w:rPr>
        <w:footnoteRef/>
      </w:r>
      <w:r w:rsidRPr="00EB0EAC">
        <w:t xml:space="preserve"> Ågren, U.M. et al. et al. </w:t>
      </w:r>
      <w:r w:rsidRPr="007B1F3D">
        <w:t xml:space="preserve">Effects </w:t>
      </w:r>
      <w:r>
        <w:t>o</w:t>
      </w:r>
      <w:r w:rsidRPr="007B1F3D">
        <w:t xml:space="preserve">f </w:t>
      </w:r>
      <w:r>
        <w:t>a</w:t>
      </w:r>
      <w:r w:rsidRPr="007B1F3D">
        <w:t xml:space="preserve"> Monophasic Combined Oral Contraceptive Containing Nomegestrol Acetate </w:t>
      </w:r>
      <w:r>
        <w:t>a</w:t>
      </w:r>
      <w:r w:rsidRPr="007B1F3D">
        <w:t>nd 17 Β -Oestradiol Compared With One Containing Levonorgestrel And Ethinylestradiol On Haemostasis, Lipids And Carbohydrate Metabolism</w:t>
      </w:r>
      <w:r>
        <w:t>,</w:t>
      </w:r>
      <w:r w:rsidRPr="007B1F3D">
        <w:t xml:space="preserve"> </w:t>
      </w:r>
      <w:r w:rsidRPr="007B1F3D">
        <w:rPr>
          <w:i/>
          <w:iCs/>
        </w:rPr>
        <w:t>Eur J Contracept Reprod Health Care</w:t>
      </w:r>
      <w:r>
        <w:t>,</w:t>
      </w:r>
      <w:r w:rsidRPr="007B1F3D">
        <w:t xml:space="preserve"> 2011; 16:</w:t>
      </w:r>
      <w:r>
        <w:t xml:space="preserve"> </w:t>
      </w:r>
      <w:r w:rsidRPr="007B1F3D">
        <w:t>444–</w:t>
      </w:r>
      <w:r>
        <w:t>4</w:t>
      </w:r>
      <w:r w:rsidRPr="007B1F3D">
        <w:t>57.</w:t>
      </w:r>
    </w:p>
  </w:footnote>
  <w:footnote w:id="8">
    <w:p w14:paraId="41317924" w14:textId="362628A3" w:rsidR="002B7EFF" w:rsidRDefault="002B7EFF">
      <w:pPr>
        <w:pStyle w:val="FootnoteText"/>
      </w:pPr>
      <w:r>
        <w:rPr>
          <w:rStyle w:val="FootnoteReference"/>
        </w:rPr>
        <w:footnoteRef/>
      </w:r>
      <w:r>
        <w:t xml:space="preserve"> </w:t>
      </w:r>
      <w:r w:rsidRPr="007B1F3D">
        <w:t>Junge</w:t>
      </w:r>
      <w:r>
        <w:t>,</w:t>
      </w:r>
      <w:r w:rsidRPr="007B1F3D">
        <w:t xml:space="preserve"> W</w:t>
      </w:r>
      <w:r>
        <w:t>. et al.</w:t>
      </w:r>
      <w:r w:rsidRPr="007B1F3D">
        <w:t xml:space="preserve"> Metabolic </w:t>
      </w:r>
      <w:r>
        <w:t>a</w:t>
      </w:r>
      <w:r w:rsidRPr="007B1F3D">
        <w:t xml:space="preserve">nd Haemostatic Effects </w:t>
      </w:r>
      <w:r>
        <w:t>o</w:t>
      </w:r>
      <w:r w:rsidRPr="007B1F3D">
        <w:t xml:space="preserve">f Estradiol Valerate/Dienogest, </w:t>
      </w:r>
      <w:r>
        <w:t>a</w:t>
      </w:r>
      <w:r w:rsidRPr="007B1F3D">
        <w:t xml:space="preserve"> Novel Oral Contraceptive. </w:t>
      </w:r>
      <w:r>
        <w:t>a</w:t>
      </w:r>
      <w:r w:rsidRPr="007B1F3D">
        <w:t xml:space="preserve"> Randomized, Open-Label, Single-Centre Study</w:t>
      </w:r>
      <w:r>
        <w:t>,</w:t>
      </w:r>
      <w:r w:rsidRPr="007B1F3D">
        <w:t xml:space="preserve"> </w:t>
      </w:r>
      <w:r w:rsidRPr="006C1259">
        <w:rPr>
          <w:i/>
          <w:iCs/>
        </w:rPr>
        <w:t>Clin Drug Investig</w:t>
      </w:r>
      <w:r>
        <w:t>,</w:t>
      </w:r>
      <w:r w:rsidRPr="007B1F3D">
        <w:t xml:space="preserve"> 2011; 31: 573-</w:t>
      </w:r>
      <w:r>
        <w:t>5</w:t>
      </w:r>
      <w:r w:rsidRPr="007B1F3D">
        <w:t>84.</w:t>
      </w:r>
    </w:p>
  </w:footnote>
  <w:footnote w:id="9">
    <w:p w14:paraId="1E99A18A" w14:textId="5CFD488C" w:rsidR="002B7EFF" w:rsidRDefault="002B7EFF">
      <w:pPr>
        <w:pStyle w:val="FootnoteText"/>
      </w:pPr>
      <w:r>
        <w:rPr>
          <w:rStyle w:val="FootnoteReference"/>
        </w:rPr>
        <w:footnoteRef/>
      </w:r>
      <w:r>
        <w:t xml:space="preserve"> </w:t>
      </w:r>
      <w:r w:rsidRPr="006C1259">
        <w:t>Visser</w:t>
      </w:r>
      <w:r>
        <w:t xml:space="preserve">, </w:t>
      </w:r>
      <w:r w:rsidRPr="006C1259">
        <w:t>M</w:t>
      </w:r>
      <w:r>
        <w:t xml:space="preserve">. et al. </w:t>
      </w:r>
      <w:r w:rsidRPr="006C1259">
        <w:rPr>
          <w:i/>
          <w:iCs/>
        </w:rPr>
        <w:t>In Vitro</w:t>
      </w:r>
      <w:r w:rsidRPr="006C1259">
        <w:t xml:space="preserve"> Effects </w:t>
      </w:r>
      <w:r>
        <w:t>o</w:t>
      </w:r>
      <w:r w:rsidRPr="006C1259">
        <w:t xml:space="preserve">f Estetrol </w:t>
      </w:r>
      <w:r>
        <w:t>o</w:t>
      </w:r>
      <w:r w:rsidRPr="006C1259">
        <w:t xml:space="preserve">n Receptor Binding, Drug Targets </w:t>
      </w:r>
      <w:r>
        <w:t>a</w:t>
      </w:r>
      <w:r w:rsidRPr="006C1259">
        <w:t>nd Human Liver Cell Metabolism</w:t>
      </w:r>
      <w:r>
        <w:t>,</w:t>
      </w:r>
      <w:r w:rsidRPr="006C1259">
        <w:t xml:space="preserve"> Climacteric</w:t>
      </w:r>
      <w:r>
        <w:t>,</w:t>
      </w:r>
      <w:r w:rsidRPr="006C1259">
        <w:t xml:space="preserve"> 2008;</w:t>
      </w:r>
      <w:r>
        <w:t xml:space="preserve"> </w:t>
      </w:r>
      <w:r w:rsidRPr="006C1259">
        <w:t>11(Suppl 1):</w:t>
      </w:r>
      <w:r>
        <w:t xml:space="preserve"> </w:t>
      </w:r>
      <w:r w:rsidRPr="006C1259">
        <w:t>64-</w:t>
      </w:r>
      <w:r>
        <w:t>6</w:t>
      </w:r>
      <w:r w:rsidRPr="006C1259">
        <w:t>8.</w:t>
      </w:r>
    </w:p>
  </w:footnote>
  <w:footnote w:id="10">
    <w:p w14:paraId="7C4673A3" w14:textId="767D5479" w:rsidR="002B7EFF" w:rsidRDefault="002B7EFF">
      <w:pPr>
        <w:pStyle w:val="FootnoteText"/>
      </w:pPr>
      <w:r>
        <w:rPr>
          <w:rStyle w:val="FootnoteReference"/>
        </w:rPr>
        <w:footnoteRef/>
      </w:r>
      <w:r>
        <w:t xml:space="preserve"> </w:t>
      </w:r>
      <w:r w:rsidRPr="00A22375">
        <w:t>Coelingh Bennink</w:t>
      </w:r>
      <w:r>
        <w:t>,</w:t>
      </w:r>
      <w:r w:rsidRPr="006C1259">
        <w:t xml:space="preserve"> H</w:t>
      </w:r>
      <w:r>
        <w:t>.</w:t>
      </w:r>
      <w:r w:rsidRPr="006C1259">
        <w:t>J</w:t>
      </w:r>
      <w:r>
        <w:t>.</w:t>
      </w:r>
      <w:r w:rsidRPr="006C1259">
        <w:t>T</w:t>
      </w:r>
      <w:r>
        <w:t xml:space="preserve">. et al. </w:t>
      </w:r>
      <w:r w:rsidRPr="006C1259">
        <w:t xml:space="preserve">Estetrol Review: Profile </w:t>
      </w:r>
      <w:r>
        <w:t>a</w:t>
      </w:r>
      <w:r w:rsidRPr="006C1259">
        <w:t>nd Potential Clinical Applications</w:t>
      </w:r>
      <w:r>
        <w:t>,</w:t>
      </w:r>
      <w:r w:rsidRPr="006C1259">
        <w:t xml:space="preserve"> </w:t>
      </w:r>
      <w:r w:rsidRPr="006C1259">
        <w:rPr>
          <w:i/>
          <w:iCs/>
        </w:rPr>
        <w:t>Climacteric</w:t>
      </w:r>
      <w:r>
        <w:t>,</w:t>
      </w:r>
      <w:r w:rsidRPr="006C1259">
        <w:t xml:space="preserve"> 2008a;</w:t>
      </w:r>
      <w:r>
        <w:t xml:space="preserve"> </w:t>
      </w:r>
      <w:r w:rsidRPr="006C1259">
        <w:t>11(Suppl 1):</w:t>
      </w:r>
      <w:r>
        <w:t xml:space="preserve"> </w:t>
      </w:r>
      <w:r w:rsidRPr="006C1259">
        <w:t>47-58.</w:t>
      </w:r>
    </w:p>
  </w:footnote>
  <w:footnote w:id="11">
    <w:p w14:paraId="4D4C23C4" w14:textId="27BF9327" w:rsidR="002B7EFF" w:rsidRDefault="002B7EFF">
      <w:pPr>
        <w:pStyle w:val="FootnoteText"/>
      </w:pPr>
      <w:r>
        <w:rPr>
          <w:rStyle w:val="FootnoteReference"/>
        </w:rPr>
        <w:footnoteRef/>
      </w:r>
      <w:r>
        <w:t xml:space="preserve"> </w:t>
      </w:r>
      <w:r w:rsidRPr="003F2F34">
        <w:rPr>
          <w:b/>
          <w:bCs/>
        </w:rPr>
        <w:t>Good Laboratory Practice</w:t>
      </w:r>
      <w:r w:rsidRPr="003F2F34">
        <w:t xml:space="preserve"> is a code of standards following the International Council on Harmonisation (ICH) relevant to testing of medicines in laboratories during drug development.</w:t>
      </w:r>
    </w:p>
  </w:footnote>
  <w:footnote w:id="12">
    <w:p w14:paraId="63F0C132" w14:textId="77777777" w:rsidR="002B7EFF" w:rsidRDefault="002B7EFF" w:rsidP="003F2F34">
      <w:pPr>
        <w:pStyle w:val="FootnoteText"/>
      </w:pPr>
      <w:r>
        <w:rPr>
          <w:rStyle w:val="FootnoteReference"/>
        </w:rPr>
        <w:footnoteRef/>
      </w:r>
      <w:r>
        <w:t xml:space="preserve"> </w:t>
      </w:r>
      <w:r w:rsidRPr="003F2F34">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585CF879" w14:textId="317D5A0E" w:rsidR="002B7EFF" w:rsidRDefault="002B7EFF" w:rsidP="003F2F34">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3">
    <w:p w14:paraId="6A396D41" w14:textId="2E56642E" w:rsidR="002B7EFF" w:rsidRDefault="002B7EFF" w:rsidP="003F2F34">
      <w:pPr>
        <w:pStyle w:val="FootnoteText"/>
      </w:pPr>
      <w:r>
        <w:rPr>
          <w:rStyle w:val="FootnoteReference"/>
        </w:rPr>
        <w:footnoteRef/>
      </w:r>
      <w:r>
        <w:t xml:space="preserve"> </w:t>
      </w:r>
      <w:r w:rsidRPr="003F2F34">
        <w:rPr>
          <w:b/>
          <w:bCs/>
        </w:rPr>
        <w:t>Pregnancy Category B3</w:t>
      </w:r>
      <w:r>
        <w:rPr>
          <w:b/>
          <w:bCs/>
        </w:rPr>
        <w:t>:</w:t>
      </w:r>
    </w:p>
    <w:p w14:paraId="3821388C" w14:textId="77777777" w:rsidR="002B7EFF" w:rsidRDefault="002B7EFF" w:rsidP="003F2F34">
      <w:pPr>
        <w:pStyle w:val="FootnoteText"/>
      </w:pPr>
      <w:r>
        <w:t>Drugs which have been taken by only a limited number of pregnant women and women of childbearing age, without an increase in the frequency of malformation or other direct or indirect harmful effects on the human fetus having been observed.</w:t>
      </w:r>
    </w:p>
    <w:p w14:paraId="5658DBF7" w14:textId="6D8315D8" w:rsidR="002B7EFF" w:rsidRDefault="002B7EFF" w:rsidP="003F2F34">
      <w:pPr>
        <w:pStyle w:val="FootnoteText"/>
      </w:pPr>
      <w:r>
        <w:t>Studies in animals have shown evidence of an increased occurrence of fetal damage, the significance of which is considered uncertain in humans.</w:t>
      </w:r>
    </w:p>
  </w:footnote>
  <w:footnote w:id="14">
    <w:p w14:paraId="2BAD9A50" w14:textId="7C21D84E" w:rsidR="002B7EFF" w:rsidRDefault="002B7EFF" w:rsidP="00BF2A8F">
      <w:pPr>
        <w:pStyle w:val="FootnoteText"/>
      </w:pPr>
      <w:r>
        <w:rPr>
          <w:rStyle w:val="FootnoteReference"/>
        </w:rPr>
        <w:footnoteRef/>
      </w:r>
      <w:r>
        <w:t xml:space="preserve"> The </w:t>
      </w:r>
      <w:r w:rsidRPr="00BF2A8F">
        <w:rPr>
          <w:b/>
          <w:bCs/>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7E311DAA" w14:textId="3E05B5F2" w:rsidR="002B7EFF" w:rsidRDefault="002B7EFF" w:rsidP="00BF2A8F">
      <w:pPr>
        <w:pStyle w:val="FootnoteText"/>
      </w:pPr>
      <w:r>
        <w:t xml:space="preserve">The </w:t>
      </w:r>
      <w:r w:rsidRPr="00BF2A8F">
        <w:rPr>
          <w:b/>
          <w:bCs/>
        </w:rPr>
        <w:t>corrected QT interval (QTc)</w:t>
      </w:r>
      <w:r>
        <w:t xml:space="preserve"> estimates the QT interval at a standard heart rate. This allows comparison of QT values over time at different heart rates and improves detection of patients at increased risk of arrhythmias. The </w:t>
      </w:r>
      <w:r w:rsidRPr="00BF2A8F">
        <w:rPr>
          <w:b/>
          <w:bCs/>
        </w:rPr>
        <w:t>QTcF</w:t>
      </w:r>
      <w:r>
        <w:t xml:space="preserve"> is the QT interval corrected for heart rate according to Fridericia’s formula.</w:t>
      </w:r>
    </w:p>
  </w:footnote>
  <w:footnote w:id="15">
    <w:p w14:paraId="32B3969E" w14:textId="254A90C3" w:rsidR="002B7EFF" w:rsidRDefault="002B7EFF">
      <w:pPr>
        <w:pStyle w:val="FootnoteText"/>
      </w:pPr>
      <w:r>
        <w:rPr>
          <w:rStyle w:val="FootnoteReference"/>
        </w:rPr>
        <w:footnoteRef/>
      </w:r>
      <w:r>
        <w:t xml:space="preserve"> </w:t>
      </w:r>
      <w:r w:rsidRPr="001A7E03">
        <w:rPr>
          <w:b/>
          <w:bCs/>
        </w:rPr>
        <w:t>Haemoglobin A1c or glycated haemoglobin (HbA1c)</w:t>
      </w:r>
      <w:r w:rsidRPr="001A7E03">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16">
    <w:p w14:paraId="79BA5FF4" w14:textId="54161666" w:rsidR="002B7EFF" w:rsidRDefault="002B7EFF">
      <w:pPr>
        <w:pStyle w:val="FootnoteText"/>
      </w:pPr>
      <w:r>
        <w:rPr>
          <w:rStyle w:val="FootnoteReference"/>
        </w:rPr>
        <w:footnoteRef/>
      </w:r>
      <w:r>
        <w:t xml:space="preserve"> </w:t>
      </w:r>
      <w:r w:rsidRPr="00C270AA">
        <w:t xml:space="preserve">Qlaira </w:t>
      </w:r>
      <w:r>
        <w:t>(estradiol valerate/d</w:t>
      </w:r>
      <w:r w:rsidRPr="00D6600A">
        <w:t>ienogest</w:t>
      </w:r>
      <w:r>
        <w:t>)</w:t>
      </w:r>
      <w:r w:rsidRPr="00D6600A">
        <w:t xml:space="preserve"> </w:t>
      </w:r>
      <w:r w:rsidRPr="00C270AA">
        <w:t>was first registered on the ARTG on 14</w:t>
      </w:r>
      <w:r>
        <w:t xml:space="preserve"> May </w:t>
      </w:r>
      <w:r w:rsidRPr="00C270AA">
        <w:t>2009 (ARTG number: 149319).</w:t>
      </w:r>
    </w:p>
  </w:footnote>
  <w:footnote w:id="17">
    <w:p w14:paraId="6D5BB26F" w14:textId="4F83A150" w:rsidR="002B7EFF" w:rsidRDefault="002B7EFF">
      <w:pPr>
        <w:pStyle w:val="FootnoteText"/>
      </w:pPr>
      <w:r>
        <w:rPr>
          <w:rStyle w:val="FootnoteReference"/>
        </w:rPr>
        <w:footnoteRef/>
      </w:r>
      <w:r>
        <w:t xml:space="preserve"> </w:t>
      </w:r>
      <w:r w:rsidRPr="00205C3C">
        <w:t>Y</w:t>
      </w:r>
      <w:r>
        <w:t xml:space="preserve">az </w:t>
      </w:r>
      <w:r w:rsidRPr="00C270AA">
        <w:t>was first registered on the ARTG on</w:t>
      </w:r>
      <w:r w:rsidRPr="00205C3C">
        <w:t xml:space="preserve"> 4</w:t>
      </w:r>
      <w:r>
        <w:t xml:space="preserve"> August </w:t>
      </w:r>
      <w:r w:rsidRPr="00205C3C">
        <w:t>2014</w:t>
      </w:r>
      <w:r>
        <w:t xml:space="preserve"> </w:t>
      </w:r>
      <w:r w:rsidRPr="00C270AA">
        <w:t xml:space="preserve">(ARTG number: </w:t>
      </w:r>
      <w:r w:rsidRPr="00205C3C">
        <w:t>226241</w:t>
      </w:r>
      <w:r w:rsidRPr="00C270AA">
        <w:t>).</w:t>
      </w:r>
    </w:p>
  </w:footnote>
  <w:footnote w:id="18">
    <w:p w14:paraId="79C4A7F6" w14:textId="2AB5494F" w:rsidR="002B7EFF" w:rsidRDefault="002B7EFF">
      <w:pPr>
        <w:pStyle w:val="FootnoteText"/>
      </w:pPr>
      <w:r>
        <w:rPr>
          <w:rStyle w:val="FootnoteReference"/>
        </w:rPr>
        <w:footnoteRef/>
      </w:r>
      <w:r>
        <w:t xml:space="preserve"> </w:t>
      </w:r>
      <w:r w:rsidRPr="00363C76">
        <w:rPr>
          <w:b/>
          <w:bCs/>
        </w:rPr>
        <w:t>Pearl Index</w:t>
      </w:r>
      <w:r>
        <w:t xml:space="preserve"> is a </w:t>
      </w:r>
      <w:r w:rsidRPr="00363C76">
        <w:t xml:space="preserve">technique used in clinical trials for reporting </w:t>
      </w:r>
      <w:r>
        <w:t>contraceptive</w:t>
      </w:r>
      <w:r w:rsidRPr="00363C76">
        <w:t xml:space="preserve"> </w:t>
      </w:r>
      <w:r>
        <w:t xml:space="preserve">effectiveness. It is </w:t>
      </w:r>
      <w:r w:rsidRPr="00363C76">
        <w:t>defined as the number of contraceptive failures per 100 women</w:t>
      </w:r>
      <w:r>
        <w:t xml:space="preserve"> </w:t>
      </w:r>
      <w:r w:rsidRPr="00363C76">
        <w:t>years of exposure, and uses as the denominator the total months or cycles of exposure from the initiation of the product to the end of the study or the discontinuation of the product.</w:t>
      </w:r>
    </w:p>
  </w:footnote>
  <w:footnote w:id="19">
    <w:p w14:paraId="490EBD59" w14:textId="071C4998" w:rsidR="002B7EFF" w:rsidRDefault="002B7EFF" w:rsidP="009200E5">
      <w:pPr>
        <w:pStyle w:val="FootnoteText"/>
      </w:pPr>
      <w:r>
        <w:rPr>
          <w:rStyle w:val="FootnoteReference"/>
        </w:rPr>
        <w:footnoteRef/>
      </w:r>
      <w:r>
        <w:t xml:space="preserve"> </w:t>
      </w:r>
      <w:r w:rsidRPr="009200E5">
        <w:t>Gerlinger, C.</w:t>
      </w:r>
      <w:r>
        <w:t xml:space="preserve"> et al. </w:t>
      </w:r>
      <w:r w:rsidRPr="009200E5">
        <w:t xml:space="preserve">Recommendation </w:t>
      </w:r>
      <w:r>
        <w:t>f</w:t>
      </w:r>
      <w:r w:rsidRPr="009200E5">
        <w:t xml:space="preserve">or Confidence Interval </w:t>
      </w:r>
      <w:r>
        <w:t>a</w:t>
      </w:r>
      <w:r w:rsidRPr="009200E5">
        <w:t xml:space="preserve">nd Sample Size Calculation </w:t>
      </w:r>
      <w:r>
        <w:t>f</w:t>
      </w:r>
      <w:r w:rsidRPr="009200E5">
        <w:t xml:space="preserve">or </w:t>
      </w:r>
      <w:r>
        <w:t>t</w:t>
      </w:r>
      <w:r w:rsidRPr="009200E5">
        <w:t>he Pearl Index</w:t>
      </w:r>
      <w:r>
        <w:t xml:space="preserve">, </w:t>
      </w:r>
      <w:r w:rsidRPr="009200E5">
        <w:rPr>
          <w:i/>
          <w:iCs/>
        </w:rPr>
        <w:t>Eur J Contracept Reprod Health Care</w:t>
      </w:r>
      <w:r>
        <w:t>, 2003; 8(2): 87-92.</w:t>
      </w:r>
    </w:p>
  </w:footnote>
  <w:footnote w:id="20">
    <w:p w14:paraId="409B8ADD" w14:textId="1AC0495A" w:rsidR="002B7EFF" w:rsidRDefault="002B7EFF">
      <w:pPr>
        <w:pStyle w:val="FootnoteText"/>
      </w:pPr>
      <w:r>
        <w:rPr>
          <w:rStyle w:val="FootnoteReference"/>
        </w:rPr>
        <w:footnoteRef/>
      </w:r>
      <w:r>
        <w:t xml:space="preserve"> </w:t>
      </w:r>
      <w:r w:rsidRPr="00D23308">
        <w:t xml:space="preserve">Randomised clinical trials analysed by the </w:t>
      </w:r>
      <w:r w:rsidRPr="00D23308">
        <w:rPr>
          <w:b/>
          <w:bCs/>
        </w:rPr>
        <w:t>intent-to-treat (ITT)</w:t>
      </w:r>
      <w:r w:rsidRPr="00D23308">
        <w:t xml:space="preserve"> approach provide the unbiased comparisons among the treatment groups. In the ITT population, none of the patients are excluded and the patients are analysed according to the randomisation scheme.</w:t>
      </w:r>
    </w:p>
  </w:footnote>
  <w:footnote w:id="21">
    <w:p w14:paraId="159789E6" w14:textId="30960A59" w:rsidR="002B7EFF" w:rsidRDefault="002B7EFF">
      <w:pPr>
        <w:pStyle w:val="FootnoteText"/>
      </w:pPr>
      <w:r>
        <w:rPr>
          <w:rStyle w:val="FootnoteReference"/>
        </w:rPr>
        <w:footnoteRef/>
      </w:r>
      <w:r>
        <w:t xml:space="preserve"> </w:t>
      </w:r>
      <w:r w:rsidRPr="00F1682F">
        <w:t>European Medicines Evaluation Agency (EMEA), Committee for Medicinal Products for Human Use (CHMP), Guideline on Clinical Investigation of Steroid Contraceptives in Women, EMEA/CPMP/EWP/519/98 Revision 1, 27 July 2005.</w:t>
      </w:r>
    </w:p>
  </w:footnote>
  <w:footnote w:id="22">
    <w:p w14:paraId="1381441C" w14:textId="61EA28D4" w:rsidR="002B7EFF" w:rsidRDefault="002B7EFF">
      <w:pPr>
        <w:pStyle w:val="FootnoteText"/>
      </w:pPr>
      <w:r>
        <w:rPr>
          <w:rStyle w:val="FootnoteReference"/>
        </w:rPr>
        <w:footnoteRef/>
      </w:r>
      <w:r>
        <w:t xml:space="preserve"> The </w:t>
      </w:r>
      <w:r w:rsidRPr="007C1C9E">
        <w:rPr>
          <w:b/>
          <w:bCs/>
        </w:rPr>
        <w:t>Menstrual Distress Questionnaire (MDQ)</w:t>
      </w:r>
      <w:r w:rsidRPr="007C1C9E">
        <w:t xml:space="preserve"> </w:t>
      </w:r>
      <w:r>
        <w:t xml:space="preserve">measures </w:t>
      </w:r>
      <w:r w:rsidRPr="007C1C9E">
        <w:t>cyclical perimenstrual symptoms</w:t>
      </w:r>
      <w:r>
        <w:t>.</w:t>
      </w:r>
    </w:p>
  </w:footnote>
  <w:footnote w:id="23">
    <w:p w14:paraId="21544E18" w14:textId="2FB880A8" w:rsidR="002B7EFF" w:rsidRDefault="002B7EFF">
      <w:pPr>
        <w:pStyle w:val="FootnoteText"/>
      </w:pPr>
      <w:r>
        <w:rPr>
          <w:rStyle w:val="FootnoteReference"/>
        </w:rPr>
        <w:footnoteRef/>
      </w:r>
      <w:r>
        <w:t xml:space="preserve"> </w:t>
      </w:r>
      <w:r w:rsidRPr="001A7E03">
        <w:t xml:space="preserve">The </w:t>
      </w:r>
      <w:r w:rsidRPr="001A7E03">
        <w:rPr>
          <w:b/>
          <w:bCs/>
        </w:rPr>
        <w:t>Quality of Life Enjoyment and Satisfaction Questionnaire (Q-LES-Q)</w:t>
      </w:r>
      <w:r w:rsidRPr="001A7E03">
        <w:t xml:space="preserve"> measures quality-of-life in key domains.</w:t>
      </w:r>
    </w:p>
  </w:footnote>
  <w:footnote w:id="24">
    <w:p w14:paraId="5EFDCC23" w14:textId="36660B10" w:rsidR="002B7EFF" w:rsidRDefault="002B7EFF">
      <w:pPr>
        <w:pStyle w:val="FootnoteText"/>
      </w:pPr>
      <w:r>
        <w:rPr>
          <w:rStyle w:val="FootnoteReference"/>
        </w:rPr>
        <w:footnoteRef/>
      </w:r>
      <w:r>
        <w:t xml:space="preserve"> </w:t>
      </w:r>
      <w:r w:rsidRPr="003D4A86">
        <w:t xml:space="preserve">The </w:t>
      </w:r>
      <w:r w:rsidRPr="003D4A86">
        <w:rPr>
          <w:b/>
          <w:bCs/>
        </w:rPr>
        <w:t>per-protocol (PP)</w:t>
      </w:r>
      <w:r w:rsidRPr="003D4A86">
        <w:t xml:space="preserve"> analysis is restricted to the participants who strictly adhered to the protocol. Also known as ‘on-treatment’ analysis.</w:t>
      </w:r>
    </w:p>
  </w:footnote>
  <w:footnote w:id="25">
    <w:p w14:paraId="46C1CCA7" w14:textId="7C5F828A" w:rsidR="002B7EFF" w:rsidRDefault="002B7EFF">
      <w:pPr>
        <w:pStyle w:val="FootnoteText"/>
      </w:pPr>
      <w:r>
        <w:rPr>
          <w:rStyle w:val="FootnoteReference"/>
        </w:rPr>
        <w:footnoteRef/>
      </w:r>
      <w:r>
        <w:t xml:space="preserve"> </w:t>
      </w:r>
      <w:r w:rsidRPr="00F1682F">
        <w:t>Food and Drug Administration (FDA), Centre for Drug Evaluation and Research (CDER), Establishing Effectiveness and Safety for Hormonal Drug Products Intended to Prevent Pregnancy Guidance for Industry, July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C7DDA" w14:textId="77777777" w:rsidR="002B7EFF" w:rsidRDefault="002B7EF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370C2" w14:textId="77777777" w:rsidR="002B7EFF" w:rsidRDefault="002B7EFF">
    <w:pPr>
      <w:rPr>
        <w:noProof/>
        <w:lang w:eastAsia="en-AU"/>
      </w:rPr>
    </w:pPr>
    <w:r w:rsidRPr="00347824">
      <w:rPr>
        <w:noProof/>
        <w:color w:val="2B579A"/>
        <w:shd w:val="clear" w:color="auto" w:fill="E6E6E6"/>
        <w:lang w:val="en-GB" w:eastAsia="en-GB"/>
      </w:rPr>
      <w:drawing>
        <wp:anchor distT="0" distB="0" distL="114300" distR="114300" simplePos="0" relativeHeight="251658240" behindDoc="1" locked="0" layoutInCell="1" allowOverlap="1" wp14:anchorId="1857DD10" wp14:editId="7DC86548">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0C35C" w14:textId="77777777" w:rsidR="002B7EFF" w:rsidRDefault="002B7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9D6E1" w14:textId="77777777" w:rsidR="002B7EFF" w:rsidRDefault="002B7EF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F6D5" w14:textId="77777777" w:rsidR="002B7EFF" w:rsidRDefault="002B7EF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0F626" w14:textId="77777777" w:rsidR="002B7EFF" w:rsidRDefault="002B7E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74B75" w14:textId="77777777" w:rsidR="002B7EFF" w:rsidRDefault="002B7EF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18455" w14:textId="77777777" w:rsidR="002B7EFF" w:rsidRDefault="002B7EFF" w:rsidP="006E08B3">
    <w:r>
      <w:t>Therapeutic Goods Administration</w:t>
    </w:r>
  </w:p>
  <w:p w14:paraId="57AE6314" w14:textId="77777777" w:rsidR="002B7EFF" w:rsidRDefault="002B7EFF"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0F42D74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4DF18DB"/>
    <w:multiLevelType w:val="hybridMultilevel"/>
    <w:tmpl w:val="852C7E7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074D3357"/>
    <w:multiLevelType w:val="hybridMultilevel"/>
    <w:tmpl w:val="AE14B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850" w:hanging="425"/>
      </w:pPr>
      <w:rPr>
        <w:rFonts w:ascii="Cambria" w:hAnsi="Cambria" w:hint="default"/>
      </w:rPr>
    </w:lvl>
    <w:lvl w:ilvl="1">
      <w:start w:val="1"/>
      <w:numFmt w:val="lowerLetter"/>
      <w:pStyle w:val="Numberbullet2"/>
      <w:lvlText w:val="%2."/>
      <w:lvlJc w:val="left"/>
      <w:pPr>
        <w:ind w:left="1276" w:hanging="426"/>
      </w:pPr>
      <w:rPr>
        <w:rFonts w:hint="default"/>
      </w:rPr>
    </w:lvl>
    <w:lvl w:ilvl="2">
      <w:start w:val="1"/>
      <w:numFmt w:val="lowerRoman"/>
      <w:pStyle w:val="Numberbullet3"/>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6C0697B2"/>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ADA4676"/>
    <w:multiLevelType w:val="hybridMultilevel"/>
    <w:tmpl w:val="D1788016"/>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83591"/>
    <w:multiLevelType w:val="hybridMultilevel"/>
    <w:tmpl w:val="FABC8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F913B0"/>
    <w:multiLevelType w:val="hybridMultilevel"/>
    <w:tmpl w:val="DAA448E2"/>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E1DB0"/>
    <w:multiLevelType w:val="hybridMultilevel"/>
    <w:tmpl w:val="00B09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A60362"/>
    <w:multiLevelType w:val="hybridMultilevel"/>
    <w:tmpl w:val="CE320B9C"/>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C0499A"/>
    <w:multiLevelType w:val="hybridMultilevel"/>
    <w:tmpl w:val="C0340DE8"/>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D81138"/>
    <w:multiLevelType w:val="hybridMultilevel"/>
    <w:tmpl w:val="8D687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E231DD"/>
    <w:multiLevelType w:val="hybridMultilevel"/>
    <w:tmpl w:val="EEE09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1248D"/>
    <w:multiLevelType w:val="hybridMultilevel"/>
    <w:tmpl w:val="B6F6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E1311F"/>
    <w:multiLevelType w:val="hybridMultilevel"/>
    <w:tmpl w:val="7A26A534"/>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E33662"/>
    <w:multiLevelType w:val="hybridMultilevel"/>
    <w:tmpl w:val="3BA6D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275E43"/>
    <w:multiLevelType w:val="hybridMultilevel"/>
    <w:tmpl w:val="D40EC964"/>
    <w:lvl w:ilvl="0" w:tplc="9D06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6"/>
  </w:num>
  <w:num w:numId="29">
    <w:abstractNumId w:val="9"/>
  </w:num>
  <w:num w:numId="30">
    <w:abstractNumId w:val="14"/>
  </w:num>
  <w:num w:numId="31">
    <w:abstractNumId w:val="6"/>
  </w:num>
  <w:num w:numId="32">
    <w:abstractNumId w:val="20"/>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5"/>
  </w:num>
  <w:num w:numId="36">
    <w:abstractNumId w:val="18"/>
  </w:num>
  <w:num w:numId="37">
    <w:abstractNumId w:val="24"/>
  </w:num>
  <w:num w:numId="38">
    <w:abstractNumId w:val="21"/>
  </w:num>
  <w:num w:numId="39">
    <w:abstractNumId w:val="4"/>
  </w:num>
  <w:num w:numId="40">
    <w:abstractNumId w:val="25"/>
  </w:num>
  <w:num w:numId="41">
    <w:abstractNumId w:val="23"/>
  </w:num>
  <w:num w:numId="42">
    <w:abstractNumId w:val="11"/>
  </w:num>
  <w:num w:numId="43">
    <w:abstractNumId w:val="17"/>
  </w:num>
  <w:num w:numId="44">
    <w:abstractNumId w:val="16"/>
  </w:num>
  <w:num w:numId="45">
    <w:abstractNumId w:val="13"/>
  </w:num>
  <w:num w:numId="46">
    <w:abstractNumId w:val="5"/>
  </w:num>
  <w:num w:numId="47">
    <w:abstractNumId w:val="7"/>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AA8"/>
    <w:rsid w:val="00001DFF"/>
    <w:rsid w:val="00002031"/>
    <w:rsid w:val="00003CB8"/>
    <w:rsid w:val="00004734"/>
    <w:rsid w:val="00006B22"/>
    <w:rsid w:val="00006FAB"/>
    <w:rsid w:val="0001069E"/>
    <w:rsid w:val="000123AC"/>
    <w:rsid w:val="0001276A"/>
    <w:rsid w:val="00013E7B"/>
    <w:rsid w:val="00015999"/>
    <w:rsid w:val="00023727"/>
    <w:rsid w:val="000246AE"/>
    <w:rsid w:val="00025C67"/>
    <w:rsid w:val="000301EA"/>
    <w:rsid w:val="00033ACE"/>
    <w:rsid w:val="000344C4"/>
    <w:rsid w:val="00036C55"/>
    <w:rsid w:val="000400CE"/>
    <w:rsid w:val="00044772"/>
    <w:rsid w:val="000451AA"/>
    <w:rsid w:val="0004541C"/>
    <w:rsid w:val="00047850"/>
    <w:rsid w:val="000543E3"/>
    <w:rsid w:val="000553A5"/>
    <w:rsid w:val="0005559E"/>
    <w:rsid w:val="000566F2"/>
    <w:rsid w:val="000604D6"/>
    <w:rsid w:val="00061E92"/>
    <w:rsid w:val="00064919"/>
    <w:rsid w:val="00066391"/>
    <w:rsid w:val="00067428"/>
    <w:rsid w:val="00067745"/>
    <w:rsid w:val="000729D9"/>
    <w:rsid w:val="000734D8"/>
    <w:rsid w:val="000759AE"/>
    <w:rsid w:val="00077035"/>
    <w:rsid w:val="00077775"/>
    <w:rsid w:val="000816D1"/>
    <w:rsid w:val="00085184"/>
    <w:rsid w:val="00087F7E"/>
    <w:rsid w:val="00090471"/>
    <w:rsid w:val="0009128C"/>
    <w:rsid w:val="0009456A"/>
    <w:rsid w:val="0009525A"/>
    <w:rsid w:val="00096AA7"/>
    <w:rsid w:val="000A0021"/>
    <w:rsid w:val="000A1E66"/>
    <w:rsid w:val="000A2384"/>
    <w:rsid w:val="000A35CE"/>
    <w:rsid w:val="000A3AED"/>
    <w:rsid w:val="000A5220"/>
    <w:rsid w:val="000B3532"/>
    <w:rsid w:val="000B3A75"/>
    <w:rsid w:val="000C00C2"/>
    <w:rsid w:val="000C06FA"/>
    <w:rsid w:val="000C23BC"/>
    <w:rsid w:val="000C4C0F"/>
    <w:rsid w:val="000C690F"/>
    <w:rsid w:val="000D0575"/>
    <w:rsid w:val="000D1295"/>
    <w:rsid w:val="000D3894"/>
    <w:rsid w:val="000D391B"/>
    <w:rsid w:val="000D3D6D"/>
    <w:rsid w:val="000D4158"/>
    <w:rsid w:val="000D437D"/>
    <w:rsid w:val="000D4966"/>
    <w:rsid w:val="000D4FC7"/>
    <w:rsid w:val="000D7055"/>
    <w:rsid w:val="000E13EF"/>
    <w:rsid w:val="000E213E"/>
    <w:rsid w:val="000E47ED"/>
    <w:rsid w:val="000E6196"/>
    <w:rsid w:val="000E6CE3"/>
    <w:rsid w:val="000E7461"/>
    <w:rsid w:val="000F2604"/>
    <w:rsid w:val="000F2875"/>
    <w:rsid w:val="000F4869"/>
    <w:rsid w:val="000F599C"/>
    <w:rsid w:val="000F5B42"/>
    <w:rsid w:val="000F5EE2"/>
    <w:rsid w:val="000F6E6F"/>
    <w:rsid w:val="00103742"/>
    <w:rsid w:val="0010601F"/>
    <w:rsid w:val="001062EA"/>
    <w:rsid w:val="0010694A"/>
    <w:rsid w:val="00107862"/>
    <w:rsid w:val="0010788A"/>
    <w:rsid w:val="00107A31"/>
    <w:rsid w:val="00110EA5"/>
    <w:rsid w:val="00112261"/>
    <w:rsid w:val="00112318"/>
    <w:rsid w:val="00112F56"/>
    <w:rsid w:val="0011449A"/>
    <w:rsid w:val="00115003"/>
    <w:rsid w:val="00117C1F"/>
    <w:rsid w:val="00121674"/>
    <w:rsid w:val="00122C2E"/>
    <w:rsid w:val="00124ACD"/>
    <w:rsid w:val="00125318"/>
    <w:rsid w:val="001305A2"/>
    <w:rsid w:val="00132807"/>
    <w:rsid w:val="0013307A"/>
    <w:rsid w:val="00133238"/>
    <w:rsid w:val="00133A1B"/>
    <w:rsid w:val="001361FB"/>
    <w:rsid w:val="00137259"/>
    <w:rsid w:val="0014197B"/>
    <w:rsid w:val="001428BC"/>
    <w:rsid w:val="00143566"/>
    <w:rsid w:val="001447CD"/>
    <w:rsid w:val="00145304"/>
    <w:rsid w:val="0014629D"/>
    <w:rsid w:val="00151562"/>
    <w:rsid w:val="001516B1"/>
    <w:rsid w:val="00154EBB"/>
    <w:rsid w:val="00156316"/>
    <w:rsid w:val="001602FD"/>
    <w:rsid w:val="00161181"/>
    <w:rsid w:val="00161238"/>
    <w:rsid w:val="00161D56"/>
    <w:rsid w:val="00162D14"/>
    <w:rsid w:val="00162E28"/>
    <w:rsid w:val="0016330B"/>
    <w:rsid w:val="00163780"/>
    <w:rsid w:val="00165389"/>
    <w:rsid w:val="0017693F"/>
    <w:rsid w:val="00177F21"/>
    <w:rsid w:val="0018110E"/>
    <w:rsid w:val="00181684"/>
    <w:rsid w:val="00181C58"/>
    <w:rsid w:val="00182C37"/>
    <w:rsid w:val="00183249"/>
    <w:rsid w:val="00183762"/>
    <w:rsid w:val="00183F4F"/>
    <w:rsid w:val="001843C6"/>
    <w:rsid w:val="001850E0"/>
    <w:rsid w:val="00185407"/>
    <w:rsid w:val="00185D87"/>
    <w:rsid w:val="00191B26"/>
    <w:rsid w:val="00194717"/>
    <w:rsid w:val="00196FC7"/>
    <w:rsid w:val="00197532"/>
    <w:rsid w:val="001A03AF"/>
    <w:rsid w:val="001A2158"/>
    <w:rsid w:val="001A49A7"/>
    <w:rsid w:val="001A525F"/>
    <w:rsid w:val="001A5926"/>
    <w:rsid w:val="001A5A00"/>
    <w:rsid w:val="001A66B8"/>
    <w:rsid w:val="001A72A9"/>
    <w:rsid w:val="001A7716"/>
    <w:rsid w:val="001A7E03"/>
    <w:rsid w:val="001A7E99"/>
    <w:rsid w:val="001B0554"/>
    <w:rsid w:val="001B09F9"/>
    <w:rsid w:val="001B1DA4"/>
    <w:rsid w:val="001B227C"/>
    <w:rsid w:val="001B428B"/>
    <w:rsid w:val="001B4646"/>
    <w:rsid w:val="001B4BB6"/>
    <w:rsid w:val="001B5C90"/>
    <w:rsid w:val="001B6448"/>
    <w:rsid w:val="001B79B3"/>
    <w:rsid w:val="001C2842"/>
    <w:rsid w:val="001C32CD"/>
    <w:rsid w:val="001C34A5"/>
    <w:rsid w:val="001C49B0"/>
    <w:rsid w:val="001D11A5"/>
    <w:rsid w:val="001D2472"/>
    <w:rsid w:val="001D2984"/>
    <w:rsid w:val="001D32D9"/>
    <w:rsid w:val="001D7A16"/>
    <w:rsid w:val="001E03F0"/>
    <w:rsid w:val="001E07CF"/>
    <w:rsid w:val="001E14F4"/>
    <w:rsid w:val="001E34E2"/>
    <w:rsid w:val="001E359E"/>
    <w:rsid w:val="001E59F1"/>
    <w:rsid w:val="001F2CEE"/>
    <w:rsid w:val="001F49EB"/>
    <w:rsid w:val="001F6CBA"/>
    <w:rsid w:val="00201D4E"/>
    <w:rsid w:val="00202128"/>
    <w:rsid w:val="00205C3C"/>
    <w:rsid w:val="002076C9"/>
    <w:rsid w:val="00220B8A"/>
    <w:rsid w:val="00222CF9"/>
    <w:rsid w:val="002257F3"/>
    <w:rsid w:val="00227770"/>
    <w:rsid w:val="002314EA"/>
    <w:rsid w:val="00231AC8"/>
    <w:rsid w:val="002323B2"/>
    <w:rsid w:val="00233456"/>
    <w:rsid w:val="002339A5"/>
    <w:rsid w:val="00237F09"/>
    <w:rsid w:val="00241DF0"/>
    <w:rsid w:val="00242B62"/>
    <w:rsid w:val="002478C7"/>
    <w:rsid w:val="00250271"/>
    <w:rsid w:val="00250F35"/>
    <w:rsid w:val="002527EB"/>
    <w:rsid w:val="00252B53"/>
    <w:rsid w:val="00256CA1"/>
    <w:rsid w:val="00257848"/>
    <w:rsid w:val="002578E8"/>
    <w:rsid w:val="00263FD5"/>
    <w:rsid w:val="0027084A"/>
    <w:rsid w:val="002713F8"/>
    <w:rsid w:val="00271E85"/>
    <w:rsid w:val="002734A4"/>
    <w:rsid w:val="00273A47"/>
    <w:rsid w:val="00275E84"/>
    <w:rsid w:val="00280265"/>
    <w:rsid w:val="00280CAF"/>
    <w:rsid w:val="00286434"/>
    <w:rsid w:val="002864BD"/>
    <w:rsid w:val="00286A63"/>
    <w:rsid w:val="00286C59"/>
    <w:rsid w:val="0029101A"/>
    <w:rsid w:val="00291957"/>
    <w:rsid w:val="00293BC6"/>
    <w:rsid w:val="002942D1"/>
    <w:rsid w:val="0029501A"/>
    <w:rsid w:val="00296DB9"/>
    <w:rsid w:val="00296F05"/>
    <w:rsid w:val="00297451"/>
    <w:rsid w:val="002A05FC"/>
    <w:rsid w:val="002A3512"/>
    <w:rsid w:val="002A3721"/>
    <w:rsid w:val="002B1638"/>
    <w:rsid w:val="002B1CEE"/>
    <w:rsid w:val="002B3624"/>
    <w:rsid w:val="002B6F9D"/>
    <w:rsid w:val="002B7EFF"/>
    <w:rsid w:val="002C09E7"/>
    <w:rsid w:val="002C30E6"/>
    <w:rsid w:val="002C3847"/>
    <w:rsid w:val="002C46E0"/>
    <w:rsid w:val="002D0952"/>
    <w:rsid w:val="002D0B11"/>
    <w:rsid w:val="002E30AC"/>
    <w:rsid w:val="002E40B3"/>
    <w:rsid w:val="002E4C9A"/>
    <w:rsid w:val="002E4F29"/>
    <w:rsid w:val="002E5A98"/>
    <w:rsid w:val="002F11F8"/>
    <w:rsid w:val="002F16F0"/>
    <w:rsid w:val="002F3F56"/>
    <w:rsid w:val="002F44B5"/>
    <w:rsid w:val="002F5122"/>
    <w:rsid w:val="002F52D3"/>
    <w:rsid w:val="002F7847"/>
    <w:rsid w:val="003056A9"/>
    <w:rsid w:val="00306EBE"/>
    <w:rsid w:val="00311AC0"/>
    <w:rsid w:val="00313A18"/>
    <w:rsid w:val="003176FC"/>
    <w:rsid w:val="003203A0"/>
    <w:rsid w:val="00323F35"/>
    <w:rsid w:val="003244CF"/>
    <w:rsid w:val="00324E45"/>
    <w:rsid w:val="0032583B"/>
    <w:rsid w:val="00327883"/>
    <w:rsid w:val="00332715"/>
    <w:rsid w:val="00332AFB"/>
    <w:rsid w:val="00335504"/>
    <w:rsid w:val="0033574A"/>
    <w:rsid w:val="00335952"/>
    <w:rsid w:val="003367FB"/>
    <w:rsid w:val="00340C18"/>
    <w:rsid w:val="003442FD"/>
    <w:rsid w:val="00346F68"/>
    <w:rsid w:val="00347824"/>
    <w:rsid w:val="00350567"/>
    <w:rsid w:val="00351EB5"/>
    <w:rsid w:val="003521E8"/>
    <w:rsid w:val="00361466"/>
    <w:rsid w:val="00363C76"/>
    <w:rsid w:val="00366E8C"/>
    <w:rsid w:val="003705A1"/>
    <w:rsid w:val="00370CE3"/>
    <w:rsid w:val="00371B73"/>
    <w:rsid w:val="003728F3"/>
    <w:rsid w:val="003735BC"/>
    <w:rsid w:val="0037496E"/>
    <w:rsid w:val="00375278"/>
    <w:rsid w:val="0037764B"/>
    <w:rsid w:val="00382359"/>
    <w:rsid w:val="00383221"/>
    <w:rsid w:val="00386150"/>
    <w:rsid w:val="00387162"/>
    <w:rsid w:val="003874CE"/>
    <w:rsid w:val="00390900"/>
    <w:rsid w:val="00392D6C"/>
    <w:rsid w:val="00393261"/>
    <w:rsid w:val="0039354E"/>
    <w:rsid w:val="00395047"/>
    <w:rsid w:val="00395F07"/>
    <w:rsid w:val="003A006D"/>
    <w:rsid w:val="003A1D05"/>
    <w:rsid w:val="003A1ED5"/>
    <w:rsid w:val="003A26F1"/>
    <w:rsid w:val="003A30A1"/>
    <w:rsid w:val="003A5CCF"/>
    <w:rsid w:val="003A7F6C"/>
    <w:rsid w:val="003B1193"/>
    <w:rsid w:val="003B2337"/>
    <w:rsid w:val="003B4D60"/>
    <w:rsid w:val="003B4F23"/>
    <w:rsid w:val="003B717B"/>
    <w:rsid w:val="003B7E39"/>
    <w:rsid w:val="003C58DC"/>
    <w:rsid w:val="003D1E62"/>
    <w:rsid w:val="003D23A2"/>
    <w:rsid w:val="003D2625"/>
    <w:rsid w:val="003D4A86"/>
    <w:rsid w:val="003D770E"/>
    <w:rsid w:val="003E0B99"/>
    <w:rsid w:val="003E2486"/>
    <w:rsid w:val="003E3208"/>
    <w:rsid w:val="003F04ED"/>
    <w:rsid w:val="003F0B04"/>
    <w:rsid w:val="003F2486"/>
    <w:rsid w:val="003F2F34"/>
    <w:rsid w:val="003F3909"/>
    <w:rsid w:val="003F5164"/>
    <w:rsid w:val="003F6949"/>
    <w:rsid w:val="003F7C67"/>
    <w:rsid w:val="00400067"/>
    <w:rsid w:val="0040134E"/>
    <w:rsid w:val="00404DF5"/>
    <w:rsid w:val="0040561E"/>
    <w:rsid w:val="00415A1F"/>
    <w:rsid w:val="00416ECD"/>
    <w:rsid w:val="00421C5F"/>
    <w:rsid w:val="00423A0F"/>
    <w:rsid w:val="004268CF"/>
    <w:rsid w:val="00427DB5"/>
    <w:rsid w:val="004334C7"/>
    <w:rsid w:val="00433A03"/>
    <w:rsid w:val="00440A2D"/>
    <w:rsid w:val="00441C3F"/>
    <w:rsid w:val="00444D1A"/>
    <w:rsid w:val="0044613C"/>
    <w:rsid w:val="00450BF5"/>
    <w:rsid w:val="0045186A"/>
    <w:rsid w:val="00451BE2"/>
    <w:rsid w:val="00453563"/>
    <w:rsid w:val="00454BAF"/>
    <w:rsid w:val="00454BDC"/>
    <w:rsid w:val="004564A7"/>
    <w:rsid w:val="00456765"/>
    <w:rsid w:val="00457BF6"/>
    <w:rsid w:val="00460036"/>
    <w:rsid w:val="004617BF"/>
    <w:rsid w:val="0046279A"/>
    <w:rsid w:val="00463658"/>
    <w:rsid w:val="004637A0"/>
    <w:rsid w:val="00471E0D"/>
    <w:rsid w:val="004722CC"/>
    <w:rsid w:val="00477309"/>
    <w:rsid w:val="004833C3"/>
    <w:rsid w:val="00490483"/>
    <w:rsid w:val="00491631"/>
    <w:rsid w:val="004922D4"/>
    <w:rsid w:val="004936E4"/>
    <w:rsid w:val="00493B0B"/>
    <w:rsid w:val="00494E60"/>
    <w:rsid w:val="00497487"/>
    <w:rsid w:val="004A2771"/>
    <w:rsid w:val="004A3633"/>
    <w:rsid w:val="004A44A5"/>
    <w:rsid w:val="004A6189"/>
    <w:rsid w:val="004A7390"/>
    <w:rsid w:val="004B2E2F"/>
    <w:rsid w:val="004B494F"/>
    <w:rsid w:val="004B4986"/>
    <w:rsid w:val="004B6BAC"/>
    <w:rsid w:val="004B7B76"/>
    <w:rsid w:val="004C239D"/>
    <w:rsid w:val="004C2B1B"/>
    <w:rsid w:val="004C2DCA"/>
    <w:rsid w:val="004C4FBE"/>
    <w:rsid w:val="004C61D2"/>
    <w:rsid w:val="004C641F"/>
    <w:rsid w:val="004D11AC"/>
    <w:rsid w:val="004D3A96"/>
    <w:rsid w:val="004E1793"/>
    <w:rsid w:val="004E1F46"/>
    <w:rsid w:val="004E7F18"/>
    <w:rsid w:val="004F0C4A"/>
    <w:rsid w:val="004F0F38"/>
    <w:rsid w:val="004F1658"/>
    <w:rsid w:val="004F4475"/>
    <w:rsid w:val="004F45AF"/>
    <w:rsid w:val="004F47D6"/>
    <w:rsid w:val="00500337"/>
    <w:rsid w:val="00501921"/>
    <w:rsid w:val="00501AC4"/>
    <w:rsid w:val="00505417"/>
    <w:rsid w:val="00507F23"/>
    <w:rsid w:val="005120A6"/>
    <w:rsid w:val="0052149B"/>
    <w:rsid w:val="00521836"/>
    <w:rsid w:val="00523A21"/>
    <w:rsid w:val="00523A38"/>
    <w:rsid w:val="00524761"/>
    <w:rsid w:val="00527C09"/>
    <w:rsid w:val="00530354"/>
    <w:rsid w:val="005319AF"/>
    <w:rsid w:val="00535331"/>
    <w:rsid w:val="0053625B"/>
    <w:rsid w:val="00537754"/>
    <w:rsid w:val="005434C6"/>
    <w:rsid w:val="00543B39"/>
    <w:rsid w:val="00544EEC"/>
    <w:rsid w:val="005456D6"/>
    <w:rsid w:val="00545CDB"/>
    <w:rsid w:val="00546154"/>
    <w:rsid w:val="005465BA"/>
    <w:rsid w:val="00550096"/>
    <w:rsid w:val="00555280"/>
    <w:rsid w:val="005579D8"/>
    <w:rsid w:val="00557FF9"/>
    <w:rsid w:val="00560FA6"/>
    <w:rsid w:val="00562327"/>
    <w:rsid w:val="005645FE"/>
    <w:rsid w:val="00565B60"/>
    <w:rsid w:val="005711D5"/>
    <w:rsid w:val="00571337"/>
    <w:rsid w:val="00572EE1"/>
    <w:rsid w:val="005730C8"/>
    <w:rsid w:val="00575E09"/>
    <w:rsid w:val="00576378"/>
    <w:rsid w:val="00577130"/>
    <w:rsid w:val="00577945"/>
    <w:rsid w:val="00577C3D"/>
    <w:rsid w:val="00577E38"/>
    <w:rsid w:val="005827ED"/>
    <w:rsid w:val="00585212"/>
    <w:rsid w:val="00585322"/>
    <w:rsid w:val="005857C6"/>
    <w:rsid w:val="00587EAC"/>
    <w:rsid w:val="005911D9"/>
    <w:rsid w:val="00592F6E"/>
    <w:rsid w:val="00593AD1"/>
    <w:rsid w:val="00594EC5"/>
    <w:rsid w:val="00595303"/>
    <w:rsid w:val="00595A42"/>
    <w:rsid w:val="005967F0"/>
    <w:rsid w:val="005A1CC0"/>
    <w:rsid w:val="005A2248"/>
    <w:rsid w:val="005A5392"/>
    <w:rsid w:val="005A68B6"/>
    <w:rsid w:val="005A79F5"/>
    <w:rsid w:val="005C494B"/>
    <w:rsid w:val="005C5570"/>
    <w:rsid w:val="005C5B66"/>
    <w:rsid w:val="005C79A4"/>
    <w:rsid w:val="005D4BA1"/>
    <w:rsid w:val="005D5442"/>
    <w:rsid w:val="005E13F6"/>
    <w:rsid w:val="006005D2"/>
    <w:rsid w:val="006010BF"/>
    <w:rsid w:val="00603F32"/>
    <w:rsid w:val="00605AD4"/>
    <w:rsid w:val="00611924"/>
    <w:rsid w:val="006136D7"/>
    <w:rsid w:val="0061393C"/>
    <w:rsid w:val="006141E9"/>
    <w:rsid w:val="00614EFA"/>
    <w:rsid w:val="00616475"/>
    <w:rsid w:val="00622F04"/>
    <w:rsid w:val="006241F1"/>
    <w:rsid w:val="006256DF"/>
    <w:rsid w:val="00625A6E"/>
    <w:rsid w:val="0063009D"/>
    <w:rsid w:val="0063232B"/>
    <w:rsid w:val="00632398"/>
    <w:rsid w:val="00634068"/>
    <w:rsid w:val="006408AD"/>
    <w:rsid w:val="00640FC3"/>
    <w:rsid w:val="00642020"/>
    <w:rsid w:val="006430EE"/>
    <w:rsid w:val="00643C69"/>
    <w:rsid w:val="00643CE5"/>
    <w:rsid w:val="00650157"/>
    <w:rsid w:val="0065337B"/>
    <w:rsid w:val="0065419D"/>
    <w:rsid w:val="00655C54"/>
    <w:rsid w:val="006603BC"/>
    <w:rsid w:val="006604D8"/>
    <w:rsid w:val="00664A5B"/>
    <w:rsid w:val="00664E9B"/>
    <w:rsid w:val="0066735C"/>
    <w:rsid w:val="00671A53"/>
    <w:rsid w:val="006763D2"/>
    <w:rsid w:val="00676687"/>
    <w:rsid w:val="00680C08"/>
    <w:rsid w:val="00684A39"/>
    <w:rsid w:val="00685D94"/>
    <w:rsid w:val="006863C9"/>
    <w:rsid w:val="006901BA"/>
    <w:rsid w:val="00690826"/>
    <w:rsid w:val="006915F5"/>
    <w:rsid w:val="006916A0"/>
    <w:rsid w:val="0069304F"/>
    <w:rsid w:val="006931B1"/>
    <w:rsid w:val="00693A73"/>
    <w:rsid w:val="006A0CD2"/>
    <w:rsid w:val="006A15C0"/>
    <w:rsid w:val="006A2626"/>
    <w:rsid w:val="006A5081"/>
    <w:rsid w:val="006A58A8"/>
    <w:rsid w:val="006A59D7"/>
    <w:rsid w:val="006A5BA0"/>
    <w:rsid w:val="006B563C"/>
    <w:rsid w:val="006C0AA4"/>
    <w:rsid w:val="006C1259"/>
    <w:rsid w:val="006C1672"/>
    <w:rsid w:val="006C3E2A"/>
    <w:rsid w:val="006C63B3"/>
    <w:rsid w:val="006C642F"/>
    <w:rsid w:val="006D03E5"/>
    <w:rsid w:val="006D11B0"/>
    <w:rsid w:val="006D5D3E"/>
    <w:rsid w:val="006E08B3"/>
    <w:rsid w:val="006E0CD0"/>
    <w:rsid w:val="006E1E32"/>
    <w:rsid w:val="006E6257"/>
    <w:rsid w:val="006E7D4A"/>
    <w:rsid w:val="006F17AC"/>
    <w:rsid w:val="006F25B8"/>
    <w:rsid w:val="006F572E"/>
    <w:rsid w:val="00701EFE"/>
    <w:rsid w:val="00704218"/>
    <w:rsid w:val="007046D6"/>
    <w:rsid w:val="00705DB0"/>
    <w:rsid w:val="007113CD"/>
    <w:rsid w:val="0071664A"/>
    <w:rsid w:val="0072292E"/>
    <w:rsid w:val="00722B57"/>
    <w:rsid w:val="0072539B"/>
    <w:rsid w:val="00726018"/>
    <w:rsid w:val="007277AF"/>
    <w:rsid w:val="00730F8A"/>
    <w:rsid w:val="00732AFE"/>
    <w:rsid w:val="00735A8C"/>
    <w:rsid w:val="00736475"/>
    <w:rsid w:val="0074163C"/>
    <w:rsid w:val="0074253D"/>
    <w:rsid w:val="007428AA"/>
    <w:rsid w:val="00742F4D"/>
    <w:rsid w:val="00744121"/>
    <w:rsid w:val="0074429B"/>
    <w:rsid w:val="00751853"/>
    <w:rsid w:val="007536F2"/>
    <w:rsid w:val="0075532E"/>
    <w:rsid w:val="007615BC"/>
    <w:rsid w:val="00762F05"/>
    <w:rsid w:val="007652FF"/>
    <w:rsid w:val="007703EF"/>
    <w:rsid w:val="0077049E"/>
    <w:rsid w:val="0077094E"/>
    <w:rsid w:val="00770CAC"/>
    <w:rsid w:val="00770EF1"/>
    <w:rsid w:val="0077131A"/>
    <w:rsid w:val="00773EF7"/>
    <w:rsid w:val="00774E1D"/>
    <w:rsid w:val="007765D8"/>
    <w:rsid w:val="0077675A"/>
    <w:rsid w:val="007767FA"/>
    <w:rsid w:val="00780355"/>
    <w:rsid w:val="00781671"/>
    <w:rsid w:val="007819FD"/>
    <w:rsid w:val="007854D9"/>
    <w:rsid w:val="00785717"/>
    <w:rsid w:val="00785721"/>
    <w:rsid w:val="00791340"/>
    <w:rsid w:val="007937BF"/>
    <w:rsid w:val="00793A59"/>
    <w:rsid w:val="00795B0C"/>
    <w:rsid w:val="007A0416"/>
    <w:rsid w:val="007A1047"/>
    <w:rsid w:val="007A46F5"/>
    <w:rsid w:val="007A55B4"/>
    <w:rsid w:val="007A610D"/>
    <w:rsid w:val="007A6505"/>
    <w:rsid w:val="007B1F3D"/>
    <w:rsid w:val="007B6132"/>
    <w:rsid w:val="007B6E9F"/>
    <w:rsid w:val="007C1216"/>
    <w:rsid w:val="007C1AF7"/>
    <w:rsid w:val="007C1C9E"/>
    <w:rsid w:val="007C24F9"/>
    <w:rsid w:val="007C4DA3"/>
    <w:rsid w:val="007C4F8E"/>
    <w:rsid w:val="007C6B9B"/>
    <w:rsid w:val="007D30CB"/>
    <w:rsid w:val="007D53B6"/>
    <w:rsid w:val="007D60ED"/>
    <w:rsid w:val="007E2238"/>
    <w:rsid w:val="007E600C"/>
    <w:rsid w:val="007F3776"/>
    <w:rsid w:val="007F3AB9"/>
    <w:rsid w:val="008002AA"/>
    <w:rsid w:val="0080147A"/>
    <w:rsid w:val="008014F6"/>
    <w:rsid w:val="00804D99"/>
    <w:rsid w:val="00805D27"/>
    <w:rsid w:val="00806865"/>
    <w:rsid w:val="00806DCB"/>
    <w:rsid w:val="00810226"/>
    <w:rsid w:val="008110BC"/>
    <w:rsid w:val="008147C7"/>
    <w:rsid w:val="00816158"/>
    <w:rsid w:val="00821776"/>
    <w:rsid w:val="00821D0A"/>
    <w:rsid w:val="00821E35"/>
    <w:rsid w:val="008271D0"/>
    <w:rsid w:val="00830394"/>
    <w:rsid w:val="008321F5"/>
    <w:rsid w:val="00832369"/>
    <w:rsid w:val="00833ED8"/>
    <w:rsid w:val="00834660"/>
    <w:rsid w:val="00835F24"/>
    <w:rsid w:val="00836BC2"/>
    <w:rsid w:val="008373FA"/>
    <w:rsid w:val="00847A99"/>
    <w:rsid w:val="0085156D"/>
    <w:rsid w:val="00852B28"/>
    <w:rsid w:val="008530E0"/>
    <w:rsid w:val="0085641B"/>
    <w:rsid w:val="00856979"/>
    <w:rsid w:val="00856BB2"/>
    <w:rsid w:val="00856EEB"/>
    <w:rsid w:val="00857136"/>
    <w:rsid w:val="008613F4"/>
    <w:rsid w:val="00862413"/>
    <w:rsid w:val="00863854"/>
    <w:rsid w:val="00864110"/>
    <w:rsid w:val="00865B03"/>
    <w:rsid w:val="00867B9C"/>
    <w:rsid w:val="00870DAE"/>
    <w:rsid w:val="008710AE"/>
    <w:rsid w:val="00875A28"/>
    <w:rsid w:val="00875A6B"/>
    <w:rsid w:val="00883522"/>
    <w:rsid w:val="00885B11"/>
    <w:rsid w:val="00886731"/>
    <w:rsid w:val="00886D15"/>
    <w:rsid w:val="00887DD8"/>
    <w:rsid w:val="00890307"/>
    <w:rsid w:val="00890897"/>
    <w:rsid w:val="00891BA9"/>
    <w:rsid w:val="008926B3"/>
    <w:rsid w:val="00896018"/>
    <w:rsid w:val="008960DD"/>
    <w:rsid w:val="0089635C"/>
    <w:rsid w:val="00896F46"/>
    <w:rsid w:val="008A2B9D"/>
    <w:rsid w:val="008A39DB"/>
    <w:rsid w:val="008A3D9F"/>
    <w:rsid w:val="008A5E0B"/>
    <w:rsid w:val="008A6D59"/>
    <w:rsid w:val="008B1119"/>
    <w:rsid w:val="008B4B03"/>
    <w:rsid w:val="008B596F"/>
    <w:rsid w:val="008C159F"/>
    <w:rsid w:val="008C1623"/>
    <w:rsid w:val="008C1850"/>
    <w:rsid w:val="008C3E47"/>
    <w:rsid w:val="008C45E8"/>
    <w:rsid w:val="008C51A9"/>
    <w:rsid w:val="008C623E"/>
    <w:rsid w:val="008C7858"/>
    <w:rsid w:val="008E22DA"/>
    <w:rsid w:val="008E2672"/>
    <w:rsid w:val="008E40D5"/>
    <w:rsid w:val="008E5084"/>
    <w:rsid w:val="008E57F9"/>
    <w:rsid w:val="008E7846"/>
    <w:rsid w:val="008F02E5"/>
    <w:rsid w:val="008F1CCC"/>
    <w:rsid w:val="008F2967"/>
    <w:rsid w:val="008F62A0"/>
    <w:rsid w:val="008F6943"/>
    <w:rsid w:val="0090198B"/>
    <w:rsid w:val="00902A21"/>
    <w:rsid w:val="00903EC5"/>
    <w:rsid w:val="0090679A"/>
    <w:rsid w:val="009077D4"/>
    <w:rsid w:val="00910553"/>
    <w:rsid w:val="0091251D"/>
    <w:rsid w:val="0091523F"/>
    <w:rsid w:val="009200E5"/>
    <w:rsid w:val="00920330"/>
    <w:rsid w:val="00920B69"/>
    <w:rsid w:val="009219D7"/>
    <w:rsid w:val="00922D53"/>
    <w:rsid w:val="00923B70"/>
    <w:rsid w:val="00924482"/>
    <w:rsid w:val="00926B3D"/>
    <w:rsid w:val="00927A0F"/>
    <w:rsid w:val="00927ADD"/>
    <w:rsid w:val="00930237"/>
    <w:rsid w:val="00934E44"/>
    <w:rsid w:val="00936961"/>
    <w:rsid w:val="00937C17"/>
    <w:rsid w:val="00940A89"/>
    <w:rsid w:val="009418C5"/>
    <w:rsid w:val="00941F77"/>
    <w:rsid w:val="00942677"/>
    <w:rsid w:val="00944B74"/>
    <w:rsid w:val="00946E30"/>
    <w:rsid w:val="00946EA5"/>
    <w:rsid w:val="0094727D"/>
    <w:rsid w:val="009556D7"/>
    <w:rsid w:val="00956EEB"/>
    <w:rsid w:val="00960520"/>
    <w:rsid w:val="0096178A"/>
    <w:rsid w:val="00961B72"/>
    <w:rsid w:val="00963C08"/>
    <w:rsid w:val="009652A7"/>
    <w:rsid w:val="0096551F"/>
    <w:rsid w:val="00967DC9"/>
    <w:rsid w:val="009709A3"/>
    <w:rsid w:val="00970B84"/>
    <w:rsid w:val="009752A5"/>
    <w:rsid w:val="00977874"/>
    <w:rsid w:val="00983AD6"/>
    <w:rsid w:val="0098585A"/>
    <w:rsid w:val="00987497"/>
    <w:rsid w:val="00990A00"/>
    <w:rsid w:val="009A09D3"/>
    <w:rsid w:val="009A2E70"/>
    <w:rsid w:val="009A4CED"/>
    <w:rsid w:val="009A690D"/>
    <w:rsid w:val="009A7F35"/>
    <w:rsid w:val="009B008F"/>
    <w:rsid w:val="009B1D12"/>
    <w:rsid w:val="009B3A1E"/>
    <w:rsid w:val="009B40BE"/>
    <w:rsid w:val="009B416B"/>
    <w:rsid w:val="009BC148"/>
    <w:rsid w:val="009C2435"/>
    <w:rsid w:val="009C4BD5"/>
    <w:rsid w:val="009C5CCD"/>
    <w:rsid w:val="009C67DF"/>
    <w:rsid w:val="009D02C4"/>
    <w:rsid w:val="009D188F"/>
    <w:rsid w:val="009D2ADC"/>
    <w:rsid w:val="009D74F1"/>
    <w:rsid w:val="009D7B77"/>
    <w:rsid w:val="009E0BB0"/>
    <w:rsid w:val="009E1084"/>
    <w:rsid w:val="009E3FBB"/>
    <w:rsid w:val="009E481F"/>
    <w:rsid w:val="009E5574"/>
    <w:rsid w:val="009E5610"/>
    <w:rsid w:val="009E5A87"/>
    <w:rsid w:val="009E6084"/>
    <w:rsid w:val="009F1388"/>
    <w:rsid w:val="009F1CA1"/>
    <w:rsid w:val="009F2673"/>
    <w:rsid w:val="009F42C3"/>
    <w:rsid w:val="009F69EC"/>
    <w:rsid w:val="009F7353"/>
    <w:rsid w:val="00A032CE"/>
    <w:rsid w:val="00A0366F"/>
    <w:rsid w:val="00A04F85"/>
    <w:rsid w:val="00A05679"/>
    <w:rsid w:val="00A05FA4"/>
    <w:rsid w:val="00A102E4"/>
    <w:rsid w:val="00A1219C"/>
    <w:rsid w:val="00A12C42"/>
    <w:rsid w:val="00A14DF7"/>
    <w:rsid w:val="00A21A29"/>
    <w:rsid w:val="00A222AE"/>
    <w:rsid w:val="00A22375"/>
    <w:rsid w:val="00A22D57"/>
    <w:rsid w:val="00A23FF3"/>
    <w:rsid w:val="00A31553"/>
    <w:rsid w:val="00A315BB"/>
    <w:rsid w:val="00A3246D"/>
    <w:rsid w:val="00A33F2E"/>
    <w:rsid w:val="00A36FA7"/>
    <w:rsid w:val="00A41FE9"/>
    <w:rsid w:val="00A4375C"/>
    <w:rsid w:val="00A43DEF"/>
    <w:rsid w:val="00A44DDB"/>
    <w:rsid w:val="00A44F0F"/>
    <w:rsid w:val="00A46E34"/>
    <w:rsid w:val="00A475B7"/>
    <w:rsid w:val="00A47AF7"/>
    <w:rsid w:val="00A47C3E"/>
    <w:rsid w:val="00A50226"/>
    <w:rsid w:val="00A506F8"/>
    <w:rsid w:val="00A60BAD"/>
    <w:rsid w:val="00A6297C"/>
    <w:rsid w:val="00A63C8E"/>
    <w:rsid w:val="00A65CC7"/>
    <w:rsid w:val="00A74B70"/>
    <w:rsid w:val="00A77F87"/>
    <w:rsid w:val="00A80B5B"/>
    <w:rsid w:val="00A80CB2"/>
    <w:rsid w:val="00A81D08"/>
    <w:rsid w:val="00A8275A"/>
    <w:rsid w:val="00A82E1B"/>
    <w:rsid w:val="00A836F2"/>
    <w:rsid w:val="00A83CAC"/>
    <w:rsid w:val="00A84E36"/>
    <w:rsid w:val="00A91CF3"/>
    <w:rsid w:val="00A9285C"/>
    <w:rsid w:val="00A964D1"/>
    <w:rsid w:val="00AA0ED0"/>
    <w:rsid w:val="00AA50DE"/>
    <w:rsid w:val="00AB0A0F"/>
    <w:rsid w:val="00AB129B"/>
    <w:rsid w:val="00AB14A4"/>
    <w:rsid w:val="00AB2190"/>
    <w:rsid w:val="00AB6CC4"/>
    <w:rsid w:val="00AB76A4"/>
    <w:rsid w:val="00AC0071"/>
    <w:rsid w:val="00AC2B40"/>
    <w:rsid w:val="00AC2BB2"/>
    <w:rsid w:val="00AC2C3C"/>
    <w:rsid w:val="00AC43CE"/>
    <w:rsid w:val="00AC512D"/>
    <w:rsid w:val="00AC7C79"/>
    <w:rsid w:val="00AD0083"/>
    <w:rsid w:val="00AD3935"/>
    <w:rsid w:val="00AD40F0"/>
    <w:rsid w:val="00AD4B1E"/>
    <w:rsid w:val="00AD680D"/>
    <w:rsid w:val="00AE14B6"/>
    <w:rsid w:val="00AE17CE"/>
    <w:rsid w:val="00AE65EB"/>
    <w:rsid w:val="00AE67A7"/>
    <w:rsid w:val="00AF19AC"/>
    <w:rsid w:val="00AF1D94"/>
    <w:rsid w:val="00AF2313"/>
    <w:rsid w:val="00AF25F7"/>
    <w:rsid w:val="00AF60C5"/>
    <w:rsid w:val="00B009C6"/>
    <w:rsid w:val="00B01548"/>
    <w:rsid w:val="00B05475"/>
    <w:rsid w:val="00B054A6"/>
    <w:rsid w:val="00B06AD4"/>
    <w:rsid w:val="00B130C5"/>
    <w:rsid w:val="00B13EBD"/>
    <w:rsid w:val="00B1406F"/>
    <w:rsid w:val="00B1437D"/>
    <w:rsid w:val="00B20BEE"/>
    <w:rsid w:val="00B21D29"/>
    <w:rsid w:val="00B2388A"/>
    <w:rsid w:val="00B24ED7"/>
    <w:rsid w:val="00B25034"/>
    <w:rsid w:val="00B274CA"/>
    <w:rsid w:val="00B27F1B"/>
    <w:rsid w:val="00B30130"/>
    <w:rsid w:val="00B33588"/>
    <w:rsid w:val="00B33863"/>
    <w:rsid w:val="00B371B1"/>
    <w:rsid w:val="00B37D17"/>
    <w:rsid w:val="00B403D3"/>
    <w:rsid w:val="00B4175E"/>
    <w:rsid w:val="00B41C85"/>
    <w:rsid w:val="00B42C38"/>
    <w:rsid w:val="00B452CE"/>
    <w:rsid w:val="00B46A9F"/>
    <w:rsid w:val="00B523E8"/>
    <w:rsid w:val="00B53F06"/>
    <w:rsid w:val="00B54C25"/>
    <w:rsid w:val="00B61B18"/>
    <w:rsid w:val="00B6265D"/>
    <w:rsid w:val="00B717F4"/>
    <w:rsid w:val="00B72912"/>
    <w:rsid w:val="00B75552"/>
    <w:rsid w:val="00B7654D"/>
    <w:rsid w:val="00B76B91"/>
    <w:rsid w:val="00B770BC"/>
    <w:rsid w:val="00B77EB1"/>
    <w:rsid w:val="00B811C6"/>
    <w:rsid w:val="00B81261"/>
    <w:rsid w:val="00B81DF7"/>
    <w:rsid w:val="00B83497"/>
    <w:rsid w:val="00B855B0"/>
    <w:rsid w:val="00B92E08"/>
    <w:rsid w:val="00B93F53"/>
    <w:rsid w:val="00B94303"/>
    <w:rsid w:val="00B94E0C"/>
    <w:rsid w:val="00BA2EB5"/>
    <w:rsid w:val="00BA4481"/>
    <w:rsid w:val="00BA761E"/>
    <w:rsid w:val="00BB0B78"/>
    <w:rsid w:val="00BB260C"/>
    <w:rsid w:val="00BB29AD"/>
    <w:rsid w:val="00BB2C10"/>
    <w:rsid w:val="00BB75D6"/>
    <w:rsid w:val="00BB774E"/>
    <w:rsid w:val="00BC087C"/>
    <w:rsid w:val="00BC24F4"/>
    <w:rsid w:val="00BC2A5D"/>
    <w:rsid w:val="00BC3FCC"/>
    <w:rsid w:val="00BC4BBF"/>
    <w:rsid w:val="00BC5886"/>
    <w:rsid w:val="00BC622A"/>
    <w:rsid w:val="00BC7784"/>
    <w:rsid w:val="00BC782C"/>
    <w:rsid w:val="00BD7E31"/>
    <w:rsid w:val="00BE0A78"/>
    <w:rsid w:val="00BE1E1F"/>
    <w:rsid w:val="00BE2FE6"/>
    <w:rsid w:val="00BE30E1"/>
    <w:rsid w:val="00BE6542"/>
    <w:rsid w:val="00BE79F0"/>
    <w:rsid w:val="00BF046D"/>
    <w:rsid w:val="00BF1190"/>
    <w:rsid w:val="00BF2A8F"/>
    <w:rsid w:val="00BF3774"/>
    <w:rsid w:val="00BF5D04"/>
    <w:rsid w:val="00BF6239"/>
    <w:rsid w:val="00BF6EA7"/>
    <w:rsid w:val="00BF7063"/>
    <w:rsid w:val="00C009AA"/>
    <w:rsid w:val="00C01068"/>
    <w:rsid w:val="00C01D80"/>
    <w:rsid w:val="00C061DA"/>
    <w:rsid w:val="00C1164D"/>
    <w:rsid w:val="00C14DFA"/>
    <w:rsid w:val="00C157D5"/>
    <w:rsid w:val="00C16861"/>
    <w:rsid w:val="00C23E41"/>
    <w:rsid w:val="00C24D95"/>
    <w:rsid w:val="00C25460"/>
    <w:rsid w:val="00C25C0B"/>
    <w:rsid w:val="00C270AA"/>
    <w:rsid w:val="00C27645"/>
    <w:rsid w:val="00C3244D"/>
    <w:rsid w:val="00C34133"/>
    <w:rsid w:val="00C346AB"/>
    <w:rsid w:val="00C34B5A"/>
    <w:rsid w:val="00C404A6"/>
    <w:rsid w:val="00C40A36"/>
    <w:rsid w:val="00C41A01"/>
    <w:rsid w:val="00C41EBD"/>
    <w:rsid w:val="00C44419"/>
    <w:rsid w:val="00C45DE8"/>
    <w:rsid w:val="00C45E7B"/>
    <w:rsid w:val="00C471B1"/>
    <w:rsid w:val="00C525A2"/>
    <w:rsid w:val="00C52E24"/>
    <w:rsid w:val="00C538D0"/>
    <w:rsid w:val="00C541C0"/>
    <w:rsid w:val="00C5741F"/>
    <w:rsid w:val="00C6316B"/>
    <w:rsid w:val="00C634A9"/>
    <w:rsid w:val="00C64586"/>
    <w:rsid w:val="00C70A36"/>
    <w:rsid w:val="00C70D53"/>
    <w:rsid w:val="00C71808"/>
    <w:rsid w:val="00C73D0B"/>
    <w:rsid w:val="00C74F5C"/>
    <w:rsid w:val="00C75208"/>
    <w:rsid w:val="00C75A42"/>
    <w:rsid w:val="00C76586"/>
    <w:rsid w:val="00C76EA1"/>
    <w:rsid w:val="00C772FF"/>
    <w:rsid w:val="00C80137"/>
    <w:rsid w:val="00C801AF"/>
    <w:rsid w:val="00C80256"/>
    <w:rsid w:val="00C81748"/>
    <w:rsid w:val="00C90D14"/>
    <w:rsid w:val="00C94CD4"/>
    <w:rsid w:val="00C96017"/>
    <w:rsid w:val="00C96549"/>
    <w:rsid w:val="00C9747E"/>
    <w:rsid w:val="00CA5BB2"/>
    <w:rsid w:val="00CA6445"/>
    <w:rsid w:val="00CA6F95"/>
    <w:rsid w:val="00CB2644"/>
    <w:rsid w:val="00CB6BC0"/>
    <w:rsid w:val="00CB73F6"/>
    <w:rsid w:val="00CC09AA"/>
    <w:rsid w:val="00CC0B71"/>
    <w:rsid w:val="00CC0CB1"/>
    <w:rsid w:val="00CC1B7C"/>
    <w:rsid w:val="00CC4FB8"/>
    <w:rsid w:val="00CC5044"/>
    <w:rsid w:val="00CC727F"/>
    <w:rsid w:val="00CC74F8"/>
    <w:rsid w:val="00CD2339"/>
    <w:rsid w:val="00CD3AB4"/>
    <w:rsid w:val="00CD44AB"/>
    <w:rsid w:val="00CE0095"/>
    <w:rsid w:val="00CF15C3"/>
    <w:rsid w:val="00CF1D48"/>
    <w:rsid w:val="00CF2373"/>
    <w:rsid w:val="00CF2B6F"/>
    <w:rsid w:val="00CF2F3E"/>
    <w:rsid w:val="00CF2FB1"/>
    <w:rsid w:val="00CF58B6"/>
    <w:rsid w:val="00CF5DAD"/>
    <w:rsid w:val="00CF67EB"/>
    <w:rsid w:val="00CF6862"/>
    <w:rsid w:val="00D0062D"/>
    <w:rsid w:val="00D017ED"/>
    <w:rsid w:val="00D040D3"/>
    <w:rsid w:val="00D04C65"/>
    <w:rsid w:val="00D0735F"/>
    <w:rsid w:val="00D076C1"/>
    <w:rsid w:val="00D07CD0"/>
    <w:rsid w:val="00D12A67"/>
    <w:rsid w:val="00D141F9"/>
    <w:rsid w:val="00D153D8"/>
    <w:rsid w:val="00D201D2"/>
    <w:rsid w:val="00D212F3"/>
    <w:rsid w:val="00D224FE"/>
    <w:rsid w:val="00D22C7E"/>
    <w:rsid w:val="00D23139"/>
    <w:rsid w:val="00D23308"/>
    <w:rsid w:val="00D2368C"/>
    <w:rsid w:val="00D23BCB"/>
    <w:rsid w:val="00D30F84"/>
    <w:rsid w:val="00D33AC6"/>
    <w:rsid w:val="00D356C3"/>
    <w:rsid w:val="00D4086E"/>
    <w:rsid w:val="00D425BB"/>
    <w:rsid w:val="00D453FA"/>
    <w:rsid w:val="00D46649"/>
    <w:rsid w:val="00D476A2"/>
    <w:rsid w:val="00D54352"/>
    <w:rsid w:val="00D55D5C"/>
    <w:rsid w:val="00D56348"/>
    <w:rsid w:val="00D6493E"/>
    <w:rsid w:val="00D6600A"/>
    <w:rsid w:val="00D67E3C"/>
    <w:rsid w:val="00D67ED2"/>
    <w:rsid w:val="00D7195D"/>
    <w:rsid w:val="00D72CBA"/>
    <w:rsid w:val="00D7301E"/>
    <w:rsid w:val="00D80178"/>
    <w:rsid w:val="00D8054E"/>
    <w:rsid w:val="00D81AA8"/>
    <w:rsid w:val="00D821F1"/>
    <w:rsid w:val="00D83AE1"/>
    <w:rsid w:val="00D84D6E"/>
    <w:rsid w:val="00D854AC"/>
    <w:rsid w:val="00D855D4"/>
    <w:rsid w:val="00D8728C"/>
    <w:rsid w:val="00D902C9"/>
    <w:rsid w:val="00D92AF5"/>
    <w:rsid w:val="00D93466"/>
    <w:rsid w:val="00DA0BCD"/>
    <w:rsid w:val="00DA1124"/>
    <w:rsid w:val="00DA163B"/>
    <w:rsid w:val="00DA5C74"/>
    <w:rsid w:val="00DA64CB"/>
    <w:rsid w:val="00DA7A3B"/>
    <w:rsid w:val="00DB06B8"/>
    <w:rsid w:val="00DB6124"/>
    <w:rsid w:val="00DB750B"/>
    <w:rsid w:val="00DB75B7"/>
    <w:rsid w:val="00DC0A2F"/>
    <w:rsid w:val="00DC1948"/>
    <w:rsid w:val="00DC2690"/>
    <w:rsid w:val="00DC6E02"/>
    <w:rsid w:val="00DD28CD"/>
    <w:rsid w:val="00DE02AE"/>
    <w:rsid w:val="00DE0685"/>
    <w:rsid w:val="00DE1352"/>
    <w:rsid w:val="00DE13E9"/>
    <w:rsid w:val="00DE170E"/>
    <w:rsid w:val="00DE39D1"/>
    <w:rsid w:val="00DE3C9A"/>
    <w:rsid w:val="00DF1D7F"/>
    <w:rsid w:val="00DF4BE4"/>
    <w:rsid w:val="00DF5D3E"/>
    <w:rsid w:val="00DF7C6F"/>
    <w:rsid w:val="00E01134"/>
    <w:rsid w:val="00E014BA"/>
    <w:rsid w:val="00E01F72"/>
    <w:rsid w:val="00E02382"/>
    <w:rsid w:val="00E02FB4"/>
    <w:rsid w:val="00E04837"/>
    <w:rsid w:val="00E0608C"/>
    <w:rsid w:val="00E13FC7"/>
    <w:rsid w:val="00E20571"/>
    <w:rsid w:val="00E235F7"/>
    <w:rsid w:val="00E23659"/>
    <w:rsid w:val="00E239D4"/>
    <w:rsid w:val="00E26130"/>
    <w:rsid w:val="00E31C40"/>
    <w:rsid w:val="00E333C1"/>
    <w:rsid w:val="00E33D42"/>
    <w:rsid w:val="00E37A95"/>
    <w:rsid w:val="00E40B22"/>
    <w:rsid w:val="00E439D4"/>
    <w:rsid w:val="00E44ED1"/>
    <w:rsid w:val="00E45619"/>
    <w:rsid w:val="00E4588F"/>
    <w:rsid w:val="00E46DA3"/>
    <w:rsid w:val="00E5043F"/>
    <w:rsid w:val="00E5062A"/>
    <w:rsid w:val="00E5178C"/>
    <w:rsid w:val="00E51BB1"/>
    <w:rsid w:val="00E55048"/>
    <w:rsid w:val="00E55CB0"/>
    <w:rsid w:val="00E624A5"/>
    <w:rsid w:val="00E62B58"/>
    <w:rsid w:val="00E64BA4"/>
    <w:rsid w:val="00E6651D"/>
    <w:rsid w:val="00E71281"/>
    <w:rsid w:val="00E72922"/>
    <w:rsid w:val="00E7344E"/>
    <w:rsid w:val="00E7739B"/>
    <w:rsid w:val="00E80A4D"/>
    <w:rsid w:val="00E810AC"/>
    <w:rsid w:val="00E82665"/>
    <w:rsid w:val="00E826ED"/>
    <w:rsid w:val="00E835D5"/>
    <w:rsid w:val="00E83C20"/>
    <w:rsid w:val="00E966B6"/>
    <w:rsid w:val="00EA4D6F"/>
    <w:rsid w:val="00EB0798"/>
    <w:rsid w:val="00EB0EAC"/>
    <w:rsid w:val="00EB1F56"/>
    <w:rsid w:val="00EB24E1"/>
    <w:rsid w:val="00EB36D6"/>
    <w:rsid w:val="00EB40AD"/>
    <w:rsid w:val="00EB45DA"/>
    <w:rsid w:val="00EB586E"/>
    <w:rsid w:val="00EB5FC8"/>
    <w:rsid w:val="00EB7EF8"/>
    <w:rsid w:val="00EC463D"/>
    <w:rsid w:val="00EC4D0D"/>
    <w:rsid w:val="00EC7A85"/>
    <w:rsid w:val="00ED2922"/>
    <w:rsid w:val="00ED3CAD"/>
    <w:rsid w:val="00ED5A41"/>
    <w:rsid w:val="00ED70B8"/>
    <w:rsid w:val="00EE1DE8"/>
    <w:rsid w:val="00EE27C2"/>
    <w:rsid w:val="00EE527B"/>
    <w:rsid w:val="00EE6764"/>
    <w:rsid w:val="00EE75E2"/>
    <w:rsid w:val="00EE780C"/>
    <w:rsid w:val="00EF115C"/>
    <w:rsid w:val="00EF23BC"/>
    <w:rsid w:val="00EF4BAD"/>
    <w:rsid w:val="00EF59DC"/>
    <w:rsid w:val="00F0225D"/>
    <w:rsid w:val="00F033EC"/>
    <w:rsid w:val="00F04F68"/>
    <w:rsid w:val="00F11BAB"/>
    <w:rsid w:val="00F11DAC"/>
    <w:rsid w:val="00F12670"/>
    <w:rsid w:val="00F14B27"/>
    <w:rsid w:val="00F1583C"/>
    <w:rsid w:val="00F1682F"/>
    <w:rsid w:val="00F22ACA"/>
    <w:rsid w:val="00F26204"/>
    <w:rsid w:val="00F26669"/>
    <w:rsid w:val="00F27AA8"/>
    <w:rsid w:val="00F3094B"/>
    <w:rsid w:val="00F3148D"/>
    <w:rsid w:val="00F314C6"/>
    <w:rsid w:val="00F315D4"/>
    <w:rsid w:val="00F325C5"/>
    <w:rsid w:val="00F32FE0"/>
    <w:rsid w:val="00F340AB"/>
    <w:rsid w:val="00F35298"/>
    <w:rsid w:val="00F372B3"/>
    <w:rsid w:val="00F408D1"/>
    <w:rsid w:val="00F43AEE"/>
    <w:rsid w:val="00F47333"/>
    <w:rsid w:val="00F478B9"/>
    <w:rsid w:val="00F47E37"/>
    <w:rsid w:val="00F501F4"/>
    <w:rsid w:val="00F53C07"/>
    <w:rsid w:val="00F54B65"/>
    <w:rsid w:val="00F569DE"/>
    <w:rsid w:val="00F5740A"/>
    <w:rsid w:val="00F636A5"/>
    <w:rsid w:val="00F63DBF"/>
    <w:rsid w:val="00F640B6"/>
    <w:rsid w:val="00F66710"/>
    <w:rsid w:val="00F66DF2"/>
    <w:rsid w:val="00F7458B"/>
    <w:rsid w:val="00F75441"/>
    <w:rsid w:val="00F80E40"/>
    <w:rsid w:val="00F818E9"/>
    <w:rsid w:val="00F848D9"/>
    <w:rsid w:val="00F84DC2"/>
    <w:rsid w:val="00F84DDD"/>
    <w:rsid w:val="00F87BC1"/>
    <w:rsid w:val="00F931CE"/>
    <w:rsid w:val="00F96197"/>
    <w:rsid w:val="00F96C0A"/>
    <w:rsid w:val="00FA2137"/>
    <w:rsid w:val="00FA4BBA"/>
    <w:rsid w:val="00FA5069"/>
    <w:rsid w:val="00FA5B82"/>
    <w:rsid w:val="00FA5CF4"/>
    <w:rsid w:val="00FA639E"/>
    <w:rsid w:val="00FB03C9"/>
    <w:rsid w:val="00FB72AB"/>
    <w:rsid w:val="00FC1FCA"/>
    <w:rsid w:val="00FC25E4"/>
    <w:rsid w:val="00FC35BD"/>
    <w:rsid w:val="00FC4EF7"/>
    <w:rsid w:val="00FC5287"/>
    <w:rsid w:val="00FC7B0A"/>
    <w:rsid w:val="00FD0824"/>
    <w:rsid w:val="00FD119B"/>
    <w:rsid w:val="00FD1EDC"/>
    <w:rsid w:val="00FD7E46"/>
    <w:rsid w:val="00FE1DEE"/>
    <w:rsid w:val="00FF2126"/>
    <w:rsid w:val="00FF5755"/>
    <w:rsid w:val="00FF69BE"/>
    <w:rsid w:val="00FF6C19"/>
    <w:rsid w:val="00FF7B93"/>
    <w:rsid w:val="01EABF76"/>
    <w:rsid w:val="024C79E4"/>
    <w:rsid w:val="024D71CA"/>
    <w:rsid w:val="04081343"/>
    <w:rsid w:val="05F13215"/>
    <w:rsid w:val="062CB65C"/>
    <w:rsid w:val="06B9F6C0"/>
    <w:rsid w:val="06D714DE"/>
    <w:rsid w:val="06F34CCE"/>
    <w:rsid w:val="072B803C"/>
    <w:rsid w:val="079A3D0A"/>
    <w:rsid w:val="07FBC5CF"/>
    <w:rsid w:val="08CBB153"/>
    <w:rsid w:val="0984C7D7"/>
    <w:rsid w:val="0A54A8AE"/>
    <w:rsid w:val="0BAFBB4E"/>
    <w:rsid w:val="0C68BC6C"/>
    <w:rsid w:val="0DD46843"/>
    <w:rsid w:val="0E17751A"/>
    <w:rsid w:val="0E92045B"/>
    <w:rsid w:val="0EED4544"/>
    <w:rsid w:val="0FE85717"/>
    <w:rsid w:val="1059DA5B"/>
    <w:rsid w:val="105B7CD4"/>
    <w:rsid w:val="10A012C3"/>
    <w:rsid w:val="10BA062E"/>
    <w:rsid w:val="129F7967"/>
    <w:rsid w:val="1477BE3D"/>
    <w:rsid w:val="18B41934"/>
    <w:rsid w:val="19949298"/>
    <w:rsid w:val="1C1606B0"/>
    <w:rsid w:val="1C42195C"/>
    <w:rsid w:val="1D20639E"/>
    <w:rsid w:val="1E1EADF1"/>
    <w:rsid w:val="2063BD0D"/>
    <w:rsid w:val="20BB1254"/>
    <w:rsid w:val="20EDA9CB"/>
    <w:rsid w:val="22A1E4F4"/>
    <w:rsid w:val="23B85793"/>
    <w:rsid w:val="26B8779B"/>
    <w:rsid w:val="27A202A3"/>
    <w:rsid w:val="296676D1"/>
    <w:rsid w:val="2A4C6026"/>
    <w:rsid w:val="2DD74BA6"/>
    <w:rsid w:val="2FD8EA8B"/>
    <w:rsid w:val="310F1107"/>
    <w:rsid w:val="3182AE3F"/>
    <w:rsid w:val="31D97EEF"/>
    <w:rsid w:val="37EA1508"/>
    <w:rsid w:val="3888CBAF"/>
    <w:rsid w:val="3C7FBF24"/>
    <w:rsid w:val="3CF457A1"/>
    <w:rsid w:val="3D5F58A0"/>
    <w:rsid w:val="3DF202FF"/>
    <w:rsid w:val="3FB975F2"/>
    <w:rsid w:val="4013677E"/>
    <w:rsid w:val="4141F39B"/>
    <w:rsid w:val="43B60892"/>
    <w:rsid w:val="445D7EA6"/>
    <w:rsid w:val="4486CCDA"/>
    <w:rsid w:val="45296AB2"/>
    <w:rsid w:val="475BCA8D"/>
    <w:rsid w:val="478FB41A"/>
    <w:rsid w:val="4791A4A8"/>
    <w:rsid w:val="47B1DDF7"/>
    <w:rsid w:val="47F523DC"/>
    <w:rsid w:val="48B846AD"/>
    <w:rsid w:val="4957C616"/>
    <w:rsid w:val="49B185D2"/>
    <w:rsid w:val="4B6F9B96"/>
    <w:rsid w:val="4BD4FF05"/>
    <w:rsid w:val="4C8F2A12"/>
    <w:rsid w:val="4CD889AA"/>
    <w:rsid w:val="4D8DDE64"/>
    <w:rsid w:val="4F98404A"/>
    <w:rsid w:val="50110022"/>
    <w:rsid w:val="50B91D19"/>
    <w:rsid w:val="51885488"/>
    <w:rsid w:val="51E944CE"/>
    <w:rsid w:val="529F7B6D"/>
    <w:rsid w:val="571227D0"/>
    <w:rsid w:val="58AA09CB"/>
    <w:rsid w:val="59DA1F0E"/>
    <w:rsid w:val="5ABC285B"/>
    <w:rsid w:val="5C218DAB"/>
    <w:rsid w:val="5E633DA2"/>
    <w:rsid w:val="5F188EC9"/>
    <w:rsid w:val="60B92BC6"/>
    <w:rsid w:val="617CC92A"/>
    <w:rsid w:val="61B2AFD6"/>
    <w:rsid w:val="63F7203C"/>
    <w:rsid w:val="64EAAE41"/>
    <w:rsid w:val="653E0919"/>
    <w:rsid w:val="65DD3547"/>
    <w:rsid w:val="6861DD66"/>
    <w:rsid w:val="6A48BF7D"/>
    <w:rsid w:val="6A64B8E8"/>
    <w:rsid w:val="6AA0017C"/>
    <w:rsid w:val="6C147313"/>
    <w:rsid w:val="6CB5F436"/>
    <w:rsid w:val="6CB912D7"/>
    <w:rsid w:val="6D1FAA2A"/>
    <w:rsid w:val="701262C3"/>
    <w:rsid w:val="70CCEA58"/>
    <w:rsid w:val="70D78D4B"/>
    <w:rsid w:val="711AD1DB"/>
    <w:rsid w:val="730E9AF9"/>
    <w:rsid w:val="739E3F36"/>
    <w:rsid w:val="767F59CE"/>
    <w:rsid w:val="7710E155"/>
    <w:rsid w:val="7745BCC2"/>
    <w:rsid w:val="7996A368"/>
    <w:rsid w:val="7C0A24EB"/>
    <w:rsid w:val="7CDB4CDF"/>
    <w:rsid w:val="7F19CAE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0E6C1"/>
  <w15:docId w15:val="{70029C06-C3A3-44BF-9352-8DDB48D5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2764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566F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5062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F87BC1"/>
    <w:pPr>
      <w:ind w:left="720"/>
      <w:contextualSpacing/>
    </w:pPr>
  </w:style>
  <w:style w:type="character" w:customStyle="1" w:styleId="Heading8Char">
    <w:name w:val="Heading 8 Char"/>
    <w:basedOn w:val="DefaultParagraphFont"/>
    <w:link w:val="Heading8"/>
    <w:uiPriority w:val="9"/>
    <w:semiHidden/>
    <w:rsid w:val="000566F2"/>
    <w:rPr>
      <w:rFonts w:asciiTheme="majorHAnsi" w:eastAsiaTheme="majorEastAsia" w:hAnsiTheme="majorHAnsi" w:cstheme="majorBidi"/>
      <w:color w:val="272727" w:themeColor="text1" w:themeTint="D8"/>
      <w:sz w:val="21"/>
      <w:szCs w:val="21"/>
    </w:rPr>
  </w:style>
  <w:style w:type="paragraph" w:customStyle="1" w:styleId="Default">
    <w:name w:val="Default"/>
    <w:rsid w:val="00E62B5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list">
    <w:name w:val="Bullet list"/>
    <w:basedOn w:val="Normal"/>
    <w:link w:val="BulletlistChar"/>
    <w:qFormat/>
    <w:rsid w:val="00704218"/>
    <w:pPr>
      <w:numPr>
        <w:numId w:val="4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704218"/>
    <w:rPr>
      <w:rFonts w:ascii="Cambria" w:eastAsia="Times New Roman" w:hAnsi="Cambria" w:cs="Times New Roman"/>
      <w:snapToGrid w:val="0"/>
      <w:kern w:val="2"/>
      <w:sz w:val="23"/>
    </w:rPr>
  </w:style>
  <w:style w:type="paragraph" w:customStyle="1" w:styleId="Standard">
    <w:name w:val="Standard"/>
    <w:basedOn w:val="Normal"/>
    <w:link w:val="StandardChar"/>
    <w:qFormat/>
    <w:rsid w:val="0070421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04218"/>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704218"/>
    <w:rPr>
      <w:rFonts w:ascii="Cambria" w:eastAsia="Cambria" w:hAnsi="Cambria" w:cs="Times New Roman"/>
      <w:snapToGrid/>
      <w:kern w:val="16"/>
      <w:sz w:val="19"/>
      <w:szCs w:val="24"/>
    </w:rPr>
  </w:style>
  <w:style w:type="paragraph" w:customStyle="1" w:styleId="Comment1">
    <w:name w:val="Comment 1"/>
    <w:basedOn w:val="Normal"/>
    <w:next w:val="Normal"/>
    <w:qFormat/>
    <w:rsid w:val="009019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8" w:hanging="1138"/>
    </w:pPr>
    <w:rPr>
      <w:rFonts w:ascii="Calibri" w:eastAsiaTheme="minorHAnsi" w:hAnsi="Calibri" w:cs="Arial"/>
      <w:kern w:val="16"/>
      <w:szCs w:val="20"/>
      <w:lang w:eastAsia="en-AU"/>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ga.copyright@tga.gov.au" TargetMode="External"/><Relationship Id="rId18" Type="http://schemas.openxmlformats.org/officeDocument/2006/relationships/hyperlink" Target="https://www.tga.gov.au/picmi-search-facility" TargetMode="External"/><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tga.gov.au/committee/advisory-committee-medicines-acm" TargetMode="Externa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8.png"/><Relationship Id="rId33" Type="http://schemas.openxmlformats.org/officeDocument/2006/relationships/hyperlink" Target="https://www.tga.gov.au/tgas-risk-management-approach" TargetMode="External"/><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png"/><Relationship Id="rId32" Type="http://schemas.openxmlformats.org/officeDocument/2006/relationships/hyperlink" Target="https://www.tga.gov.au/publication/risk-management-plans-medicines-and-biologicals" TargetMode="External"/><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tga.gov.au/picmi-search-facility" TargetMode="External"/><Relationship Id="rId43" Type="http://schemas.openxmlformats.org/officeDocument/2006/relationships/header" Target="header7.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295e7f-1494-4ee2-98f6-9b13e238ffd0" xsi:nil="true"/>
    <lcf76f155ced4ddcb4097134ff3c332f xmlns="bfdd6333-7936-4a8c-9c27-3346230b3b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11F2E42B191D46969216805107C9DF" ma:contentTypeVersion="16" ma:contentTypeDescription="Create a new document." ma:contentTypeScope="" ma:versionID="e802e83777aadbfd01c95cb20d85f20b">
  <xsd:schema xmlns:xsd="http://www.w3.org/2001/XMLSchema" xmlns:xs="http://www.w3.org/2001/XMLSchema" xmlns:p="http://schemas.microsoft.com/office/2006/metadata/properties" xmlns:ns2="bfdd6333-7936-4a8c-9c27-3346230b3ba6" xmlns:ns3="21295e7f-1494-4ee2-98f6-9b13e238ffd0" targetNamespace="http://schemas.microsoft.com/office/2006/metadata/properties" ma:root="true" ma:fieldsID="181873cbfe2152f2e8583403a89aca3c" ns2:_="" ns3:_="">
    <xsd:import namespace="bfdd6333-7936-4a8c-9c27-3346230b3ba6"/>
    <xsd:import namespace="21295e7f-1494-4ee2-98f6-9b13e238ff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d6333-7936-4a8c-9c27-3346230b3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fbc8ecd-2f32-4008-b3dd-c284482de5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295e7f-1494-4ee2-98f6-9b13e238ff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b9d409-3baa-40d1-a807-b669a075d86c}" ma:internalName="TaxCatchAll" ma:showField="CatchAllData" ma:web="21295e7f-1494-4ee2-98f6-9b13e238f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78BFE-1337-46F2-B47F-A475B05E9375}">
  <ds:schemaRefs>
    <ds:schemaRef ds:uri="http://purl.org/dc/elements/1.1/"/>
    <ds:schemaRef ds:uri="http://schemas.microsoft.com/office/2006/metadata/properties"/>
    <ds:schemaRef ds:uri="bfdd6333-7936-4a8c-9c27-3346230b3ba6"/>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21295e7f-1494-4ee2-98f6-9b13e238ffd0"/>
    <ds:schemaRef ds:uri="http://www.w3.org/XML/1998/namespace"/>
    <ds:schemaRef ds:uri="http://purl.org/dc/dcmitype/"/>
  </ds:schemaRefs>
</ds:datastoreItem>
</file>

<file path=customXml/itemProps2.xml><?xml version="1.0" encoding="utf-8"?>
<ds:datastoreItem xmlns:ds="http://schemas.openxmlformats.org/officeDocument/2006/customXml" ds:itemID="{892E6462-2FB6-4A63-AE8D-630F403F3994}">
  <ds:schemaRefs>
    <ds:schemaRef ds:uri="http://schemas.microsoft.com/sharepoint/v3/contenttype/forms"/>
  </ds:schemaRefs>
</ds:datastoreItem>
</file>

<file path=customXml/itemProps3.xml><?xml version="1.0" encoding="utf-8"?>
<ds:datastoreItem xmlns:ds="http://schemas.openxmlformats.org/officeDocument/2006/customXml" ds:itemID="{099087D3-0710-4474-9787-A0383A6298BB}">
  <ds:schemaRefs>
    <ds:schemaRef ds:uri="http://schemas.openxmlformats.org/officeDocument/2006/bibliography"/>
  </ds:schemaRefs>
</ds:datastoreItem>
</file>

<file path=customXml/itemProps4.xml><?xml version="1.0" encoding="utf-8"?>
<ds:datastoreItem xmlns:ds="http://schemas.openxmlformats.org/officeDocument/2006/customXml" ds:itemID="{B6717C1B-E1C1-4E7B-AE4D-3B3C16378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d6333-7936-4a8c-9c27-3346230b3ba6"/>
    <ds:schemaRef ds:uri="21295e7f-1494-4ee2-98f6-9b13e238f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15511</Words>
  <Characters>89194</Characters>
  <Application>Microsoft Office Word</Application>
  <DocSecurity>0</DocSecurity>
  <Lines>1982</Lines>
  <Paragraphs>1125</Paragraphs>
  <ScaleCrop>false</ScaleCrop>
  <HeadingPairs>
    <vt:vector size="2" baseType="variant">
      <vt:variant>
        <vt:lpstr>Title</vt:lpstr>
      </vt:variant>
      <vt:variant>
        <vt:i4>1</vt:i4>
      </vt:variant>
    </vt:vector>
  </HeadingPairs>
  <TitlesOfParts>
    <vt:vector size="1" baseType="lpstr">
      <vt:lpstr>Australian public assessment report for Nextstellis</vt:lpstr>
    </vt:vector>
  </TitlesOfParts>
  <Company>Department of Health Therapeutic Goods Administration</Company>
  <LinksUpToDate>false</LinksUpToDate>
  <CharactersWithSpaces>103580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Nextstellis</dc:title>
  <dc:subject>prescription medicines</dc:subject>
  <dc:creator>Therapeutic Goods Administration</dc:creator>
  <cp:keywords/>
  <cp:lastModifiedBy>LACK, Janet</cp:lastModifiedBy>
  <cp:revision>4</cp:revision>
  <cp:lastPrinted>2019-08-13T11:30:00Z</cp:lastPrinted>
  <dcterms:created xsi:type="dcterms:W3CDTF">2022-08-09T22:48:00Z</dcterms:created>
  <dcterms:modified xsi:type="dcterms:W3CDTF">2022-08-11T02:06:00Z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0x0101001811F2E42B191D46969216805107C9DF</vt:lpwstr>
  </property>
  <property fmtid="{D5CDD505-2E9C-101B-9397-08002B2CF9AE}" pid="3" name="MediaServiceImageTags">
    <vt:lpwstr/>
  </property>
</Properties>
</file>