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7CB33" w14:textId="524901F7" w:rsidR="00B9261E" w:rsidRPr="00316FF7" w:rsidRDefault="00B9261E" w:rsidP="00B9261E">
      <w:pPr>
        <w:tabs>
          <w:tab w:val="left" w:pos="284"/>
        </w:tabs>
        <w:spacing w:after="480"/>
        <w:rPr>
          <w:rFonts w:cs="Times New Roman"/>
          <w:szCs w:val="24"/>
          <w:lang w:val="en-AU"/>
        </w:rPr>
      </w:pPr>
      <w:r w:rsidRPr="00316FF7">
        <w:rPr>
          <w:rFonts w:cs="Times New Roman"/>
          <w:noProof/>
          <w:szCs w:val="24"/>
          <w:lang w:val="en-AU" w:eastAsia="en-GB"/>
        </w:rPr>
        <mc:AlternateContent>
          <mc:Choice Requires="wps">
            <w:drawing>
              <wp:inline distT="0" distB="0" distL="0" distR="0" wp14:anchorId="489A6085" wp14:editId="6575A18F">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A549F" w14:textId="77777777" w:rsidR="008A3212" w:rsidRPr="00BE2A26" w:rsidRDefault="008A3212" w:rsidP="00B9261E">
                            <w:pPr>
                              <w:rPr>
                                <w:rFonts w:ascii="Wingdings 3" w:hAnsi="Wingdings 3"/>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489A608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365A549F" w14:textId="77777777" w:rsidR="008A3212" w:rsidRPr="00BE2A26" w:rsidRDefault="008A3212" w:rsidP="00B9261E">
                      <w:pPr>
                        <w:rPr>
                          <w:rFonts w:ascii="Wingdings 3" w:hAnsi="Wingdings 3"/>
                        </w:rPr>
                      </w:pPr>
                      <w:r w:rsidRPr="00BE2A26">
                        <w:rPr>
                          <w:rFonts w:ascii="SimSun" w:eastAsia="SimSun" w:hAnsi="SimSun" w:hint="eastAsia"/>
                          <w:sz w:val="40"/>
                        </w:rPr>
                        <w:t>▼</w:t>
                      </w:r>
                    </w:p>
                  </w:txbxContent>
                </v:textbox>
                <w10:anchorlock/>
              </v:shape>
            </w:pict>
          </mc:Fallback>
        </mc:AlternateContent>
      </w:r>
      <w:r w:rsidRPr="00316FF7">
        <w:rPr>
          <w:rFonts w:cs="Times New Roman"/>
          <w:szCs w:val="24"/>
          <w:lang w:val="en-AU"/>
        </w:rPr>
        <w:t xml:space="preserve">This medicinal product is subject to additional monitoring in Australia. This will allow quick identification of new safety information. Healthcare professionals are asked to report any suspected adverse events at </w:t>
      </w:r>
      <w:r w:rsidRPr="00316FF7">
        <w:rPr>
          <w:rFonts w:cs="Times New Roman"/>
          <w:color w:val="0000FF"/>
          <w:szCs w:val="24"/>
          <w:u w:val="single"/>
          <w:lang w:val="en-AU"/>
        </w:rPr>
        <w:t>www.tga.gov.au/reporting-problems</w:t>
      </w:r>
      <w:r w:rsidRPr="00316FF7">
        <w:rPr>
          <w:rFonts w:cs="Times New Roman"/>
          <w:szCs w:val="24"/>
          <w:lang w:val="en-AU"/>
        </w:rPr>
        <w:t>.</w:t>
      </w:r>
    </w:p>
    <w:p w14:paraId="07C72B5C" w14:textId="111174F0" w:rsidR="00D52D3D" w:rsidRPr="00316FF7" w:rsidRDefault="00D52D3D" w:rsidP="008E0D28">
      <w:pPr>
        <w:pStyle w:val="C-Heading1nopagebreak0"/>
        <w:jc w:val="center"/>
        <w:rPr>
          <w:lang w:val="en-AU"/>
        </w:rPr>
      </w:pPr>
      <w:r w:rsidRPr="00316FF7">
        <w:rPr>
          <w:lang w:val="en-AU"/>
        </w:rPr>
        <w:t>AUSTRALIAN PRODUCT INFORMAT</w:t>
      </w:r>
      <w:r w:rsidR="00EB3B68">
        <w:rPr>
          <w:lang w:val="en-AU"/>
        </w:rPr>
        <w:t>i</w:t>
      </w:r>
      <w:r w:rsidRPr="00316FF7">
        <w:rPr>
          <w:lang w:val="en-AU"/>
        </w:rPr>
        <w:t>ON</w:t>
      </w:r>
    </w:p>
    <w:p w14:paraId="7ED71214" w14:textId="539093D7" w:rsidR="008B04CC" w:rsidRPr="00316FF7" w:rsidRDefault="00F12FE1" w:rsidP="008E0D28">
      <w:pPr>
        <w:pStyle w:val="C-Heading1nopagebreak0"/>
        <w:ind w:left="0" w:firstLine="0"/>
        <w:jc w:val="center"/>
        <w:rPr>
          <w:lang w:val="en-AU"/>
        </w:rPr>
      </w:pPr>
      <w:r w:rsidRPr="00316FF7">
        <w:rPr>
          <w:lang w:val="en-AU"/>
        </w:rPr>
        <w:t>NEXTSTELLIS</w:t>
      </w:r>
      <w:r w:rsidR="00052930" w:rsidRPr="00316FF7">
        <w:rPr>
          <w:caps w:val="0"/>
          <w:vertAlign w:val="superscript"/>
          <w:lang w:val="en-AU"/>
        </w:rPr>
        <w:t>T</w:t>
      </w:r>
      <w:r w:rsidR="002800EF" w:rsidRPr="00316FF7">
        <w:rPr>
          <w:vertAlign w:val="superscript"/>
          <w:lang w:val="en-AU"/>
        </w:rPr>
        <w:t>M</w:t>
      </w:r>
      <w:r w:rsidR="00FE4CA6" w:rsidRPr="00316FF7">
        <w:rPr>
          <w:lang w:val="en-AU"/>
        </w:rPr>
        <w:t xml:space="preserve"> (</w:t>
      </w:r>
      <w:r w:rsidR="00F501B8" w:rsidRPr="00316FF7">
        <w:rPr>
          <w:caps w:val="0"/>
          <w:lang w:val="en-AU"/>
        </w:rPr>
        <w:t xml:space="preserve">ESTETROL </w:t>
      </w:r>
      <w:r w:rsidR="00D32087">
        <w:rPr>
          <w:caps w:val="0"/>
          <w:lang w:val="en-AU"/>
        </w:rPr>
        <w:t xml:space="preserve">(AS </w:t>
      </w:r>
      <w:r w:rsidR="00F501B8" w:rsidRPr="00316FF7">
        <w:rPr>
          <w:caps w:val="0"/>
          <w:lang w:val="en-AU"/>
        </w:rPr>
        <w:t>MONOHYDRATE</w:t>
      </w:r>
      <w:r w:rsidR="00D32087">
        <w:rPr>
          <w:caps w:val="0"/>
          <w:lang w:val="en-AU"/>
        </w:rPr>
        <w:t>)</w:t>
      </w:r>
      <w:r w:rsidR="00F501B8" w:rsidRPr="00316FF7">
        <w:rPr>
          <w:caps w:val="0"/>
          <w:lang w:val="en-AU"/>
        </w:rPr>
        <w:t xml:space="preserve"> AND DROSPIRENONE</w:t>
      </w:r>
      <w:r w:rsidR="00FE4CA6" w:rsidRPr="00316FF7">
        <w:rPr>
          <w:lang w:val="en-AU"/>
        </w:rPr>
        <w:t>)</w:t>
      </w:r>
      <w:r w:rsidR="002150F0" w:rsidRPr="00316FF7">
        <w:rPr>
          <w:lang w:val="en-AU"/>
        </w:rPr>
        <w:t xml:space="preserve"> </w:t>
      </w:r>
      <w:r w:rsidR="00481B15" w:rsidRPr="00316FF7">
        <w:rPr>
          <w:caps w:val="0"/>
          <w:lang w:val="en-AU"/>
        </w:rPr>
        <w:t>TABLETS</w:t>
      </w:r>
    </w:p>
    <w:p w14:paraId="1CE412DC" w14:textId="6B83E285" w:rsidR="00FE4CA6" w:rsidRPr="00316FF7" w:rsidRDefault="00B845D7" w:rsidP="00B845D7">
      <w:pPr>
        <w:pStyle w:val="C-Heading1nopagebreak"/>
        <w:rPr>
          <w:lang w:val="en-AU"/>
        </w:rPr>
      </w:pPr>
      <w:r w:rsidRPr="00316FF7">
        <w:rPr>
          <w:lang w:val="en-AU"/>
        </w:rPr>
        <w:t>NAME OF THE MEDICINE</w:t>
      </w:r>
    </w:p>
    <w:p w14:paraId="43E3D406" w14:textId="41109639" w:rsidR="00DE770A" w:rsidRPr="00316FF7" w:rsidRDefault="00B23772" w:rsidP="00DE770A">
      <w:pPr>
        <w:pStyle w:val="C-BodyText"/>
        <w:rPr>
          <w:lang w:val="en-AU"/>
        </w:rPr>
      </w:pPr>
      <w:proofErr w:type="spellStart"/>
      <w:r w:rsidRPr="00316FF7">
        <w:rPr>
          <w:lang w:val="en-AU"/>
        </w:rPr>
        <w:t>Estetrol</w:t>
      </w:r>
      <w:proofErr w:type="spellEnd"/>
      <w:r w:rsidRPr="00316FF7">
        <w:rPr>
          <w:lang w:val="en-AU"/>
        </w:rPr>
        <w:t xml:space="preserve"> </w:t>
      </w:r>
      <w:r w:rsidR="00D32087">
        <w:rPr>
          <w:lang w:val="en-AU"/>
        </w:rPr>
        <w:t xml:space="preserve">(as </w:t>
      </w:r>
      <w:r w:rsidRPr="00316FF7">
        <w:rPr>
          <w:lang w:val="en-AU"/>
        </w:rPr>
        <w:t>monohydrate</w:t>
      </w:r>
      <w:r w:rsidR="00D32087">
        <w:rPr>
          <w:lang w:val="en-AU"/>
        </w:rPr>
        <w:t>)</w:t>
      </w:r>
      <w:r w:rsidRPr="00316FF7">
        <w:rPr>
          <w:lang w:val="en-AU"/>
        </w:rPr>
        <w:t xml:space="preserve"> and drospirenone</w:t>
      </w:r>
    </w:p>
    <w:p w14:paraId="1649C479" w14:textId="77777777" w:rsidR="00B845D7" w:rsidRPr="00316FF7" w:rsidRDefault="00B845D7" w:rsidP="00B845D7">
      <w:pPr>
        <w:pStyle w:val="C-Heading1nopagebreak"/>
        <w:rPr>
          <w:lang w:val="en-AU"/>
        </w:rPr>
      </w:pPr>
      <w:r w:rsidRPr="00316FF7">
        <w:rPr>
          <w:lang w:val="en-AU"/>
        </w:rPr>
        <w:t>QUALITATIVE AND QUANTITATIVE COMPOSITION</w:t>
      </w:r>
    </w:p>
    <w:p w14:paraId="270304B7" w14:textId="2A7A1DB6" w:rsidR="0061569F" w:rsidRPr="00316FF7" w:rsidRDefault="0061569F" w:rsidP="00DE770A">
      <w:pPr>
        <w:pStyle w:val="C-BodyText"/>
        <w:rPr>
          <w:lang w:val="en-AU"/>
        </w:rPr>
      </w:pPr>
      <w:r w:rsidRPr="00316FF7">
        <w:rPr>
          <w:lang w:val="en-AU"/>
        </w:rPr>
        <w:t xml:space="preserve">Estetrol </w:t>
      </w:r>
      <w:r w:rsidR="00612211" w:rsidRPr="00316FF7">
        <w:rPr>
          <w:lang w:val="en-AU"/>
        </w:rPr>
        <w:t xml:space="preserve">(E4) </w:t>
      </w:r>
      <w:r w:rsidRPr="00316FF7">
        <w:rPr>
          <w:lang w:val="en-AU"/>
        </w:rPr>
        <w:t>is a synthetic analogue of a native human estrogen and drospirenone is a synthetic progestational compound.</w:t>
      </w:r>
    </w:p>
    <w:p w14:paraId="39D8A125" w14:textId="72D1D1ED" w:rsidR="00D44D71" w:rsidRPr="00316FF7" w:rsidRDefault="00D44D71" w:rsidP="00DE770A">
      <w:pPr>
        <w:pStyle w:val="C-BodyText"/>
        <w:rPr>
          <w:lang w:val="en-AU"/>
        </w:rPr>
      </w:pPr>
      <w:r w:rsidRPr="00316FF7">
        <w:rPr>
          <w:lang w:val="en-AU"/>
        </w:rPr>
        <w:t xml:space="preserve">Each active tablet contains </w:t>
      </w:r>
      <w:r w:rsidR="00D32087">
        <w:rPr>
          <w:lang w:val="en-AU"/>
        </w:rPr>
        <w:t xml:space="preserve">14.2 mg estetrol (equivalent to </w:t>
      </w:r>
      <w:r w:rsidRPr="00316FF7">
        <w:rPr>
          <w:lang w:val="en-AU"/>
        </w:rPr>
        <w:t>15 mg of estetrol monohydrate) and 3 mg of drospirenone.</w:t>
      </w:r>
    </w:p>
    <w:p w14:paraId="46AAD8EA" w14:textId="55AEC47C" w:rsidR="003E23E2" w:rsidRPr="00316FF7" w:rsidRDefault="003E23E2" w:rsidP="00DE770A">
      <w:pPr>
        <w:pStyle w:val="C-BodyText"/>
        <w:rPr>
          <w:lang w:val="en-AU"/>
        </w:rPr>
      </w:pPr>
      <w:r w:rsidRPr="00316FF7">
        <w:rPr>
          <w:lang w:val="en-AU"/>
        </w:rPr>
        <w:t xml:space="preserve">Excipients </w:t>
      </w:r>
      <w:r w:rsidR="000F3472" w:rsidRPr="00316FF7">
        <w:rPr>
          <w:lang w:val="en-AU"/>
        </w:rPr>
        <w:t>with</w:t>
      </w:r>
      <w:r w:rsidRPr="00316FF7">
        <w:rPr>
          <w:lang w:val="en-AU"/>
        </w:rPr>
        <w:t xml:space="preserve"> known</w:t>
      </w:r>
      <w:r w:rsidR="000F3472" w:rsidRPr="00316FF7">
        <w:rPr>
          <w:lang w:val="en-AU"/>
        </w:rPr>
        <w:t xml:space="preserve"> effect: </w:t>
      </w:r>
      <w:r w:rsidR="323F3B7D" w:rsidRPr="00316FF7">
        <w:rPr>
          <w:lang w:val="en-AU"/>
        </w:rPr>
        <w:t>lactose.</w:t>
      </w:r>
    </w:p>
    <w:p w14:paraId="235065FF" w14:textId="1F18EEA3" w:rsidR="00E92403" w:rsidRPr="00316FF7" w:rsidRDefault="00E92403" w:rsidP="00DE770A">
      <w:pPr>
        <w:pStyle w:val="C-BodyText"/>
        <w:rPr>
          <w:lang w:val="en-AU"/>
        </w:rPr>
      </w:pPr>
      <w:r w:rsidRPr="00316FF7">
        <w:rPr>
          <w:lang w:val="en-AU"/>
        </w:rPr>
        <w:t xml:space="preserve">For the full list of excipients, see </w:t>
      </w:r>
      <w:r w:rsidR="00944786" w:rsidRPr="00316FF7">
        <w:rPr>
          <w:i/>
          <w:iCs/>
          <w:lang w:val="en-AU"/>
        </w:rPr>
        <w:t>s</w:t>
      </w:r>
      <w:r w:rsidRPr="00316FF7">
        <w:rPr>
          <w:i/>
          <w:iCs/>
          <w:lang w:val="en-AU"/>
        </w:rPr>
        <w:t xml:space="preserve">ection 6.1 List </w:t>
      </w:r>
      <w:r w:rsidR="000D14B0" w:rsidRPr="00316FF7">
        <w:rPr>
          <w:i/>
          <w:iCs/>
          <w:lang w:val="en-AU"/>
        </w:rPr>
        <w:t>o</w:t>
      </w:r>
      <w:r w:rsidRPr="00316FF7">
        <w:rPr>
          <w:i/>
          <w:iCs/>
          <w:lang w:val="en-AU"/>
        </w:rPr>
        <w:t xml:space="preserve">f </w:t>
      </w:r>
      <w:r w:rsidR="000D14B0" w:rsidRPr="00316FF7">
        <w:rPr>
          <w:i/>
          <w:iCs/>
          <w:lang w:val="en-AU"/>
        </w:rPr>
        <w:t>E</w:t>
      </w:r>
      <w:r w:rsidRPr="00316FF7">
        <w:rPr>
          <w:i/>
          <w:iCs/>
          <w:lang w:val="en-AU"/>
        </w:rPr>
        <w:t>xcipients</w:t>
      </w:r>
      <w:r w:rsidRPr="00316FF7">
        <w:rPr>
          <w:lang w:val="en-AU"/>
        </w:rPr>
        <w:t>.</w:t>
      </w:r>
    </w:p>
    <w:p w14:paraId="5E65AB12" w14:textId="77777777" w:rsidR="00B845D7" w:rsidRPr="00316FF7" w:rsidRDefault="00B845D7" w:rsidP="00B845D7">
      <w:pPr>
        <w:pStyle w:val="C-Heading1nopagebreak"/>
        <w:rPr>
          <w:lang w:val="en-AU"/>
        </w:rPr>
      </w:pPr>
      <w:r w:rsidRPr="00316FF7">
        <w:rPr>
          <w:lang w:val="en-AU"/>
        </w:rPr>
        <w:t>PHARMACEUTICAL FORM</w:t>
      </w:r>
    </w:p>
    <w:p w14:paraId="3126F25B" w14:textId="1BDBAD82" w:rsidR="00B93AB4" w:rsidRDefault="00B93AB4" w:rsidP="00DE770A">
      <w:pPr>
        <w:pStyle w:val="C-BodyText"/>
        <w:rPr>
          <w:lang w:val="en-AU"/>
        </w:rPr>
      </w:pPr>
      <w:r>
        <w:rPr>
          <w:lang w:val="en-AU"/>
        </w:rPr>
        <w:t>Film</w:t>
      </w:r>
      <w:r w:rsidR="00506BAA">
        <w:rPr>
          <w:lang w:val="en-AU"/>
        </w:rPr>
        <w:t>-</w:t>
      </w:r>
      <w:r>
        <w:rPr>
          <w:lang w:val="en-AU"/>
        </w:rPr>
        <w:t>coated tablets.</w:t>
      </w:r>
    </w:p>
    <w:p w14:paraId="34D6912F" w14:textId="777DD986" w:rsidR="00AD08A6" w:rsidRPr="00316FF7" w:rsidRDefault="00B93AB4" w:rsidP="00DE770A">
      <w:pPr>
        <w:pStyle w:val="C-BodyText"/>
        <w:rPr>
          <w:lang w:val="en-AU"/>
        </w:rPr>
      </w:pPr>
      <w:r>
        <w:rPr>
          <w:lang w:val="en-AU"/>
        </w:rPr>
        <w:t xml:space="preserve">Active tablet: </w:t>
      </w:r>
      <w:r w:rsidR="00745A2B" w:rsidRPr="00316FF7">
        <w:rPr>
          <w:lang w:val="en-AU"/>
        </w:rPr>
        <w:t>Pink tablet embossed with a</w:t>
      </w:r>
      <w:r w:rsidR="00AD08A6" w:rsidRPr="00316FF7">
        <w:rPr>
          <w:lang w:val="en-AU"/>
        </w:rPr>
        <w:t xml:space="preserve"> </w:t>
      </w:r>
      <w:r w:rsidR="00745A2B" w:rsidRPr="00316FF7">
        <w:rPr>
          <w:lang w:val="en-AU"/>
        </w:rPr>
        <w:t>drop-shaped logo on one side.</w:t>
      </w:r>
    </w:p>
    <w:p w14:paraId="1A52E15F" w14:textId="4CBF80AF" w:rsidR="00745A2B" w:rsidRPr="00316FF7" w:rsidRDefault="00B93AB4" w:rsidP="00DE770A">
      <w:pPr>
        <w:pStyle w:val="C-BodyText"/>
        <w:rPr>
          <w:lang w:val="en-AU"/>
        </w:rPr>
      </w:pPr>
      <w:r>
        <w:rPr>
          <w:lang w:val="en-AU"/>
        </w:rPr>
        <w:t xml:space="preserve">Inactive tablet: </w:t>
      </w:r>
      <w:r w:rsidR="00745A2B" w:rsidRPr="00316FF7">
        <w:rPr>
          <w:lang w:val="en-AU"/>
        </w:rPr>
        <w:t>White tablet embossed with a drop-shaped logo on one side.</w:t>
      </w:r>
    </w:p>
    <w:p w14:paraId="12B45663" w14:textId="77777777" w:rsidR="00B845D7" w:rsidRPr="00316FF7" w:rsidRDefault="00B845D7" w:rsidP="00B845D7">
      <w:pPr>
        <w:pStyle w:val="C-Heading1nopagebreak"/>
        <w:rPr>
          <w:lang w:val="en-AU"/>
        </w:rPr>
      </w:pPr>
      <w:r w:rsidRPr="00316FF7">
        <w:rPr>
          <w:lang w:val="en-AU"/>
        </w:rPr>
        <w:t>CLINICAL PARTICULARS</w:t>
      </w:r>
    </w:p>
    <w:p w14:paraId="2B62E171" w14:textId="77777777" w:rsidR="00B845D7" w:rsidRPr="00316FF7" w:rsidRDefault="007F49AA" w:rsidP="00A12A19">
      <w:pPr>
        <w:pStyle w:val="C-Heading2"/>
        <w:rPr>
          <w:lang w:val="en-AU"/>
        </w:rPr>
      </w:pPr>
      <w:r w:rsidRPr="00316FF7">
        <w:rPr>
          <w:lang w:val="en-AU"/>
        </w:rPr>
        <w:t>Therapeutic Indications</w:t>
      </w:r>
    </w:p>
    <w:p w14:paraId="017F1F2C" w14:textId="60352AD0" w:rsidR="00DE770A" w:rsidRPr="00316FF7" w:rsidRDefault="00F12FE1" w:rsidP="00DE770A">
      <w:pPr>
        <w:pStyle w:val="C-BodyText"/>
        <w:rPr>
          <w:lang w:val="en-AU"/>
        </w:rPr>
      </w:pPr>
      <w:r w:rsidRPr="00316FF7">
        <w:rPr>
          <w:lang w:val="en-AU"/>
        </w:rPr>
        <w:t xml:space="preserve">NEXTSTELLIS </w:t>
      </w:r>
      <w:r w:rsidR="003260C9" w:rsidRPr="00316FF7">
        <w:rPr>
          <w:lang w:val="en-AU"/>
        </w:rPr>
        <w:t>is indicated for use by women of reproductive potential to prevent pregnancy.</w:t>
      </w:r>
    </w:p>
    <w:p w14:paraId="04DB85FF" w14:textId="732BB368" w:rsidR="00B845D7" w:rsidRPr="00316FF7" w:rsidRDefault="007F49AA" w:rsidP="006E0396">
      <w:pPr>
        <w:pStyle w:val="C-Heading2"/>
        <w:rPr>
          <w:lang w:val="en-AU"/>
        </w:rPr>
      </w:pPr>
      <w:r w:rsidRPr="00316FF7">
        <w:rPr>
          <w:lang w:val="en-AU"/>
        </w:rPr>
        <w:lastRenderedPageBreak/>
        <w:t>Dose and Method of Administration</w:t>
      </w:r>
    </w:p>
    <w:p w14:paraId="2B5446D0" w14:textId="354B98CD" w:rsidR="00DE770A" w:rsidRPr="00316FF7" w:rsidRDefault="701FB4D3" w:rsidP="00B54BB8">
      <w:pPr>
        <w:pStyle w:val="C-Heading3non-numbered"/>
        <w:rPr>
          <w:lang w:val="en-AU"/>
        </w:rPr>
      </w:pPr>
      <w:r w:rsidRPr="00316FF7">
        <w:rPr>
          <w:lang w:val="en-AU"/>
        </w:rPr>
        <w:t>Dosage</w:t>
      </w:r>
    </w:p>
    <w:p w14:paraId="03D41ED7" w14:textId="2B9E93A2" w:rsidR="00DE770A" w:rsidRPr="00316FF7" w:rsidRDefault="00F12FE1" w:rsidP="00DE770A">
      <w:pPr>
        <w:pStyle w:val="C-BodyText"/>
        <w:rPr>
          <w:lang w:val="en-AU"/>
        </w:rPr>
      </w:pPr>
      <w:r w:rsidRPr="00316FF7">
        <w:rPr>
          <w:lang w:val="en-AU"/>
        </w:rPr>
        <w:t>NEXTSTELLIS</w:t>
      </w:r>
      <w:r w:rsidR="003260C9" w:rsidRPr="00316FF7">
        <w:rPr>
          <w:lang w:val="en-AU"/>
        </w:rPr>
        <w:t xml:space="preserve"> is dispensed in a blister </w:t>
      </w:r>
      <w:r w:rsidR="00A514A2" w:rsidRPr="00316FF7">
        <w:rPr>
          <w:lang w:val="en-AU"/>
        </w:rPr>
        <w:t>pack</w:t>
      </w:r>
      <w:r w:rsidR="003260C9" w:rsidRPr="00316FF7">
        <w:rPr>
          <w:lang w:val="en-AU"/>
        </w:rPr>
        <w:t xml:space="preserve">. </w:t>
      </w:r>
      <w:r w:rsidRPr="00316FF7">
        <w:rPr>
          <w:lang w:val="en-AU"/>
        </w:rPr>
        <w:t xml:space="preserve">NEXTSTELLIS </w:t>
      </w:r>
      <w:r w:rsidR="003260C9" w:rsidRPr="00316FF7">
        <w:rPr>
          <w:lang w:val="en-AU"/>
        </w:rPr>
        <w:t xml:space="preserve">should be started using </w:t>
      </w:r>
      <w:r w:rsidR="00B7777A">
        <w:rPr>
          <w:lang w:val="en-AU"/>
        </w:rPr>
        <w:t>i</w:t>
      </w:r>
      <w:r w:rsidR="007E283E" w:rsidRPr="00316FF7">
        <w:rPr>
          <w:lang w:val="en-AU"/>
        </w:rPr>
        <w:t xml:space="preserve">nstructions for </w:t>
      </w:r>
      <w:r w:rsidR="00B7777A">
        <w:rPr>
          <w:lang w:val="en-AU"/>
        </w:rPr>
        <w:t>s</w:t>
      </w:r>
      <w:r w:rsidR="007E283E" w:rsidRPr="00316FF7">
        <w:rPr>
          <w:lang w:val="en-AU"/>
        </w:rPr>
        <w:t xml:space="preserve">tarting </w:t>
      </w:r>
      <w:r w:rsidR="00205904" w:rsidRPr="00316FF7">
        <w:rPr>
          <w:lang w:val="en-AU"/>
        </w:rPr>
        <w:t xml:space="preserve">or </w:t>
      </w:r>
      <w:r w:rsidR="00B7777A">
        <w:rPr>
          <w:lang w:val="en-AU"/>
        </w:rPr>
        <w:t>s</w:t>
      </w:r>
      <w:r w:rsidR="007E283E" w:rsidRPr="00316FF7">
        <w:rPr>
          <w:lang w:val="en-AU"/>
        </w:rPr>
        <w:t xml:space="preserve">witching in </w:t>
      </w:r>
      <w:r w:rsidR="00BE3AEE" w:rsidRPr="00316FF7">
        <w:rPr>
          <w:rStyle w:val="C-Hyperlink"/>
          <w:color w:val="auto"/>
          <w:lang w:val="en-AU"/>
        </w:rPr>
        <w:fldChar w:fldCharType="begin"/>
      </w:r>
      <w:r w:rsidR="00BE3AEE" w:rsidRPr="00316FF7">
        <w:rPr>
          <w:rStyle w:val="C-Hyperlink"/>
          <w:color w:val="auto"/>
          <w:lang w:val="en-AU"/>
        </w:rPr>
        <w:instrText xml:space="preserve"> REF _Ref48299109 \h \* MERGEFORMAT </w:instrText>
      </w:r>
      <w:r w:rsidR="00BE3AEE" w:rsidRPr="00316FF7">
        <w:rPr>
          <w:rStyle w:val="C-Hyperlink"/>
          <w:color w:val="auto"/>
          <w:lang w:val="en-AU"/>
        </w:rPr>
      </w:r>
      <w:r w:rsidR="00BE3AEE" w:rsidRPr="00316FF7">
        <w:rPr>
          <w:rStyle w:val="C-Hyperlink"/>
          <w:color w:val="auto"/>
          <w:lang w:val="en-AU"/>
        </w:rPr>
        <w:fldChar w:fldCharType="separate"/>
      </w:r>
      <w:r w:rsidR="00BE3AEE" w:rsidRPr="00316FF7">
        <w:rPr>
          <w:rStyle w:val="C-Hyperlink"/>
          <w:color w:val="auto"/>
          <w:lang w:val="en-AU"/>
        </w:rPr>
        <w:t>Table 1</w:t>
      </w:r>
      <w:r w:rsidR="00BE3AEE" w:rsidRPr="00316FF7">
        <w:rPr>
          <w:rStyle w:val="C-Hyperlink"/>
          <w:color w:val="auto"/>
          <w:lang w:val="en-AU"/>
        </w:rPr>
        <w:fldChar w:fldCharType="end"/>
      </w:r>
      <w:r w:rsidR="00DC7763" w:rsidRPr="00316FF7">
        <w:rPr>
          <w:lang w:val="en-AU"/>
        </w:rPr>
        <w:t>.</w:t>
      </w:r>
    </w:p>
    <w:p w14:paraId="1A963511" w14:textId="0B5575BB" w:rsidR="00206CC1" w:rsidRPr="00316FF7" w:rsidRDefault="00206CC1" w:rsidP="00206CC1">
      <w:pPr>
        <w:pStyle w:val="Caption"/>
        <w:rPr>
          <w:lang w:val="en-AU"/>
        </w:rPr>
      </w:pPr>
      <w:bookmarkStart w:id="0" w:name="_Ref48299109"/>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1</w:t>
      </w:r>
      <w:r w:rsidRPr="00316FF7">
        <w:rPr>
          <w:lang w:val="en-AU"/>
        </w:rPr>
        <w:fldChar w:fldCharType="end"/>
      </w:r>
      <w:bookmarkEnd w:id="0"/>
      <w:r w:rsidRPr="00316FF7">
        <w:rPr>
          <w:lang w:val="en-AU"/>
        </w:rPr>
        <w:t>:</w:t>
      </w:r>
      <w:r w:rsidRPr="00316FF7">
        <w:rPr>
          <w:lang w:val="en-AU"/>
        </w:rPr>
        <w:tab/>
      </w:r>
      <w:r w:rsidR="00D73871">
        <w:rPr>
          <w:lang w:val="en-AU"/>
        </w:rPr>
        <w:t>I</w:t>
      </w:r>
      <w:r w:rsidR="00D73871" w:rsidRPr="00316FF7">
        <w:rPr>
          <w:lang w:val="en-AU"/>
        </w:rPr>
        <w:t xml:space="preserve">nstructions for starting or switching </w:t>
      </w:r>
      <w:r w:rsidRPr="00316FF7">
        <w:rPr>
          <w:lang w:val="en-AU"/>
        </w:rPr>
        <w:t>NEXTSTELLIS</w:t>
      </w:r>
    </w:p>
    <w:tbl>
      <w:tblPr>
        <w:tblStyle w:val="C-Table"/>
        <w:tblW w:w="9216" w:type="dxa"/>
        <w:tblLook w:val="04A0" w:firstRow="1" w:lastRow="0" w:firstColumn="1" w:lastColumn="0" w:noHBand="0" w:noVBand="1"/>
      </w:tblPr>
      <w:tblGrid>
        <w:gridCol w:w="2827"/>
        <w:gridCol w:w="6389"/>
      </w:tblGrid>
      <w:tr w:rsidR="003260C9" w:rsidRPr="00316FF7" w14:paraId="6C4D9D14" w14:textId="77777777" w:rsidTr="00540DBC">
        <w:trPr>
          <w:cantSplit w:val="0"/>
          <w:trHeight w:val="890"/>
        </w:trPr>
        <w:tc>
          <w:tcPr>
            <w:tcW w:w="2827" w:type="dxa"/>
          </w:tcPr>
          <w:p w14:paraId="313CA947" w14:textId="5ADD3081" w:rsidR="003260C9" w:rsidRPr="00316FF7" w:rsidRDefault="003260C9" w:rsidP="00336A6D">
            <w:pPr>
              <w:pStyle w:val="C-TableHeader"/>
              <w:rPr>
                <w:color w:val="000000"/>
                <w:lang w:val="en-AU"/>
              </w:rPr>
            </w:pPr>
            <w:r w:rsidRPr="00316FF7">
              <w:rPr>
                <w:color w:val="000000"/>
                <w:lang w:val="en-AU"/>
              </w:rPr>
              <w:t xml:space="preserve">Starting </w:t>
            </w:r>
            <w:r w:rsidR="00F12FE1" w:rsidRPr="00316FF7">
              <w:rPr>
                <w:color w:val="000000"/>
                <w:lang w:val="en-AU"/>
              </w:rPr>
              <w:t>NEXTSTELLIS</w:t>
            </w:r>
            <w:r w:rsidRPr="00316FF7">
              <w:rPr>
                <w:color w:val="000000"/>
                <w:lang w:val="en-AU"/>
              </w:rPr>
              <w:t xml:space="preserve"> in women with no current use of hormonal contraception</w:t>
            </w:r>
          </w:p>
          <w:p w14:paraId="7F36DA50" w14:textId="729AA3CB" w:rsidR="003260C9" w:rsidRPr="00316FF7" w:rsidRDefault="003260C9" w:rsidP="00336A6D">
            <w:pPr>
              <w:pStyle w:val="C-TableHeader"/>
              <w:rPr>
                <w:color w:val="000000"/>
                <w:lang w:val="en-AU"/>
              </w:rPr>
            </w:pPr>
          </w:p>
        </w:tc>
        <w:tc>
          <w:tcPr>
            <w:tcW w:w="6389" w:type="dxa"/>
          </w:tcPr>
          <w:p w14:paraId="766220E0" w14:textId="77777777" w:rsidR="003260C9" w:rsidRPr="00316FF7" w:rsidRDefault="003260C9" w:rsidP="00CD3BCF">
            <w:pPr>
              <w:pStyle w:val="C-TableHeader"/>
              <w:rPr>
                <w:color w:val="000000"/>
                <w:lang w:val="en-AU"/>
              </w:rPr>
            </w:pPr>
            <w:r w:rsidRPr="00316FF7">
              <w:rPr>
                <w:color w:val="000000"/>
                <w:lang w:val="en-AU"/>
              </w:rPr>
              <w:t xml:space="preserve">Important: </w:t>
            </w:r>
          </w:p>
          <w:p w14:paraId="2D942E48" w14:textId="77777777" w:rsidR="003260C9" w:rsidRPr="00316FF7" w:rsidRDefault="003260C9" w:rsidP="00CD3BCF">
            <w:pPr>
              <w:pStyle w:val="C-TableHeader"/>
              <w:numPr>
                <w:ilvl w:val="0"/>
                <w:numId w:val="17"/>
              </w:numPr>
              <w:rPr>
                <w:b w:val="0"/>
                <w:color w:val="000000"/>
                <w:lang w:val="en-AU"/>
              </w:rPr>
            </w:pPr>
            <w:r w:rsidRPr="00316FF7">
              <w:rPr>
                <w:b w:val="0"/>
                <w:color w:val="000000"/>
                <w:lang w:val="en-AU"/>
              </w:rPr>
              <w:t xml:space="preserve">Consider the possibility of pregnancy prior to initiation of this product. </w:t>
            </w:r>
          </w:p>
          <w:p w14:paraId="28C05234" w14:textId="442D16A1" w:rsidR="003260C9" w:rsidRPr="00316FF7" w:rsidRDefault="00542D49" w:rsidP="00CD3BCF">
            <w:pPr>
              <w:pStyle w:val="C-TableHeader"/>
              <w:numPr>
                <w:ilvl w:val="0"/>
                <w:numId w:val="17"/>
              </w:numPr>
              <w:rPr>
                <w:b w:val="0"/>
                <w:color w:val="000000"/>
                <w:lang w:val="en-AU"/>
              </w:rPr>
            </w:pPr>
            <w:r w:rsidRPr="00316FF7">
              <w:rPr>
                <w:b w:val="0"/>
                <w:color w:val="000000"/>
                <w:lang w:val="en-AU"/>
              </w:rPr>
              <w:t xml:space="preserve">Tablet-taking </w:t>
            </w:r>
            <w:r w:rsidR="00B23D03" w:rsidRPr="00316FF7">
              <w:rPr>
                <w:b w:val="0"/>
                <w:color w:val="000000"/>
                <w:lang w:val="en-AU"/>
              </w:rPr>
              <w:t>has to</w:t>
            </w:r>
            <w:r w:rsidRPr="00316FF7">
              <w:rPr>
                <w:b w:val="0"/>
                <w:color w:val="000000"/>
                <w:lang w:val="en-AU"/>
              </w:rPr>
              <w:t xml:space="preserve"> start on day 1 of the woman’s natural cycle (i.e. the first day of her menstrual bleeding).</w:t>
            </w:r>
            <w:r w:rsidR="00752EBD" w:rsidRPr="00316FF7">
              <w:rPr>
                <w:b w:val="0"/>
                <w:color w:val="000000"/>
                <w:lang w:val="en-AU"/>
              </w:rPr>
              <w:t xml:space="preserve"> If not starting on the first day of menses for any reason, use a non-hormonal contraceptive (condom and spermicide) as back-up until tablets have been taken for 7 days in a row.</w:t>
            </w:r>
          </w:p>
          <w:p w14:paraId="463D197F" w14:textId="310808CF" w:rsidR="00777CB9" w:rsidRPr="00316FF7" w:rsidRDefault="00777CB9" w:rsidP="00CD3BCF">
            <w:pPr>
              <w:pStyle w:val="C-TableText"/>
              <w:rPr>
                <w:lang w:val="en-AU"/>
              </w:rPr>
            </w:pPr>
          </w:p>
          <w:p w14:paraId="62687B24" w14:textId="2856DB33" w:rsidR="00777CB9" w:rsidRPr="00316FF7" w:rsidRDefault="00777CB9" w:rsidP="00EB12C0">
            <w:pPr>
              <w:pStyle w:val="C-TableText"/>
              <w:numPr>
                <w:ilvl w:val="0"/>
                <w:numId w:val="26"/>
              </w:numPr>
              <w:ind w:left="360"/>
              <w:rPr>
                <w:lang w:val="en-AU"/>
              </w:rPr>
            </w:pPr>
            <w:r w:rsidRPr="00316FF7">
              <w:rPr>
                <w:lang w:val="en-AU"/>
              </w:rPr>
              <w:t xml:space="preserve">Take the first tablet from the purple area on the blister </w:t>
            </w:r>
            <w:r w:rsidR="008E43F0" w:rsidRPr="00316FF7">
              <w:rPr>
                <w:lang w:val="en-AU"/>
              </w:rPr>
              <w:t xml:space="preserve">pack </w:t>
            </w:r>
            <w:r w:rsidRPr="00316FF7">
              <w:rPr>
                <w:lang w:val="en-AU"/>
              </w:rPr>
              <w:t>corresponding to the day of the week.</w:t>
            </w:r>
          </w:p>
          <w:p w14:paraId="5D48EEBD" w14:textId="2A4781AC" w:rsidR="00777CB9" w:rsidRPr="00316FF7" w:rsidRDefault="00777CB9" w:rsidP="00EB12C0">
            <w:pPr>
              <w:pStyle w:val="C-TableText"/>
              <w:numPr>
                <w:ilvl w:val="0"/>
                <w:numId w:val="26"/>
              </w:numPr>
              <w:ind w:left="360"/>
              <w:rPr>
                <w:lang w:val="en-AU"/>
              </w:rPr>
            </w:pPr>
            <w:r w:rsidRPr="00316FF7">
              <w:rPr>
                <w:lang w:val="en-AU"/>
              </w:rPr>
              <w:t xml:space="preserve">Follow the direction of the arrows on the blister </w:t>
            </w:r>
            <w:r w:rsidR="008E43F0" w:rsidRPr="00316FF7">
              <w:rPr>
                <w:lang w:val="en-AU"/>
              </w:rPr>
              <w:t xml:space="preserve">pack </w:t>
            </w:r>
            <w:r w:rsidRPr="00316FF7">
              <w:rPr>
                <w:lang w:val="en-AU"/>
              </w:rPr>
              <w:t>until all the tablets have been taken.</w:t>
            </w:r>
          </w:p>
          <w:p w14:paraId="51FBC09F" w14:textId="376CEC78" w:rsidR="00777CB9" w:rsidRPr="00316FF7" w:rsidRDefault="00777CB9" w:rsidP="00EB12C0">
            <w:pPr>
              <w:pStyle w:val="C-TableText"/>
              <w:numPr>
                <w:ilvl w:val="0"/>
                <w:numId w:val="26"/>
              </w:numPr>
              <w:ind w:left="360"/>
              <w:rPr>
                <w:lang w:val="en-AU"/>
              </w:rPr>
            </w:pPr>
            <w:r w:rsidRPr="00316FF7">
              <w:rPr>
                <w:lang w:val="en-AU"/>
              </w:rPr>
              <w:t xml:space="preserve">A period should begin 2-3 days after starting to take the white inactive tablets and may not have finished before </w:t>
            </w:r>
            <w:r w:rsidR="00937D3F" w:rsidRPr="00316FF7">
              <w:rPr>
                <w:lang w:val="en-AU"/>
              </w:rPr>
              <w:t>recommencin</w:t>
            </w:r>
            <w:r w:rsidR="008C1429" w:rsidRPr="00316FF7">
              <w:rPr>
                <w:lang w:val="en-AU"/>
              </w:rPr>
              <w:t>g active tablets</w:t>
            </w:r>
            <w:r w:rsidRPr="00316FF7">
              <w:rPr>
                <w:lang w:val="en-AU"/>
              </w:rPr>
              <w:t>.</w:t>
            </w:r>
          </w:p>
          <w:p w14:paraId="322FBC0A" w14:textId="24BA3820" w:rsidR="003260C9" w:rsidRPr="00316FF7" w:rsidRDefault="00777CB9" w:rsidP="00EB12C0">
            <w:pPr>
              <w:pStyle w:val="C-TableText"/>
              <w:numPr>
                <w:ilvl w:val="0"/>
                <w:numId w:val="26"/>
              </w:numPr>
              <w:ind w:left="360"/>
              <w:rPr>
                <w:lang w:val="en-AU"/>
              </w:rPr>
            </w:pPr>
            <w:r w:rsidRPr="00316FF7">
              <w:rPr>
                <w:lang w:val="en-AU"/>
              </w:rPr>
              <w:t xml:space="preserve">Always start a new blister </w:t>
            </w:r>
            <w:r w:rsidR="008E43F0" w:rsidRPr="00316FF7">
              <w:rPr>
                <w:lang w:val="en-AU"/>
              </w:rPr>
              <w:t xml:space="preserve">pack </w:t>
            </w:r>
            <w:r w:rsidRPr="00316FF7">
              <w:rPr>
                <w:lang w:val="en-AU"/>
              </w:rPr>
              <w:t xml:space="preserve">on the same day of the week as the previous </w:t>
            </w:r>
            <w:r w:rsidR="00336A6D" w:rsidRPr="00316FF7">
              <w:rPr>
                <w:lang w:val="en-AU"/>
              </w:rPr>
              <w:t>blister pack</w:t>
            </w:r>
            <w:r w:rsidR="000D38C5" w:rsidRPr="00316FF7">
              <w:rPr>
                <w:lang w:val="en-AU"/>
              </w:rPr>
              <w:t>.</w:t>
            </w:r>
          </w:p>
        </w:tc>
      </w:tr>
      <w:tr w:rsidR="003260C9" w:rsidRPr="00316FF7" w14:paraId="3A55A812" w14:textId="77777777" w:rsidTr="00540DBC">
        <w:trPr>
          <w:cantSplit w:val="0"/>
          <w:trHeight w:val="246"/>
        </w:trPr>
        <w:tc>
          <w:tcPr>
            <w:tcW w:w="2827" w:type="dxa"/>
          </w:tcPr>
          <w:p w14:paraId="788FF31C" w14:textId="77777777" w:rsidR="003260C9" w:rsidRPr="00316FF7" w:rsidRDefault="003260C9" w:rsidP="00336A6D">
            <w:pPr>
              <w:pStyle w:val="C-TableText"/>
              <w:rPr>
                <w:b/>
                <w:color w:val="000000"/>
                <w:lang w:val="en-AU"/>
              </w:rPr>
            </w:pPr>
            <w:r w:rsidRPr="00316FF7">
              <w:rPr>
                <w:b/>
                <w:color w:val="000000"/>
                <w:lang w:val="en-AU"/>
              </w:rPr>
              <w:t xml:space="preserve">Switching from another contraceptive method to </w:t>
            </w:r>
            <w:r w:rsidR="00F12FE1" w:rsidRPr="00316FF7">
              <w:rPr>
                <w:b/>
                <w:color w:val="000000"/>
                <w:lang w:val="en-AU"/>
              </w:rPr>
              <w:t>NEXTSTELLIS</w:t>
            </w:r>
          </w:p>
        </w:tc>
        <w:tc>
          <w:tcPr>
            <w:tcW w:w="6389" w:type="dxa"/>
          </w:tcPr>
          <w:p w14:paraId="456E7A46" w14:textId="77777777" w:rsidR="003260C9" w:rsidRPr="00316FF7" w:rsidRDefault="003260C9" w:rsidP="00CD3BCF">
            <w:pPr>
              <w:pStyle w:val="C-TableText"/>
              <w:rPr>
                <w:b/>
                <w:color w:val="000000"/>
                <w:lang w:val="en-AU"/>
              </w:rPr>
            </w:pPr>
            <w:r w:rsidRPr="00316FF7">
              <w:rPr>
                <w:b/>
                <w:color w:val="000000"/>
                <w:lang w:val="en-AU"/>
              </w:rPr>
              <w:t xml:space="preserve">Start </w:t>
            </w:r>
            <w:r w:rsidR="00F12FE1" w:rsidRPr="00316FF7">
              <w:rPr>
                <w:b/>
                <w:color w:val="000000"/>
                <w:lang w:val="en-AU"/>
              </w:rPr>
              <w:t>NEXTSTELLIS</w:t>
            </w:r>
            <w:r w:rsidRPr="00316FF7">
              <w:rPr>
                <w:b/>
                <w:color w:val="000000"/>
                <w:lang w:val="en-AU"/>
              </w:rPr>
              <w:t xml:space="preserve">: </w:t>
            </w:r>
          </w:p>
        </w:tc>
      </w:tr>
      <w:tr w:rsidR="003260C9" w:rsidRPr="00316FF7" w14:paraId="71316EB4" w14:textId="77777777" w:rsidTr="00540DBC">
        <w:trPr>
          <w:cantSplit w:val="0"/>
          <w:trHeight w:val="244"/>
        </w:trPr>
        <w:tc>
          <w:tcPr>
            <w:tcW w:w="2827" w:type="dxa"/>
          </w:tcPr>
          <w:p w14:paraId="031D8FD0" w14:textId="318AA845" w:rsidR="003260C9" w:rsidRPr="00316FF7" w:rsidRDefault="003260C9" w:rsidP="00336A6D">
            <w:pPr>
              <w:pStyle w:val="C-TableText"/>
              <w:numPr>
                <w:ilvl w:val="0"/>
                <w:numId w:val="18"/>
              </w:numPr>
              <w:rPr>
                <w:color w:val="000000"/>
                <w:lang w:val="en-AU"/>
              </w:rPr>
            </w:pPr>
            <w:r w:rsidRPr="00316FF7">
              <w:rPr>
                <w:color w:val="000000"/>
                <w:lang w:val="en-AU"/>
              </w:rPr>
              <w:t>Combined Oral Contraceptive (COC)</w:t>
            </w:r>
          </w:p>
        </w:tc>
        <w:tc>
          <w:tcPr>
            <w:tcW w:w="6389" w:type="dxa"/>
          </w:tcPr>
          <w:p w14:paraId="2022C6CD" w14:textId="359DFCBB" w:rsidR="003260C9" w:rsidRPr="00316FF7" w:rsidRDefault="006C3CD7" w:rsidP="00CD3BCF">
            <w:pPr>
              <w:pStyle w:val="C-TableText"/>
              <w:numPr>
                <w:ilvl w:val="0"/>
                <w:numId w:val="19"/>
              </w:numPr>
              <w:rPr>
                <w:color w:val="000000"/>
                <w:lang w:val="en-AU"/>
              </w:rPr>
            </w:pPr>
            <w:r w:rsidRPr="00316FF7">
              <w:rPr>
                <w:lang w:val="en-AU"/>
              </w:rPr>
              <w:t>O</w:t>
            </w:r>
            <w:r w:rsidR="007D33FC" w:rsidRPr="00316FF7">
              <w:rPr>
                <w:color w:val="000000"/>
                <w:lang w:val="en-AU"/>
              </w:rPr>
              <w:t>n the day after the last active tablet (the last tablet containing the active substances) of her previous COC</w:t>
            </w:r>
            <w:r w:rsidR="003260C9" w:rsidRPr="00316FF7">
              <w:rPr>
                <w:color w:val="000000"/>
                <w:lang w:val="en-AU"/>
              </w:rPr>
              <w:t xml:space="preserve">. </w:t>
            </w:r>
          </w:p>
        </w:tc>
      </w:tr>
      <w:tr w:rsidR="003260C9" w:rsidRPr="00316FF7" w14:paraId="71BC59AF" w14:textId="77777777" w:rsidTr="00540DBC">
        <w:trPr>
          <w:cantSplit w:val="0"/>
          <w:trHeight w:val="130"/>
        </w:trPr>
        <w:tc>
          <w:tcPr>
            <w:tcW w:w="2827" w:type="dxa"/>
          </w:tcPr>
          <w:p w14:paraId="1070E422" w14:textId="2F662CEB" w:rsidR="003260C9" w:rsidRPr="00316FF7" w:rsidRDefault="003260C9" w:rsidP="00336A6D">
            <w:pPr>
              <w:pStyle w:val="C-TableText"/>
              <w:numPr>
                <w:ilvl w:val="0"/>
                <w:numId w:val="18"/>
              </w:numPr>
              <w:rPr>
                <w:color w:val="000000"/>
                <w:lang w:val="en-AU"/>
              </w:rPr>
            </w:pPr>
            <w:r w:rsidRPr="00316FF7">
              <w:rPr>
                <w:color w:val="000000"/>
                <w:lang w:val="en-AU"/>
              </w:rPr>
              <w:t xml:space="preserve">Transdermal </w:t>
            </w:r>
            <w:r w:rsidR="00F95860" w:rsidRPr="00316FF7">
              <w:rPr>
                <w:color w:val="000000"/>
                <w:lang w:val="en-AU"/>
              </w:rPr>
              <w:t>p</w:t>
            </w:r>
            <w:r w:rsidRPr="00316FF7">
              <w:rPr>
                <w:color w:val="000000"/>
                <w:lang w:val="en-AU"/>
              </w:rPr>
              <w:t>atch</w:t>
            </w:r>
          </w:p>
        </w:tc>
        <w:tc>
          <w:tcPr>
            <w:tcW w:w="6389" w:type="dxa"/>
          </w:tcPr>
          <w:p w14:paraId="55EC9FD4" w14:textId="77777777" w:rsidR="003260C9" w:rsidRPr="00316FF7" w:rsidRDefault="003260C9" w:rsidP="00CD3BCF">
            <w:pPr>
              <w:pStyle w:val="C-TableText"/>
              <w:numPr>
                <w:ilvl w:val="0"/>
                <w:numId w:val="19"/>
              </w:numPr>
              <w:rPr>
                <w:color w:val="000000"/>
                <w:lang w:val="en-AU"/>
              </w:rPr>
            </w:pPr>
            <w:r w:rsidRPr="00316FF7">
              <w:rPr>
                <w:color w:val="000000"/>
                <w:lang w:val="en-AU"/>
              </w:rPr>
              <w:t xml:space="preserve">On the day when the next application would have been scheduled. </w:t>
            </w:r>
          </w:p>
        </w:tc>
      </w:tr>
      <w:tr w:rsidR="003260C9" w:rsidRPr="00316FF7" w14:paraId="3F53F6A6" w14:textId="77777777" w:rsidTr="00540DBC">
        <w:trPr>
          <w:cantSplit w:val="0"/>
          <w:trHeight w:val="130"/>
        </w:trPr>
        <w:tc>
          <w:tcPr>
            <w:tcW w:w="2827" w:type="dxa"/>
          </w:tcPr>
          <w:p w14:paraId="61C98E53" w14:textId="7DD602A4" w:rsidR="003260C9" w:rsidRPr="00316FF7" w:rsidRDefault="003260C9" w:rsidP="00336A6D">
            <w:pPr>
              <w:pStyle w:val="C-TableText"/>
              <w:numPr>
                <w:ilvl w:val="0"/>
                <w:numId w:val="18"/>
              </w:numPr>
              <w:rPr>
                <w:color w:val="000000"/>
                <w:lang w:val="en-AU"/>
              </w:rPr>
            </w:pPr>
            <w:r w:rsidRPr="00316FF7">
              <w:rPr>
                <w:color w:val="000000"/>
                <w:lang w:val="en-AU"/>
              </w:rPr>
              <w:t>Vaginal ring</w:t>
            </w:r>
          </w:p>
        </w:tc>
        <w:tc>
          <w:tcPr>
            <w:tcW w:w="6389" w:type="dxa"/>
          </w:tcPr>
          <w:p w14:paraId="0C65FAD2" w14:textId="3EF87ACF" w:rsidR="003260C9" w:rsidRPr="00316FF7" w:rsidRDefault="003260C9" w:rsidP="009D046C">
            <w:pPr>
              <w:pStyle w:val="C-TableText"/>
              <w:numPr>
                <w:ilvl w:val="0"/>
                <w:numId w:val="19"/>
              </w:numPr>
              <w:rPr>
                <w:color w:val="000000"/>
                <w:lang w:val="en-AU"/>
              </w:rPr>
            </w:pPr>
            <w:r w:rsidRPr="00316FF7">
              <w:rPr>
                <w:color w:val="000000"/>
                <w:lang w:val="en-AU"/>
              </w:rPr>
              <w:t>On the day</w:t>
            </w:r>
            <w:r w:rsidR="00281DF8" w:rsidRPr="00316FF7">
              <w:rPr>
                <w:color w:val="000000"/>
                <w:lang w:val="en-AU"/>
              </w:rPr>
              <w:t xml:space="preserve"> </w:t>
            </w:r>
            <w:r w:rsidR="006C3CD7" w:rsidRPr="00316FF7">
              <w:rPr>
                <w:color w:val="000000"/>
                <w:lang w:val="en-AU"/>
              </w:rPr>
              <w:t>of removal</w:t>
            </w:r>
            <w:r w:rsidRPr="00316FF7">
              <w:rPr>
                <w:color w:val="000000"/>
                <w:lang w:val="en-AU"/>
              </w:rPr>
              <w:t xml:space="preserve">. </w:t>
            </w:r>
          </w:p>
        </w:tc>
      </w:tr>
      <w:tr w:rsidR="003260C9" w:rsidRPr="00316FF7" w14:paraId="504C8D2A" w14:textId="77777777" w:rsidTr="00540DBC">
        <w:trPr>
          <w:cantSplit w:val="0"/>
          <w:trHeight w:val="130"/>
        </w:trPr>
        <w:tc>
          <w:tcPr>
            <w:tcW w:w="2827" w:type="dxa"/>
          </w:tcPr>
          <w:p w14:paraId="132A062A" w14:textId="77777777" w:rsidR="003260C9" w:rsidRPr="00316FF7" w:rsidRDefault="003260C9" w:rsidP="00336A6D">
            <w:pPr>
              <w:pStyle w:val="C-TableText"/>
              <w:numPr>
                <w:ilvl w:val="0"/>
                <w:numId w:val="18"/>
              </w:numPr>
              <w:rPr>
                <w:color w:val="000000"/>
                <w:lang w:val="en-AU"/>
              </w:rPr>
            </w:pPr>
            <w:r w:rsidRPr="00316FF7">
              <w:rPr>
                <w:color w:val="000000"/>
                <w:lang w:val="en-AU"/>
              </w:rPr>
              <w:t>Injection</w:t>
            </w:r>
          </w:p>
        </w:tc>
        <w:tc>
          <w:tcPr>
            <w:tcW w:w="6389" w:type="dxa"/>
          </w:tcPr>
          <w:p w14:paraId="4E3B3427" w14:textId="77777777" w:rsidR="003260C9" w:rsidRPr="00316FF7" w:rsidRDefault="003260C9" w:rsidP="009D046C">
            <w:pPr>
              <w:pStyle w:val="C-TableText"/>
              <w:numPr>
                <w:ilvl w:val="0"/>
                <w:numId w:val="19"/>
              </w:numPr>
              <w:rPr>
                <w:color w:val="000000"/>
                <w:lang w:val="en-AU"/>
              </w:rPr>
            </w:pPr>
            <w:r w:rsidRPr="00316FF7">
              <w:rPr>
                <w:color w:val="000000"/>
                <w:lang w:val="en-AU"/>
              </w:rPr>
              <w:t xml:space="preserve">On the day when the next injection would have been scheduled. </w:t>
            </w:r>
          </w:p>
        </w:tc>
      </w:tr>
      <w:tr w:rsidR="003260C9" w:rsidRPr="00316FF7" w14:paraId="7356C1B6" w14:textId="77777777" w:rsidTr="00540DBC">
        <w:trPr>
          <w:cantSplit w:val="0"/>
          <w:trHeight w:val="130"/>
        </w:trPr>
        <w:tc>
          <w:tcPr>
            <w:tcW w:w="2827" w:type="dxa"/>
          </w:tcPr>
          <w:p w14:paraId="23D06BA9" w14:textId="69B88746" w:rsidR="003260C9" w:rsidRPr="00316FF7" w:rsidRDefault="003260C9" w:rsidP="00336A6D">
            <w:pPr>
              <w:pStyle w:val="C-TableText"/>
              <w:numPr>
                <w:ilvl w:val="0"/>
                <w:numId w:val="18"/>
              </w:numPr>
              <w:rPr>
                <w:color w:val="000000"/>
                <w:lang w:val="en-AU"/>
              </w:rPr>
            </w:pPr>
            <w:r w:rsidRPr="00316FF7">
              <w:rPr>
                <w:color w:val="000000"/>
                <w:lang w:val="en-AU"/>
              </w:rPr>
              <w:t xml:space="preserve">Hormone-medicated </w:t>
            </w:r>
            <w:r w:rsidR="00B7777A">
              <w:rPr>
                <w:color w:val="000000"/>
                <w:lang w:val="en-AU"/>
              </w:rPr>
              <w:t>i</w:t>
            </w:r>
            <w:r w:rsidRPr="00316FF7">
              <w:rPr>
                <w:color w:val="000000"/>
                <w:lang w:val="en-AU"/>
              </w:rPr>
              <w:t>ntrauterine contraceptive</w:t>
            </w:r>
          </w:p>
        </w:tc>
        <w:tc>
          <w:tcPr>
            <w:tcW w:w="6389" w:type="dxa"/>
          </w:tcPr>
          <w:p w14:paraId="0DBEFF59" w14:textId="77777777" w:rsidR="003260C9" w:rsidRPr="00316FF7" w:rsidRDefault="003260C9" w:rsidP="009D046C">
            <w:pPr>
              <w:pStyle w:val="C-TableText"/>
              <w:numPr>
                <w:ilvl w:val="0"/>
                <w:numId w:val="19"/>
              </w:numPr>
              <w:rPr>
                <w:color w:val="000000"/>
                <w:lang w:val="en-AU"/>
              </w:rPr>
            </w:pPr>
            <w:r w:rsidRPr="00316FF7">
              <w:rPr>
                <w:color w:val="000000"/>
                <w:lang w:val="en-AU"/>
              </w:rPr>
              <w:t>On the day of removal.</w:t>
            </w:r>
          </w:p>
        </w:tc>
      </w:tr>
      <w:tr w:rsidR="003260C9" w:rsidRPr="00316FF7" w14:paraId="08AB9C17" w14:textId="77777777" w:rsidTr="00540DBC">
        <w:trPr>
          <w:cantSplit w:val="0"/>
          <w:trHeight w:val="130"/>
        </w:trPr>
        <w:tc>
          <w:tcPr>
            <w:tcW w:w="2827" w:type="dxa"/>
          </w:tcPr>
          <w:p w14:paraId="62524ECA" w14:textId="572777C3" w:rsidR="003260C9" w:rsidRPr="00316FF7" w:rsidRDefault="003260C9" w:rsidP="00336A6D">
            <w:pPr>
              <w:pStyle w:val="C-TableText"/>
              <w:numPr>
                <w:ilvl w:val="0"/>
                <w:numId w:val="18"/>
              </w:numPr>
              <w:rPr>
                <w:color w:val="000000"/>
                <w:lang w:val="en-AU"/>
              </w:rPr>
            </w:pPr>
            <w:r w:rsidRPr="00316FF7">
              <w:rPr>
                <w:color w:val="000000"/>
                <w:lang w:val="en-AU"/>
              </w:rPr>
              <w:t>Implant</w:t>
            </w:r>
          </w:p>
        </w:tc>
        <w:tc>
          <w:tcPr>
            <w:tcW w:w="6389" w:type="dxa"/>
          </w:tcPr>
          <w:p w14:paraId="0AA575FA" w14:textId="77777777" w:rsidR="003260C9" w:rsidRPr="00316FF7" w:rsidRDefault="003260C9" w:rsidP="009D046C">
            <w:pPr>
              <w:pStyle w:val="C-TableText"/>
              <w:numPr>
                <w:ilvl w:val="0"/>
                <w:numId w:val="19"/>
              </w:numPr>
              <w:rPr>
                <w:color w:val="000000"/>
                <w:lang w:val="en-AU"/>
              </w:rPr>
            </w:pPr>
            <w:r w:rsidRPr="00316FF7">
              <w:rPr>
                <w:color w:val="000000"/>
                <w:lang w:val="en-AU"/>
              </w:rPr>
              <w:t xml:space="preserve">On the day of removal. </w:t>
            </w:r>
          </w:p>
        </w:tc>
      </w:tr>
      <w:tr w:rsidR="003260C9" w:rsidRPr="00316FF7" w14:paraId="417B5AEC" w14:textId="77777777" w:rsidTr="00540DBC">
        <w:trPr>
          <w:cantSplit w:val="0"/>
          <w:trHeight w:val="130"/>
        </w:trPr>
        <w:tc>
          <w:tcPr>
            <w:tcW w:w="2827" w:type="dxa"/>
          </w:tcPr>
          <w:p w14:paraId="3A8FCE89" w14:textId="176D1466" w:rsidR="003260C9" w:rsidRPr="00316FF7" w:rsidRDefault="003260C9" w:rsidP="00336A6D">
            <w:pPr>
              <w:pStyle w:val="C-TableText"/>
              <w:numPr>
                <w:ilvl w:val="0"/>
                <w:numId w:val="18"/>
              </w:numPr>
              <w:rPr>
                <w:color w:val="000000"/>
                <w:lang w:val="en-AU"/>
              </w:rPr>
            </w:pPr>
            <w:r w:rsidRPr="00316FF7">
              <w:rPr>
                <w:color w:val="000000"/>
                <w:lang w:val="en-AU"/>
              </w:rPr>
              <w:t xml:space="preserve">Progestin-only </w:t>
            </w:r>
            <w:r w:rsidR="0080505F" w:rsidRPr="00316FF7">
              <w:rPr>
                <w:color w:val="000000"/>
                <w:lang w:val="en-AU"/>
              </w:rPr>
              <w:t>tablet</w:t>
            </w:r>
          </w:p>
        </w:tc>
        <w:tc>
          <w:tcPr>
            <w:tcW w:w="6389" w:type="dxa"/>
          </w:tcPr>
          <w:p w14:paraId="39F32FBE" w14:textId="64691184" w:rsidR="003260C9" w:rsidRPr="00316FF7" w:rsidRDefault="003260C9" w:rsidP="009D046C">
            <w:pPr>
              <w:pStyle w:val="C-TableText"/>
              <w:numPr>
                <w:ilvl w:val="0"/>
                <w:numId w:val="19"/>
              </w:numPr>
              <w:rPr>
                <w:color w:val="000000"/>
                <w:lang w:val="en-AU"/>
              </w:rPr>
            </w:pPr>
            <w:r w:rsidRPr="00316FF7">
              <w:rPr>
                <w:color w:val="000000"/>
                <w:lang w:val="en-AU"/>
              </w:rPr>
              <w:t>On the day after the last tablet was taken.</w:t>
            </w:r>
          </w:p>
        </w:tc>
      </w:tr>
      <w:tr w:rsidR="003260C9" w:rsidRPr="00316FF7" w14:paraId="46A64C5B" w14:textId="77777777" w:rsidTr="002E066C">
        <w:trPr>
          <w:cantSplit w:val="0"/>
          <w:trHeight w:val="247"/>
        </w:trPr>
        <w:tc>
          <w:tcPr>
            <w:tcW w:w="9216" w:type="dxa"/>
            <w:gridSpan w:val="2"/>
          </w:tcPr>
          <w:p w14:paraId="345BF3D7" w14:textId="337861C5" w:rsidR="003260C9" w:rsidRPr="00316FF7" w:rsidRDefault="003260C9" w:rsidP="009D046C">
            <w:pPr>
              <w:pStyle w:val="C-TableText"/>
              <w:rPr>
                <w:b/>
                <w:color w:val="000000"/>
                <w:lang w:val="en-AU"/>
              </w:rPr>
            </w:pPr>
            <w:r w:rsidRPr="00316FF7">
              <w:rPr>
                <w:b/>
                <w:color w:val="000000"/>
                <w:lang w:val="en-AU"/>
              </w:rPr>
              <w:lastRenderedPageBreak/>
              <w:t xml:space="preserve">Refer to the </w:t>
            </w:r>
            <w:r w:rsidR="004600E1" w:rsidRPr="00316FF7">
              <w:rPr>
                <w:b/>
                <w:color w:val="000000"/>
                <w:lang w:val="en-AU"/>
              </w:rPr>
              <w:t>Consumer Medicine</w:t>
            </w:r>
            <w:r w:rsidRPr="00316FF7">
              <w:rPr>
                <w:b/>
                <w:color w:val="000000"/>
                <w:lang w:val="en-AU"/>
              </w:rPr>
              <w:t xml:space="preserve"> Information for additional instructions for </w:t>
            </w:r>
            <w:r w:rsidR="00D77335" w:rsidRPr="00316FF7">
              <w:rPr>
                <w:b/>
                <w:color w:val="000000"/>
                <w:lang w:val="en-AU"/>
              </w:rPr>
              <w:t>counselling</w:t>
            </w:r>
            <w:r w:rsidRPr="00316FF7">
              <w:rPr>
                <w:b/>
                <w:color w:val="000000"/>
                <w:lang w:val="en-AU"/>
              </w:rPr>
              <w:t xml:space="preserve"> patient</w:t>
            </w:r>
            <w:r w:rsidR="004600E1" w:rsidRPr="00316FF7">
              <w:rPr>
                <w:b/>
                <w:color w:val="000000"/>
                <w:lang w:val="en-AU"/>
              </w:rPr>
              <w:t>s</w:t>
            </w:r>
            <w:r w:rsidRPr="00316FF7">
              <w:rPr>
                <w:b/>
                <w:color w:val="000000"/>
                <w:lang w:val="en-AU"/>
              </w:rPr>
              <w:t xml:space="preserve"> concerning proper use</w:t>
            </w:r>
          </w:p>
        </w:tc>
      </w:tr>
    </w:tbl>
    <w:p w14:paraId="74CC234F" w14:textId="2E117D03" w:rsidR="00E23B8C" w:rsidRPr="00316FF7" w:rsidRDefault="00E23B8C" w:rsidP="005C04BE">
      <w:pPr>
        <w:pStyle w:val="C-Heading4non-numbered"/>
        <w:rPr>
          <w:b w:val="0"/>
          <w:u w:val="single"/>
          <w:lang w:val="en-AU"/>
        </w:rPr>
      </w:pPr>
      <w:r w:rsidRPr="00316FF7">
        <w:rPr>
          <w:b w:val="0"/>
          <w:u w:val="single"/>
          <w:lang w:val="en-AU"/>
        </w:rPr>
        <w:t xml:space="preserve">Starting </w:t>
      </w:r>
      <w:r w:rsidR="00F12FE1" w:rsidRPr="00316FF7">
        <w:rPr>
          <w:b w:val="0"/>
          <w:u w:val="single"/>
          <w:lang w:val="en-AU"/>
        </w:rPr>
        <w:t>NEXTSTELLIS</w:t>
      </w:r>
      <w:r w:rsidRPr="00316FF7">
        <w:rPr>
          <w:b w:val="0"/>
          <w:u w:val="single"/>
          <w:lang w:val="en-AU"/>
        </w:rPr>
        <w:t xml:space="preserve"> </w:t>
      </w:r>
      <w:r w:rsidR="00B5166F" w:rsidRPr="00316FF7">
        <w:rPr>
          <w:b w:val="0"/>
          <w:u w:val="single"/>
          <w:lang w:val="en-AU"/>
        </w:rPr>
        <w:t>A</w:t>
      </w:r>
      <w:r w:rsidRPr="00316FF7">
        <w:rPr>
          <w:b w:val="0"/>
          <w:u w:val="single"/>
          <w:lang w:val="en-AU"/>
        </w:rPr>
        <w:t>fter Abortion or Miscarriage</w:t>
      </w:r>
    </w:p>
    <w:p w14:paraId="56738F40" w14:textId="3F03CC23" w:rsidR="00E23B8C" w:rsidRPr="00316FF7" w:rsidRDefault="00E23B8C" w:rsidP="00950526">
      <w:pPr>
        <w:pStyle w:val="C-Heading5non-numbered"/>
        <w:rPr>
          <w:b w:val="0"/>
          <w:i/>
          <w:lang w:val="en-AU"/>
        </w:rPr>
      </w:pPr>
      <w:r w:rsidRPr="00316FF7">
        <w:rPr>
          <w:b w:val="0"/>
          <w:i/>
          <w:lang w:val="en-AU"/>
        </w:rPr>
        <w:t>First-</w:t>
      </w:r>
      <w:r w:rsidR="00B5166F" w:rsidRPr="00316FF7">
        <w:rPr>
          <w:b w:val="0"/>
          <w:i/>
          <w:lang w:val="en-AU"/>
        </w:rPr>
        <w:t>T</w:t>
      </w:r>
      <w:r w:rsidRPr="00316FF7">
        <w:rPr>
          <w:b w:val="0"/>
          <w:i/>
          <w:lang w:val="en-AU"/>
        </w:rPr>
        <w:t>rimester</w:t>
      </w:r>
    </w:p>
    <w:p w14:paraId="2A4B6657" w14:textId="77777777" w:rsidR="00E23B8C" w:rsidRPr="00316FF7" w:rsidRDefault="00E23B8C" w:rsidP="00116CFB">
      <w:pPr>
        <w:pStyle w:val="C-BodyText"/>
        <w:numPr>
          <w:ilvl w:val="0"/>
          <w:numId w:val="19"/>
        </w:numPr>
        <w:rPr>
          <w:lang w:val="en-AU"/>
        </w:rPr>
      </w:pPr>
      <w:r w:rsidRPr="00316FF7">
        <w:rPr>
          <w:lang w:val="en-AU"/>
        </w:rPr>
        <w:t xml:space="preserve">After a first-trimester abortion or miscarriage, </w:t>
      </w:r>
      <w:r w:rsidR="00F12FE1" w:rsidRPr="00316FF7">
        <w:rPr>
          <w:lang w:val="en-AU"/>
        </w:rPr>
        <w:t>NEXTSTELLIS</w:t>
      </w:r>
      <w:r w:rsidRPr="00316FF7">
        <w:rPr>
          <w:lang w:val="en-AU"/>
        </w:rPr>
        <w:t xml:space="preserve"> may be started immediately. An additional method of contraception is not needed if </w:t>
      </w:r>
      <w:r w:rsidR="00F12FE1" w:rsidRPr="00316FF7">
        <w:rPr>
          <w:lang w:val="en-AU"/>
        </w:rPr>
        <w:t>NEXTSTELLIS</w:t>
      </w:r>
      <w:r w:rsidRPr="00316FF7">
        <w:rPr>
          <w:lang w:val="en-AU"/>
        </w:rPr>
        <w:t xml:space="preserve"> is started within 5 days after termination of the pregnancy.</w:t>
      </w:r>
    </w:p>
    <w:p w14:paraId="29A1D426" w14:textId="6A6352C6" w:rsidR="00E23B8C" w:rsidRPr="00316FF7" w:rsidRDefault="00E23B8C" w:rsidP="00116CFB">
      <w:pPr>
        <w:pStyle w:val="C-BodyText"/>
        <w:numPr>
          <w:ilvl w:val="0"/>
          <w:numId w:val="19"/>
        </w:numPr>
        <w:rPr>
          <w:lang w:val="en-AU"/>
        </w:rPr>
      </w:pPr>
      <w:r w:rsidRPr="00316FF7">
        <w:rPr>
          <w:lang w:val="en-AU"/>
        </w:rPr>
        <w:t xml:space="preserve">If </w:t>
      </w:r>
      <w:r w:rsidR="00F12FE1" w:rsidRPr="00316FF7">
        <w:rPr>
          <w:lang w:val="en-AU"/>
        </w:rPr>
        <w:t>NEXTSTELLIS</w:t>
      </w:r>
      <w:r w:rsidRPr="00316FF7">
        <w:rPr>
          <w:lang w:val="en-AU"/>
        </w:rPr>
        <w:t xml:space="preserve"> is not started within 5 days after termination of the pregnancy, the woman should use additional non-hormonal contraception (such as condoms and spermicide) until pink tablets have been taken for 7 days in a row.</w:t>
      </w:r>
    </w:p>
    <w:p w14:paraId="405486A7" w14:textId="18B72179" w:rsidR="00E23B8C" w:rsidRPr="00316FF7" w:rsidRDefault="00E23B8C" w:rsidP="00950526">
      <w:pPr>
        <w:pStyle w:val="C-Heading5non-numbered"/>
        <w:rPr>
          <w:b w:val="0"/>
          <w:i/>
          <w:lang w:val="en-AU"/>
        </w:rPr>
      </w:pPr>
      <w:r w:rsidRPr="00316FF7">
        <w:rPr>
          <w:b w:val="0"/>
          <w:i/>
          <w:lang w:val="en-AU"/>
        </w:rPr>
        <w:t>Second-</w:t>
      </w:r>
      <w:r w:rsidR="00B5166F" w:rsidRPr="00316FF7">
        <w:rPr>
          <w:b w:val="0"/>
          <w:i/>
          <w:lang w:val="en-AU"/>
        </w:rPr>
        <w:t>T</w:t>
      </w:r>
      <w:r w:rsidRPr="00316FF7">
        <w:rPr>
          <w:b w:val="0"/>
          <w:i/>
          <w:lang w:val="en-AU"/>
        </w:rPr>
        <w:t>rimester</w:t>
      </w:r>
    </w:p>
    <w:p w14:paraId="05BE8E23" w14:textId="6A79CF02" w:rsidR="003260C9" w:rsidRPr="00316FF7" w:rsidRDefault="00E23B8C" w:rsidP="00116CFB">
      <w:pPr>
        <w:pStyle w:val="C-BodyText"/>
        <w:numPr>
          <w:ilvl w:val="0"/>
          <w:numId w:val="19"/>
        </w:numPr>
        <w:rPr>
          <w:lang w:val="en-AU"/>
        </w:rPr>
      </w:pPr>
      <w:r w:rsidRPr="00316FF7">
        <w:rPr>
          <w:lang w:val="en-AU"/>
        </w:rPr>
        <w:t xml:space="preserve">Do not start until 4 weeks after a second-trimester abortion or miscarriage, due to the increased risk of thromboembolic disease. Start contraceptive therapy with </w:t>
      </w:r>
      <w:r w:rsidR="00F12FE1" w:rsidRPr="00316FF7">
        <w:rPr>
          <w:lang w:val="en-AU"/>
        </w:rPr>
        <w:t>NEXTSTELLIS</w:t>
      </w:r>
      <w:r w:rsidRPr="00316FF7">
        <w:rPr>
          <w:lang w:val="en-AU"/>
        </w:rPr>
        <w:t xml:space="preserve"> after having ruled out pregnancy. Use</w:t>
      </w:r>
      <w:r w:rsidR="00C54143" w:rsidRPr="00316FF7">
        <w:rPr>
          <w:lang w:val="en-AU"/>
        </w:rPr>
        <w:t xml:space="preserve"> of</w:t>
      </w:r>
      <w:r w:rsidRPr="00316FF7">
        <w:rPr>
          <w:lang w:val="en-AU"/>
        </w:rPr>
        <w:t xml:space="preserve"> a non-hormonal contraceptive (such as condom and spermicide) </w:t>
      </w:r>
      <w:r w:rsidR="008943DD" w:rsidRPr="00316FF7">
        <w:rPr>
          <w:lang w:val="en-AU"/>
        </w:rPr>
        <w:t>is recommended</w:t>
      </w:r>
      <w:r w:rsidRPr="00316FF7">
        <w:rPr>
          <w:lang w:val="en-AU"/>
        </w:rPr>
        <w:t xml:space="preserve"> until pink tablets have been taken for 7 days in a row.</w:t>
      </w:r>
    </w:p>
    <w:p w14:paraId="7A5F838B" w14:textId="7603FCEE" w:rsidR="00E23B8C" w:rsidRPr="00316FF7" w:rsidRDefault="00E23B8C" w:rsidP="00E23B8C">
      <w:pPr>
        <w:pStyle w:val="C-BodyText"/>
        <w:rPr>
          <w:lang w:val="en-AU"/>
        </w:rPr>
      </w:pPr>
      <w:r w:rsidRPr="00316FF7">
        <w:rPr>
          <w:lang w:val="en-AU"/>
        </w:rPr>
        <w:t xml:space="preserve">See </w:t>
      </w:r>
      <w:r w:rsidR="00C70B28" w:rsidRPr="00316FF7">
        <w:rPr>
          <w:i/>
          <w:iCs/>
          <w:lang w:val="en-AU"/>
        </w:rPr>
        <w:t xml:space="preserve">section 4.3 </w:t>
      </w:r>
      <w:r w:rsidRPr="00316FF7">
        <w:rPr>
          <w:i/>
          <w:iCs/>
          <w:lang w:val="en-AU"/>
        </w:rPr>
        <w:t xml:space="preserve">Contraindications </w:t>
      </w:r>
      <w:r w:rsidR="00C70B28" w:rsidRPr="00316FF7">
        <w:rPr>
          <w:lang w:val="en-AU"/>
        </w:rPr>
        <w:t>and</w:t>
      </w:r>
      <w:r w:rsidR="00C70B28" w:rsidRPr="00316FF7">
        <w:rPr>
          <w:i/>
          <w:iCs/>
          <w:lang w:val="en-AU"/>
        </w:rPr>
        <w:t xml:space="preserve"> section 4.4 Special Warnings and Precautions for Use</w:t>
      </w:r>
      <w:r w:rsidRPr="00316FF7">
        <w:rPr>
          <w:lang w:val="en-AU"/>
        </w:rPr>
        <w:t>.</w:t>
      </w:r>
    </w:p>
    <w:p w14:paraId="3D46597E" w14:textId="31E6518E" w:rsidR="00E23B8C" w:rsidRPr="00316FF7" w:rsidRDefault="00E23B8C" w:rsidP="00D659A8">
      <w:pPr>
        <w:pStyle w:val="C-Heading4non-numbered"/>
        <w:rPr>
          <w:b w:val="0"/>
          <w:u w:val="single"/>
          <w:lang w:val="en-AU"/>
        </w:rPr>
      </w:pPr>
      <w:r w:rsidRPr="00316FF7">
        <w:rPr>
          <w:b w:val="0"/>
          <w:u w:val="single"/>
          <w:lang w:val="en-AU"/>
        </w:rPr>
        <w:t xml:space="preserve">Starting </w:t>
      </w:r>
      <w:r w:rsidR="00F12FE1" w:rsidRPr="00316FF7">
        <w:rPr>
          <w:b w:val="0"/>
          <w:u w:val="single"/>
          <w:lang w:val="en-AU"/>
        </w:rPr>
        <w:t>NEXTSTELLIS</w:t>
      </w:r>
      <w:r w:rsidRPr="00316FF7">
        <w:rPr>
          <w:b w:val="0"/>
          <w:u w:val="single"/>
          <w:lang w:val="en-AU"/>
        </w:rPr>
        <w:t xml:space="preserve"> </w:t>
      </w:r>
      <w:r w:rsidR="00B5166F" w:rsidRPr="00316FF7">
        <w:rPr>
          <w:b w:val="0"/>
          <w:u w:val="single"/>
          <w:lang w:val="en-AU"/>
        </w:rPr>
        <w:t>A</w:t>
      </w:r>
      <w:r w:rsidRPr="00316FF7">
        <w:rPr>
          <w:b w:val="0"/>
          <w:u w:val="single"/>
          <w:lang w:val="en-AU"/>
        </w:rPr>
        <w:t>fter Childbirth</w:t>
      </w:r>
    </w:p>
    <w:p w14:paraId="4EE40320" w14:textId="44FFA71C" w:rsidR="00E23B8C" w:rsidRPr="00316FF7" w:rsidRDefault="00E23B8C" w:rsidP="00116CFB">
      <w:pPr>
        <w:pStyle w:val="C-BodyText"/>
        <w:numPr>
          <w:ilvl w:val="0"/>
          <w:numId w:val="19"/>
        </w:numPr>
        <w:rPr>
          <w:lang w:val="en-AU"/>
        </w:rPr>
      </w:pPr>
      <w:r w:rsidRPr="00316FF7">
        <w:rPr>
          <w:lang w:val="en-AU"/>
        </w:rPr>
        <w:t xml:space="preserve">Do not start until 4 weeks after delivery, due to the increased risk of thromboembolic disease. Start contraceptive therapy with </w:t>
      </w:r>
      <w:r w:rsidR="00F12FE1" w:rsidRPr="00316FF7">
        <w:rPr>
          <w:lang w:val="en-AU"/>
        </w:rPr>
        <w:t>NEXTSTELLIS</w:t>
      </w:r>
      <w:r w:rsidRPr="00316FF7">
        <w:rPr>
          <w:lang w:val="en-AU"/>
        </w:rPr>
        <w:t xml:space="preserve"> after having ruled out pregnancy. Use </w:t>
      </w:r>
      <w:r w:rsidR="004D6798" w:rsidRPr="00316FF7">
        <w:rPr>
          <w:lang w:val="en-AU"/>
        </w:rPr>
        <w:t xml:space="preserve">of </w:t>
      </w:r>
      <w:r w:rsidRPr="00316FF7">
        <w:rPr>
          <w:lang w:val="en-AU"/>
        </w:rPr>
        <w:t>a non</w:t>
      </w:r>
      <w:r w:rsidR="00533C52" w:rsidRPr="00316FF7">
        <w:rPr>
          <w:lang w:val="en-AU"/>
        </w:rPr>
        <w:t>-</w:t>
      </w:r>
      <w:r w:rsidRPr="00316FF7">
        <w:rPr>
          <w:lang w:val="en-AU"/>
        </w:rPr>
        <w:t>hormonal contraceptive (such as condom and spermicide)</w:t>
      </w:r>
      <w:r w:rsidR="00A75B36" w:rsidRPr="00316FF7">
        <w:rPr>
          <w:lang w:val="en-AU"/>
        </w:rPr>
        <w:t xml:space="preserve"> is recommended</w:t>
      </w:r>
      <w:r w:rsidRPr="00316FF7">
        <w:rPr>
          <w:lang w:val="en-AU"/>
        </w:rPr>
        <w:t xml:space="preserve"> until pink tablets have been taken for 7 days in a row.</w:t>
      </w:r>
    </w:p>
    <w:p w14:paraId="1C58BFFD" w14:textId="3706DE0A" w:rsidR="00E23B8C" w:rsidRPr="00316FF7" w:rsidRDefault="00E23B8C" w:rsidP="00E23B8C">
      <w:pPr>
        <w:pStyle w:val="C-BodyText"/>
        <w:rPr>
          <w:lang w:val="en-AU"/>
        </w:rPr>
      </w:pPr>
      <w:r w:rsidRPr="00316FF7">
        <w:rPr>
          <w:lang w:val="en-AU"/>
        </w:rPr>
        <w:t xml:space="preserve">If the woman is breastfeeding the use of a non-hormonal method of contraception is to be recommended until the woman discontinues breast feeding </w:t>
      </w:r>
      <w:r w:rsidR="00806558" w:rsidRPr="00316FF7">
        <w:rPr>
          <w:lang w:val="en-AU"/>
        </w:rPr>
        <w:t xml:space="preserve">(see </w:t>
      </w:r>
      <w:r w:rsidR="00806558" w:rsidRPr="00316FF7">
        <w:rPr>
          <w:i/>
          <w:lang w:val="en-AU"/>
        </w:rPr>
        <w:t>section 4.6 Fertility, Pregnancy and Lactation</w:t>
      </w:r>
      <w:r w:rsidR="00806558" w:rsidRPr="00316FF7">
        <w:rPr>
          <w:lang w:val="en-AU"/>
        </w:rPr>
        <w:t>).</w:t>
      </w:r>
    </w:p>
    <w:p w14:paraId="13CA0CD4" w14:textId="00CFDF96" w:rsidR="00E23B8C" w:rsidRPr="00316FF7" w:rsidRDefault="00C70B28" w:rsidP="00E23B8C">
      <w:pPr>
        <w:pStyle w:val="C-BodyText"/>
        <w:rPr>
          <w:lang w:val="en-AU"/>
        </w:rPr>
      </w:pPr>
      <w:r w:rsidRPr="00316FF7">
        <w:rPr>
          <w:lang w:val="en-AU"/>
        </w:rPr>
        <w:t xml:space="preserve">See </w:t>
      </w:r>
      <w:r w:rsidRPr="00316FF7">
        <w:rPr>
          <w:i/>
          <w:lang w:val="en-AU"/>
        </w:rPr>
        <w:t>section 4.3 Contraindications, section 4.4 Special Warnings and Precautions for Use</w:t>
      </w:r>
      <w:r w:rsidRPr="00316FF7">
        <w:rPr>
          <w:lang w:val="en-AU"/>
        </w:rPr>
        <w:t xml:space="preserve"> and </w:t>
      </w:r>
      <w:r w:rsidRPr="00316FF7">
        <w:rPr>
          <w:i/>
          <w:lang w:val="en-AU"/>
        </w:rPr>
        <w:t xml:space="preserve">section </w:t>
      </w:r>
      <w:r w:rsidR="00126732" w:rsidRPr="00316FF7">
        <w:rPr>
          <w:i/>
          <w:lang w:val="en-AU"/>
        </w:rPr>
        <w:t>4.6 Fertility, Pregnancy and Lactation</w:t>
      </w:r>
      <w:r w:rsidR="00126732" w:rsidRPr="00316FF7">
        <w:rPr>
          <w:lang w:val="en-AU"/>
        </w:rPr>
        <w:t>.</w:t>
      </w:r>
    </w:p>
    <w:p w14:paraId="495AD22B" w14:textId="78DCEE3E" w:rsidR="00E23B8C" w:rsidRPr="00316FF7" w:rsidRDefault="00E23B8C" w:rsidP="009349CE">
      <w:pPr>
        <w:pStyle w:val="C-Heading3non-numbered"/>
        <w:rPr>
          <w:lang w:val="en-AU"/>
        </w:rPr>
      </w:pPr>
      <w:r w:rsidRPr="00316FF7">
        <w:rPr>
          <w:lang w:val="en-AU"/>
        </w:rPr>
        <w:t xml:space="preserve">Method of </w:t>
      </w:r>
      <w:r w:rsidR="002960C1" w:rsidRPr="00316FF7">
        <w:rPr>
          <w:lang w:val="en-AU"/>
        </w:rPr>
        <w:t>A</w:t>
      </w:r>
      <w:r w:rsidRPr="00316FF7">
        <w:rPr>
          <w:lang w:val="en-AU"/>
        </w:rPr>
        <w:t>dministration</w:t>
      </w:r>
    </w:p>
    <w:p w14:paraId="3C3D9B74" w14:textId="7AA65054" w:rsidR="00E23B8C" w:rsidRPr="00316FF7" w:rsidRDefault="00F12FE1" w:rsidP="00E23B8C">
      <w:pPr>
        <w:pStyle w:val="C-BodyText"/>
        <w:rPr>
          <w:lang w:val="en-AU"/>
        </w:rPr>
      </w:pPr>
      <w:r w:rsidRPr="00316FF7">
        <w:rPr>
          <w:lang w:val="en-AU"/>
        </w:rPr>
        <w:t>NEXTSTELLIS</w:t>
      </w:r>
      <w:r w:rsidR="00E23B8C" w:rsidRPr="00316FF7">
        <w:rPr>
          <w:lang w:val="en-AU"/>
        </w:rPr>
        <w:t xml:space="preserve"> (pink active and white </w:t>
      </w:r>
      <w:r w:rsidR="000670C0" w:rsidRPr="00316FF7">
        <w:rPr>
          <w:lang w:val="en-AU"/>
        </w:rPr>
        <w:t xml:space="preserve">inactive </w:t>
      </w:r>
      <w:r w:rsidR="00E23B8C" w:rsidRPr="00316FF7">
        <w:rPr>
          <w:lang w:val="en-AU"/>
        </w:rPr>
        <w:t>tablets) is swallowed whole once a day. Take one tablet daily for 28 consecutive days</w:t>
      </w:r>
      <w:r w:rsidR="00567382" w:rsidRPr="00316FF7">
        <w:rPr>
          <w:lang w:val="en-AU"/>
        </w:rPr>
        <w:t>. O</w:t>
      </w:r>
      <w:r w:rsidR="00FD0D78" w:rsidRPr="00316FF7">
        <w:rPr>
          <w:lang w:val="en-AU"/>
        </w:rPr>
        <w:t>nce established</w:t>
      </w:r>
      <w:r w:rsidR="009C3C91" w:rsidRPr="00316FF7">
        <w:rPr>
          <w:lang w:val="en-AU"/>
        </w:rPr>
        <w:t xml:space="preserve"> on </w:t>
      </w:r>
      <w:r w:rsidR="003E38DE" w:rsidRPr="00316FF7">
        <w:rPr>
          <w:lang w:val="en-AU"/>
        </w:rPr>
        <w:t>NEXTSTELLIS</w:t>
      </w:r>
      <w:r w:rsidR="009C3C91" w:rsidRPr="00316FF7">
        <w:rPr>
          <w:lang w:val="en-AU"/>
        </w:rPr>
        <w:t xml:space="preserve"> the </w:t>
      </w:r>
      <w:r w:rsidR="003B7D98" w:rsidRPr="00316FF7">
        <w:rPr>
          <w:lang w:val="en-AU"/>
        </w:rPr>
        <w:t>administration</w:t>
      </w:r>
      <w:r w:rsidR="003E38DE" w:rsidRPr="00316FF7">
        <w:rPr>
          <w:lang w:val="en-AU"/>
        </w:rPr>
        <w:t xml:space="preserve"> </w:t>
      </w:r>
      <w:r w:rsidR="009C3C91" w:rsidRPr="00316FF7">
        <w:rPr>
          <w:lang w:val="en-AU"/>
        </w:rPr>
        <w:t xml:space="preserve">cycle </w:t>
      </w:r>
      <w:r w:rsidR="00BD7234" w:rsidRPr="00316FF7">
        <w:rPr>
          <w:lang w:val="en-AU"/>
        </w:rPr>
        <w:t xml:space="preserve">will involve 24 </w:t>
      </w:r>
      <w:r w:rsidR="00E23B8C" w:rsidRPr="00316FF7">
        <w:rPr>
          <w:lang w:val="en-AU"/>
        </w:rPr>
        <w:t xml:space="preserve">active </w:t>
      </w:r>
      <w:r w:rsidR="00BD7234" w:rsidRPr="00316FF7">
        <w:rPr>
          <w:lang w:val="en-AU"/>
        </w:rPr>
        <w:t>pi</w:t>
      </w:r>
      <w:r w:rsidR="00225370" w:rsidRPr="00316FF7">
        <w:rPr>
          <w:lang w:val="en-AU"/>
        </w:rPr>
        <w:t>n</w:t>
      </w:r>
      <w:r w:rsidR="00BD7234" w:rsidRPr="00316FF7">
        <w:rPr>
          <w:lang w:val="en-AU"/>
        </w:rPr>
        <w:t xml:space="preserve">k tables taken consecutively followed by 4 </w:t>
      </w:r>
      <w:r w:rsidR="00035750" w:rsidRPr="00316FF7">
        <w:rPr>
          <w:lang w:val="en-AU"/>
        </w:rPr>
        <w:t xml:space="preserve">inactive </w:t>
      </w:r>
      <w:r w:rsidR="00BD7234" w:rsidRPr="00316FF7">
        <w:rPr>
          <w:lang w:val="en-AU"/>
        </w:rPr>
        <w:t>white tablets</w:t>
      </w:r>
      <w:r w:rsidR="00FD0D78" w:rsidRPr="00316FF7">
        <w:rPr>
          <w:lang w:val="en-AU"/>
        </w:rPr>
        <w:t xml:space="preserve"> </w:t>
      </w:r>
      <w:r w:rsidR="00846F31" w:rsidRPr="00316FF7">
        <w:rPr>
          <w:lang w:val="en-AU"/>
        </w:rPr>
        <w:t>T</w:t>
      </w:r>
      <w:r w:rsidR="23920EE5" w:rsidRPr="00316FF7">
        <w:rPr>
          <w:lang w:val="en-AU"/>
        </w:rPr>
        <w:t>his may be across different blister packs</w:t>
      </w:r>
      <w:r w:rsidR="10D17AFC" w:rsidRPr="00316FF7">
        <w:rPr>
          <w:lang w:val="en-AU"/>
        </w:rPr>
        <w:t>.</w:t>
      </w:r>
      <w:r w:rsidR="00E23B8C" w:rsidRPr="00316FF7">
        <w:rPr>
          <w:lang w:val="en-AU"/>
        </w:rPr>
        <w:t xml:space="preserve"> Tablets must be taken every day at about the same time of the day so that the interval between </w:t>
      </w:r>
      <w:r w:rsidR="00413645" w:rsidRPr="00316FF7">
        <w:rPr>
          <w:lang w:val="en-AU"/>
        </w:rPr>
        <w:t>consecutive</w:t>
      </w:r>
      <w:r w:rsidR="000F3726" w:rsidRPr="00316FF7">
        <w:rPr>
          <w:lang w:val="en-AU"/>
        </w:rPr>
        <w:t xml:space="preserve"> tablets</w:t>
      </w:r>
      <w:r w:rsidR="00413645" w:rsidRPr="00316FF7">
        <w:rPr>
          <w:lang w:val="en-AU"/>
        </w:rPr>
        <w:t xml:space="preserve"> </w:t>
      </w:r>
      <w:r w:rsidR="00E23B8C" w:rsidRPr="00316FF7">
        <w:rPr>
          <w:lang w:val="en-AU"/>
        </w:rPr>
        <w:t>is</w:t>
      </w:r>
      <w:r w:rsidR="00FB0A1A" w:rsidRPr="00316FF7">
        <w:rPr>
          <w:lang w:val="en-AU"/>
        </w:rPr>
        <w:t xml:space="preserve"> </w:t>
      </w:r>
      <w:r w:rsidR="00E852CC" w:rsidRPr="00316FF7">
        <w:rPr>
          <w:lang w:val="en-AU"/>
        </w:rPr>
        <w:t>the same</w:t>
      </w:r>
      <w:r w:rsidR="00FB0A1A" w:rsidRPr="00316FF7">
        <w:rPr>
          <w:lang w:val="en-AU"/>
        </w:rPr>
        <w:t>.</w:t>
      </w:r>
    </w:p>
    <w:p w14:paraId="3C108D20" w14:textId="6DA55E43" w:rsidR="00E23B8C" w:rsidRPr="00316FF7" w:rsidRDefault="00E23B8C" w:rsidP="00212101">
      <w:pPr>
        <w:pStyle w:val="C-Heading4non-numbered"/>
        <w:rPr>
          <w:b w:val="0"/>
          <w:u w:val="single"/>
          <w:lang w:val="en-AU"/>
        </w:rPr>
      </w:pPr>
      <w:r w:rsidRPr="00316FF7">
        <w:rPr>
          <w:b w:val="0"/>
          <w:u w:val="single"/>
          <w:lang w:val="en-AU"/>
        </w:rPr>
        <w:lastRenderedPageBreak/>
        <w:t>Missed Doses</w:t>
      </w:r>
    </w:p>
    <w:p w14:paraId="0E342143" w14:textId="02CD98D9" w:rsidR="00206CC1" w:rsidRPr="00316FF7" w:rsidRDefault="00206CC1" w:rsidP="00206CC1">
      <w:pPr>
        <w:pStyle w:val="Caption"/>
        <w:rPr>
          <w:lang w:val="en-AU"/>
        </w:rPr>
      </w:pPr>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2</w:t>
      </w:r>
      <w:r w:rsidRPr="00316FF7">
        <w:rPr>
          <w:lang w:val="en-AU"/>
        </w:rPr>
        <w:fldChar w:fldCharType="end"/>
      </w:r>
      <w:r w:rsidRPr="00316FF7">
        <w:rPr>
          <w:lang w:val="en-AU"/>
        </w:rPr>
        <w:t>:</w:t>
      </w:r>
      <w:r w:rsidRPr="00316FF7">
        <w:rPr>
          <w:lang w:val="en-AU"/>
        </w:rPr>
        <w:tab/>
        <w:t xml:space="preserve">Instructions for </w:t>
      </w:r>
      <w:r w:rsidR="004F0EDC">
        <w:rPr>
          <w:lang w:val="en-AU"/>
        </w:rPr>
        <w:t>m</w:t>
      </w:r>
      <w:r w:rsidRPr="00316FF7">
        <w:rPr>
          <w:lang w:val="en-AU"/>
        </w:rPr>
        <w:t>issed NEXTSTELLIS</w:t>
      </w:r>
    </w:p>
    <w:tbl>
      <w:tblPr>
        <w:tblStyle w:val="C-Table"/>
        <w:tblW w:w="9301" w:type="dxa"/>
        <w:tblLook w:val="04A0" w:firstRow="1" w:lastRow="0" w:firstColumn="1" w:lastColumn="0" w:noHBand="0" w:noVBand="1"/>
      </w:tblPr>
      <w:tblGrid>
        <w:gridCol w:w="2686"/>
        <w:gridCol w:w="6615"/>
      </w:tblGrid>
      <w:tr w:rsidR="00E23B8C" w:rsidRPr="00316FF7" w14:paraId="5EE06ABA" w14:textId="77777777" w:rsidTr="00126732">
        <w:trPr>
          <w:cantSplit w:val="0"/>
          <w:tblHeader/>
        </w:trPr>
        <w:tc>
          <w:tcPr>
            <w:tcW w:w="2686" w:type="dxa"/>
          </w:tcPr>
          <w:p w14:paraId="23EF2377" w14:textId="77777777" w:rsidR="00E23B8C" w:rsidRPr="00316FF7" w:rsidRDefault="00E23B8C" w:rsidP="00EB12C0">
            <w:pPr>
              <w:pStyle w:val="C-TableHeader"/>
              <w:numPr>
                <w:ilvl w:val="0"/>
                <w:numId w:val="23"/>
              </w:numPr>
              <w:rPr>
                <w:b w:val="0"/>
                <w:color w:val="000000"/>
                <w:lang w:val="en-AU"/>
              </w:rPr>
            </w:pPr>
            <w:r w:rsidRPr="00316FF7">
              <w:rPr>
                <w:b w:val="0"/>
                <w:color w:val="000000"/>
                <w:lang w:val="en-AU"/>
              </w:rPr>
              <w:t xml:space="preserve">If one pink active tablet is missed </w:t>
            </w:r>
          </w:p>
        </w:tc>
        <w:tc>
          <w:tcPr>
            <w:tcW w:w="6615" w:type="dxa"/>
          </w:tcPr>
          <w:p w14:paraId="28304554" w14:textId="589FA1ED" w:rsidR="00E23B8C" w:rsidRPr="00316FF7" w:rsidRDefault="00E23B8C" w:rsidP="00CD694B">
            <w:pPr>
              <w:pStyle w:val="C-TableHeader"/>
              <w:rPr>
                <w:b w:val="0"/>
                <w:color w:val="000000"/>
                <w:lang w:val="en-AU"/>
              </w:rPr>
            </w:pPr>
            <w:r w:rsidRPr="00316FF7">
              <w:rPr>
                <w:b w:val="0"/>
                <w:color w:val="000000"/>
                <w:lang w:val="en-AU"/>
              </w:rPr>
              <w:t xml:space="preserve">Take the missed tablet as soon as possible. Continue taking one tablet a day until the </w:t>
            </w:r>
            <w:r w:rsidR="00336A6D" w:rsidRPr="00316FF7">
              <w:rPr>
                <w:b w:val="0"/>
                <w:color w:val="000000"/>
                <w:lang w:val="en-AU"/>
              </w:rPr>
              <w:t>blister pack</w:t>
            </w:r>
            <w:r w:rsidRPr="00316FF7">
              <w:rPr>
                <w:b w:val="0"/>
                <w:color w:val="000000"/>
                <w:lang w:val="en-AU"/>
              </w:rPr>
              <w:t xml:space="preserve"> is </w:t>
            </w:r>
            <w:r w:rsidR="00D27045" w:rsidRPr="00316FF7">
              <w:rPr>
                <w:b w:val="0"/>
                <w:color w:val="000000"/>
                <w:lang w:val="en-AU"/>
              </w:rPr>
              <w:t>finished</w:t>
            </w:r>
            <w:r w:rsidRPr="00316FF7">
              <w:rPr>
                <w:b w:val="0"/>
                <w:color w:val="000000"/>
                <w:lang w:val="en-AU"/>
              </w:rPr>
              <w:t>.</w:t>
            </w:r>
          </w:p>
        </w:tc>
      </w:tr>
      <w:tr w:rsidR="00E23B8C" w:rsidRPr="00316FF7" w14:paraId="13993D25" w14:textId="77777777" w:rsidTr="00126732">
        <w:trPr>
          <w:cantSplit w:val="0"/>
          <w:tblHeader/>
        </w:trPr>
        <w:tc>
          <w:tcPr>
            <w:tcW w:w="2686" w:type="dxa"/>
          </w:tcPr>
          <w:p w14:paraId="626B38C9" w14:textId="4B61F0A1" w:rsidR="00E23B8C" w:rsidRPr="00B7777A" w:rsidRDefault="00E23B8C" w:rsidP="00CD694B">
            <w:pPr>
              <w:pStyle w:val="C-TableText"/>
              <w:numPr>
                <w:ilvl w:val="0"/>
                <w:numId w:val="20"/>
              </w:numPr>
              <w:rPr>
                <w:color w:val="000000"/>
                <w:lang w:val="en-AU"/>
              </w:rPr>
            </w:pPr>
            <w:r w:rsidRPr="00B7777A">
              <w:rPr>
                <w:color w:val="000000"/>
                <w:lang w:val="en-AU"/>
              </w:rPr>
              <w:t xml:space="preserve">If two pink active tablets are missed in </w:t>
            </w:r>
            <w:r w:rsidR="00B7777A" w:rsidRPr="00B7777A">
              <w:rPr>
                <w:color w:val="000000"/>
                <w:lang w:val="en-AU"/>
              </w:rPr>
              <w:t>w</w:t>
            </w:r>
            <w:r w:rsidRPr="00B7777A">
              <w:rPr>
                <w:color w:val="000000"/>
                <w:lang w:val="en-AU"/>
              </w:rPr>
              <w:t xml:space="preserve">eek 1 or </w:t>
            </w:r>
            <w:r w:rsidR="00B7777A" w:rsidRPr="00B7777A">
              <w:rPr>
                <w:color w:val="000000"/>
                <w:lang w:val="en-AU"/>
              </w:rPr>
              <w:t>w</w:t>
            </w:r>
            <w:r w:rsidRPr="00B7777A">
              <w:rPr>
                <w:color w:val="000000"/>
                <w:lang w:val="en-AU"/>
              </w:rPr>
              <w:t>eek 2</w:t>
            </w:r>
          </w:p>
        </w:tc>
        <w:tc>
          <w:tcPr>
            <w:tcW w:w="6615" w:type="dxa"/>
          </w:tcPr>
          <w:p w14:paraId="466E6158" w14:textId="243B21F4" w:rsidR="00E23B8C" w:rsidRPr="00316FF7" w:rsidRDefault="00E23B8C" w:rsidP="00CD694B">
            <w:pPr>
              <w:pStyle w:val="C-TableText"/>
              <w:rPr>
                <w:color w:val="000000"/>
                <w:lang w:val="en-AU"/>
              </w:rPr>
            </w:pPr>
            <w:r w:rsidRPr="00316FF7">
              <w:rPr>
                <w:color w:val="000000"/>
                <w:lang w:val="en-AU"/>
              </w:rPr>
              <w:t xml:space="preserve">Take the two missed tablets as soon as possible and the next two tablets the next day. Continue one tablet a day until the </w:t>
            </w:r>
            <w:r w:rsidR="00336A6D" w:rsidRPr="00316FF7">
              <w:rPr>
                <w:color w:val="000000"/>
                <w:lang w:val="en-AU"/>
              </w:rPr>
              <w:t>blister pack</w:t>
            </w:r>
            <w:r w:rsidRPr="00316FF7">
              <w:rPr>
                <w:color w:val="000000"/>
                <w:lang w:val="en-AU"/>
              </w:rPr>
              <w:t xml:space="preserve"> is finished. I</w:t>
            </w:r>
            <w:r w:rsidRPr="00316FF7">
              <w:rPr>
                <w:bCs/>
                <w:color w:val="000000"/>
                <w:lang w:val="en-AU"/>
              </w:rPr>
              <w:t>f the woman has sex within 7 days after missing tablets, non-hormonal contraception (such as condoms and spermicide)</w:t>
            </w:r>
            <w:r w:rsidR="00D61E18" w:rsidRPr="00316FF7">
              <w:rPr>
                <w:bCs/>
                <w:color w:val="000000"/>
                <w:lang w:val="en-AU"/>
              </w:rPr>
              <w:t xml:space="preserve"> should be used</w:t>
            </w:r>
            <w:r w:rsidRPr="00316FF7">
              <w:rPr>
                <w:color w:val="000000"/>
                <w:lang w:val="en-AU"/>
              </w:rPr>
              <w:t xml:space="preserve"> </w:t>
            </w:r>
            <w:r w:rsidRPr="00316FF7">
              <w:rPr>
                <w:bCs/>
                <w:color w:val="000000"/>
                <w:lang w:val="en-AU"/>
              </w:rPr>
              <w:t>until pink tablets have been taken for 7 days in a row.</w:t>
            </w:r>
            <w:r w:rsidRPr="00316FF7">
              <w:rPr>
                <w:b/>
                <w:bCs/>
                <w:color w:val="000000"/>
                <w:lang w:val="en-AU"/>
              </w:rPr>
              <w:t xml:space="preserve"> </w:t>
            </w:r>
          </w:p>
        </w:tc>
      </w:tr>
      <w:tr w:rsidR="00E23B8C" w:rsidRPr="00316FF7" w14:paraId="466CCFB6" w14:textId="77777777" w:rsidTr="00126732">
        <w:trPr>
          <w:cantSplit w:val="0"/>
          <w:tblHeader/>
        </w:trPr>
        <w:tc>
          <w:tcPr>
            <w:tcW w:w="2686" w:type="dxa"/>
          </w:tcPr>
          <w:p w14:paraId="78CB758D" w14:textId="0274AD4C" w:rsidR="00E23B8C" w:rsidRPr="00B7777A" w:rsidRDefault="00E23B8C" w:rsidP="00CD694B">
            <w:pPr>
              <w:pStyle w:val="C-TableText"/>
              <w:numPr>
                <w:ilvl w:val="0"/>
                <w:numId w:val="20"/>
              </w:numPr>
              <w:rPr>
                <w:color w:val="000000"/>
                <w:lang w:val="en-AU"/>
              </w:rPr>
            </w:pPr>
            <w:r w:rsidRPr="00B7777A">
              <w:rPr>
                <w:color w:val="000000"/>
                <w:lang w:val="en-AU"/>
              </w:rPr>
              <w:t xml:space="preserve">If two pink active tablets are missed in </w:t>
            </w:r>
            <w:r w:rsidR="00B7777A" w:rsidRPr="00B7777A">
              <w:rPr>
                <w:color w:val="000000"/>
                <w:lang w:val="en-AU"/>
              </w:rPr>
              <w:t>w</w:t>
            </w:r>
            <w:r w:rsidRPr="00B7777A">
              <w:rPr>
                <w:color w:val="000000"/>
                <w:lang w:val="en-AU"/>
              </w:rPr>
              <w:t xml:space="preserve">eek 3, or three or more pink active tablets are missed in a row in </w:t>
            </w:r>
            <w:r w:rsidR="00B7777A" w:rsidRPr="00D73871">
              <w:rPr>
                <w:color w:val="000000"/>
                <w:lang w:val="en-AU"/>
              </w:rPr>
              <w:t>w</w:t>
            </w:r>
            <w:r w:rsidRPr="00D73871">
              <w:rPr>
                <w:color w:val="000000"/>
                <w:lang w:val="en-AU"/>
              </w:rPr>
              <w:t>eeks</w:t>
            </w:r>
            <w:r w:rsidRPr="00B7777A">
              <w:rPr>
                <w:color w:val="000000"/>
                <w:lang w:val="en-AU"/>
              </w:rPr>
              <w:t xml:space="preserve"> 1, 2 or 3</w:t>
            </w:r>
          </w:p>
        </w:tc>
        <w:tc>
          <w:tcPr>
            <w:tcW w:w="6615" w:type="dxa"/>
          </w:tcPr>
          <w:p w14:paraId="36957D22" w14:textId="29D1F99C" w:rsidR="00413645" w:rsidRPr="00316FF7" w:rsidRDefault="00413645" w:rsidP="00CD694B">
            <w:pPr>
              <w:pStyle w:val="C-TableText"/>
              <w:rPr>
                <w:bCs/>
                <w:color w:val="000000"/>
                <w:lang w:val="en-AU"/>
              </w:rPr>
            </w:pPr>
            <w:r w:rsidRPr="00316FF7">
              <w:rPr>
                <w:bCs/>
                <w:color w:val="000000"/>
                <w:lang w:val="en-AU"/>
              </w:rPr>
              <w:t xml:space="preserve">Start a new </w:t>
            </w:r>
            <w:r w:rsidR="00336A6D" w:rsidRPr="00316FF7">
              <w:rPr>
                <w:bCs/>
                <w:color w:val="000000"/>
                <w:lang w:val="en-AU"/>
              </w:rPr>
              <w:t>blister pack</w:t>
            </w:r>
            <w:r w:rsidRPr="00316FF7">
              <w:rPr>
                <w:bCs/>
                <w:color w:val="000000"/>
                <w:lang w:val="en-AU"/>
              </w:rPr>
              <w:t xml:space="preserve"> that same day. </w:t>
            </w:r>
            <w:r w:rsidRPr="00316FF7">
              <w:rPr>
                <w:i/>
                <w:lang w:val="en-AU"/>
              </w:rPr>
              <w:t xml:space="preserve">See section </w:t>
            </w:r>
            <w:r w:rsidRPr="00316FF7">
              <w:rPr>
                <w:bCs/>
                <w:i/>
                <w:color w:val="000000"/>
                <w:lang w:val="en-AU"/>
              </w:rPr>
              <w:t>6.6</w:t>
            </w:r>
            <w:r w:rsidRPr="00316FF7">
              <w:rPr>
                <w:bCs/>
                <w:i/>
                <w:color w:val="000000"/>
                <w:lang w:val="en-AU"/>
              </w:rPr>
              <w:tab/>
              <w:t xml:space="preserve">Special Precautions for Disposal </w:t>
            </w:r>
            <w:r w:rsidRPr="00316FF7">
              <w:rPr>
                <w:bCs/>
                <w:color w:val="000000"/>
                <w:lang w:val="en-AU"/>
              </w:rPr>
              <w:t xml:space="preserve">for instructions on how to dispose of the unused </w:t>
            </w:r>
            <w:r w:rsidR="00336A6D" w:rsidRPr="00316FF7">
              <w:rPr>
                <w:bCs/>
                <w:color w:val="000000"/>
                <w:lang w:val="en-AU"/>
              </w:rPr>
              <w:t>blister pack</w:t>
            </w:r>
            <w:r w:rsidRPr="00316FF7">
              <w:rPr>
                <w:bCs/>
                <w:color w:val="000000"/>
                <w:lang w:val="en-AU"/>
              </w:rPr>
              <w:t>.</w:t>
            </w:r>
          </w:p>
          <w:p w14:paraId="1E47E019" w14:textId="6A11F4DA" w:rsidR="00E23B8C" w:rsidRPr="00316FF7" w:rsidRDefault="006B01A3" w:rsidP="00CD694B">
            <w:pPr>
              <w:pStyle w:val="C-TableText"/>
              <w:rPr>
                <w:color w:val="000000"/>
                <w:lang w:val="en-AU"/>
              </w:rPr>
            </w:pPr>
            <w:r w:rsidRPr="00316FF7">
              <w:rPr>
                <w:bCs/>
                <w:color w:val="000000"/>
                <w:lang w:val="en-AU"/>
              </w:rPr>
              <w:t>If the woman has sex within 7 days after missing tablets, non-hormonal contraception (such as condoms and spermicide) should be used as back-up until pink tablets have been taken for 7 days in a row.</w:t>
            </w:r>
          </w:p>
        </w:tc>
      </w:tr>
      <w:tr w:rsidR="00E23B8C" w:rsidRPr="00316FF7" w14:paraId="7D5628AF" w14:textId="77777777" w:rsidTr="00126732">
        <w:trPr>
          <w:cantSplit w:val="0"/>
          <w:tblHeader/>
        </w:trPr>
        <w:tc>
          <w:tcPr>
            <w:tcW w:w="2686" w:type="dxa"/>
          </w:tcPr>
          <w:p w14:paraId="57694E89" w14:textId="46E2E6A3" w:rsidR="00E23B8C" w:rsidRPr="00316FF7" w:rsidRDefault="00E23B8C" w:rsidP="00CD694B">
            <w:pPr>
              <w:pStyle w:val="C-TableText"/>
              <w:numPr>
                <w:ilvl w:val="0"/>
                <w:numId w:val="20"/>
              </w:numPr>
              <w:rPr>
                <w:color w:val="000000"/>
                <w:lang w:val="en-AU"/>
              </w:rPr>
            </w:pPr>
            <w:r w:rsidRPr="00316FF7">
              <w:rPr>
                <w:color w:val="000000"/>
                <w:lang w:val="en-AU"/>
              </w:rPr>
              <w:t xml:space="preserve">If one or more white </w:t>
            </w:r>
            <w:r w:rsidR="00B06FC4" w:rsidRPr="00316FF7">
              <w:rPr>
                <w:color w:val="000000"/>
                <w:lang w:val="en-AU"/>
              </w:rPr>
              <w:t xml:space="preserve">inactive </w:t>
            </w:r>
            <w:r w:rsidRPr="00316FF7">
              <w:rPr>
                <w:color w:val="000000"/>
                <w:lang w:val="en-AU"/>
              </w:rPr>
              <w:t xml:space="preserve">tablets are missed </w:t>
            </w:r>
          </w:p>
        </w:tc>
        <w:tc>
          <w:tcPr>
            <w:tcW w:w="6615" w:type="dxa"/>
          </w:tcPr>
          <w:p w14:paraId="7DF6BA4D" w14:textId="069D47EE" w:rsidR="00E23B8C" w:rsidRPr="00316FF7" w:rsidRDefault="00E23B8C" w:rsidP="00CD694B">
            <w:pPr>
              <w:pStyle w:val="C-TableText"/>
              <w:rPr>
                <w:color w:val="000000"/>
                <w:lang w:val="en-AU"/>
              </w:rPr>
            </w:pPr>
            <w:r w:rsidRPr="00316FF7">
              <w:rPr>
                <w:color w:val="000000"/>
                <w:lang w:val="en-AU"/>
              </w:rPr>
              <w:t xml:space="preserve">Skip the missed </w:t>
            </w:r>
            <w:r w:rsidR="00B06FC4" w:rsidRPr="00316FF7">
              <w:rPr>
                <w:color w:val="000000"/>
                <w:lang w:val="en-AU"/>
              </w:rPr>
              <w:t xml:space="preserve">tablet </w:t>
            </w:r>
            <w:r w:rsidRPr="00316FF7">
              <w:rPr>
                <w:color w:val="000000"/>
                <w:lang w:val="en-AU"/>
              </w:rPr>
              <w:t xml:space="preserve">days and continue taking one tablet a day until the </w:t>
            </w:r>
            <w:r w:rsidR="00336A6D" w:rsidRPr="00316FF7">
              <w:rPr>
                <w:color w:val="000000"/>
                <w:lang w:val="en-AU"/>
              </w:rPr>
              <w:t>blister pack</w:t>
            </w:r>
            <w:r w:rsidRPr="00316FF7">
              <w:rPr>
                <w:color w:val="000000"/>
                <w:lang w:val="en-AU"/>
              </w:rPr>
              <w:t xml:space="preserve"> is finished. </w:t>
            </w:r>
          </w:p>
        </w:tc>
      </w:tr>
    </w:tbl>
    <w:p w14:paraId="6D63C692" w14:textId="748E7F43" w:rsidR="008B3F9E" w:rsidRPr="00316FF7" w:rsidRDefault="008B3F9E" w:rsidP="00212101">
      <w:pPr>
        <w:pStyle w:val="C-Heading4non-numbered"/>
        <w:rPr>
          <w:b w:val="0"/>
          <w:u w:val="single"/>
          <w:lang w:val="en-AU"/>
        </w:rPr>
      </w:pPr>
      <w:r w:rsidRPr="00316FF7">
        <w:rPr>
          <w:b w:val="0"/>
          <w:u w:val="single"/>
          <w:lang w:val="en-AU"/>
        </w:rPr>
        <w:t>In Case of Gastrointestinal</w:t>
      </w:r>
      <w:r w:rsidR="0073377A" w:rsidRPr="00316FF7">
        <w:rPr>
          <w:b w:val="0"/>
          <w:u w:val="single"/>
          <w:lang w:val="en-AU"/>
        </w:rPr>
        <w:t xml:space="preserve"> Disturbances</w:t>
      </w:r>
    </w:p>
    <w:p w14:paraId="27C5B8C4" w14:textId="672A7021" w:rsidR="008B3F9E" w:rsidRPr="00316FF7" w:rsidRDefault="008B3F9E" w:rsidP="00E23B8C">
      <w:pPr>
        <w:pStyle w:val="C-BodyText"/>
        <w:rPr>
          <w:lang w:val="en-AU"/>
        </w:rPr>
      </w:pPr>
      <w:r w:rsidRPr="00316FF7">
        <w:rPr>
          <w:lang w:val="en-AU"/>
        </w:rPr>
        <w:t>If vomiting or diarrhea occurs within 3-4 hours after tablet-taking, the new tablet (scheduled for the next day) should be taken as soon as possible. The new tablet should be taken within 12 hours of the usual time of tablet-taking if possible. If more than two tablets are missed, the advice concerning missed tablets, including using non-hormonal contraception given above is applicable.</w:t>
      </w:r>
    </w:p>
    <w:p w14:paraId="674DF611" w14:textId="6AC82864" w:rsidR="00B845D7" w:rsidRPr="00316FF7" w:rsidRDefault="007F49AA" w:rsidP="006E0396">
      <w:pPr>
        <w:pStyle w:val="C-Heading2"/>
        <w:rPr>
          <w:lang w:val="en-AU"/>
        </w:rPr>
      </w:pPr>
      <w:r w:rsidRPr="00316FF7">
        <w:rPr>
          <w:lang w:val="en-AU"/>
        </w:rPr>
        <w:t>Contraindications</w:t>
      </w:r>
    </w:p>
    <w:p w14:paraId="39500C83" w14:textId="42EAE2EB" w:rsidR="002273EC" w:rsidRPr="00316FF7" w:rsidRDefault="00D27045" w:rsidP="002273EC">
      <w:pPr>
        <w:pStyle w:val="C-BodyText"/>
        <w:rPr>
          <w:lang w:val="en-AU"/>
        </w:rPr>
      </w:pPr>
      <w:r w:rsidRPr="00316FF7">
        <w:rPr>
          <w:lang w:val="en-AU"/>
        </w:rPr>
        <w:t>C</w:t>
      </w:r>
      <w:r w:rsidR="00732E10" w:rsidRPr="00316FF7">
        <w:rPr>
          <w:lang w:val="en-AU"/>
        </w:rPr>
        <w:t>O</w:t>
      </w:r>
      <w:r w:rsidRPr="00316FF7">
        <w:rPr>
          <w:lang w:val="en-AU"/>
        </w:rPr>
        <w:t>Cs</w:t>
      </w:r>
      <w:r w:rsidR="002273EC" w:rsidRPr="00316FF7">
        <w:rPr>
          <w:lang w:val="en-AU"/>
        </w:rPr>
        <w:t>, including NEXTSTELLIS, should not be used in the presence of any of the conditions listed below. Should any of the conditions appear for the first time during C</w:t>
      </w:r>
      <w:r w:rsidR="0006785E" w:rsidRPr="00316FF7">
        <w:rPr>
          <w:lang w:val="en-AU"/>
        </w:rPr>
        <w:t>O</w:t>
      </w:r>
      <w:r w:rsidR="002273EC" w:rsidRPr="00316FF7">
        <w:rPr>
          <w:lang w:val="en-AU"/>
        </w:rPr>
        <w:t>C use, the product should be stopped immediately.</w:t>
      </w:r>
    </w:p>
    <w:p w14:paraId="4EFCDFE5" w14:textId="24BB8280" w:rsidR="002273EC" w:rsidRPr="00316FF7" w:rsidRDefault="002273EC" w:rsidP="00EB12C0">
      <w:pPr>
        <w:pStyle w:val="C-BodyText"/>
        <w:numPr>
          <w:ilvl w:val="0"/>
          <w:numId w:val="24"/>
        </w:numPr>
        <w:rPr>
          <w:lang w:val="en-AU"/>
        </w:rPr>
      </w:pPr>
      <w:r w:rsidRPr="00316FF7">
        <w:rPr>
          <w:lang w:val="en-AU"/>
        </w:rPr>
        <w:t xml:space="preserve">Presence or risk of venous thromboembolism (VTE) (see </w:t>
      </w:r>
      <w:r w:rsidRPr="00316FF7">
        <w:rPr>
          <w:i/>
          <w:lang w:val="en-AU"/>
        </w:rPr>
        <w:t>section 4.4 Special Warnings and Precautions for Use)</w:t>
      </w:r>
    </w:p>
    <w:p w14:paraId="56263A05" w14:textId="77777777" w:rsidR="002273EC" w:rsidRPr="00316FF7" w:rsidRDefault="002273EC" w:rsidP="00EB12C0">
      <w:pPr>
        <w:pStyle w:val="C-BodyText"/>
        <w:numPr>
          <w:ilvl w:val="1"/>
          <w:numId w:val="24"/>
        </w:numPr>
        <w:rPr>
          <w:lang w:val="en-AU"/>
        </w:rPr>
      </w:pPr>
      <w:r w:rsidRPr="00316FF7">
        <w:rPr>
          <w:lang w:val="en-AU"/>
        </w:rPr>
        <w:t>Current VTE (on anticoagulants) or history of deep venous thrombosis (DVT) or pulmonary embolism (PE)</w:t>
      </w:r>
    </w:p>
    <w:p w14:paraId="138CA5E4" w14:textId="621C8AD0" w:rsidR="002273EC" w:rsidRPr="00316FF7" w:rsidRDefault="002273EC" w:rsidP="00EB12C0">
      <w:pPr>
        <w:pStyle w:val="C-BodyText"/>
        <w:numPr>
          <w:ilvl w:val="1"/>
          <w:numId w:val="24"/>
        </w:numPr>
        <w:rPr>
          <w:lang w:val="en-AU"/>
        </w:rPr>
      </w:pPr>
      <w:r w:rsidRPr="00316FF7">
        <w:rPr>
          <w:lang w:val="en-AU"/>
        </w:rPr>
        <w:t xml:space="preserve">Known hereditary or acquired predisposition for </w:t>
      </w:r>
      <w:r w:rsidR="00D73871">
        <w:rPr>
          <w:lang w:val="en-AU"/>
        </w:rPr>
        <w:t>VTE</w:t>
      </w:r>
      <w:r w:rsidRPr="00316FF7">
        <w:rPr>
          <w:lang w:val="en-AU"/>
        </w:rPr>
        <w:t xml:space="preserve">, such as APC-resistance (including </w:t>
      </w:r>
      <w:r w:rsidR="00B7777A">
        <w:rPr>
          <w:lang w:val="en-AU"/>
        </w:rPr>
        <w:t>f</w:t>
      </w:r>
      <w:r w:rsidRPr="00316FF7">
        <w:rPr>
          <w:lang w:val="en-AU"/>
        </w:rPr>
        <w:t>actor V Leiden), antithrombin-III-deficiency, protein C deficiency, protein S deficiency</w:t>
      </w:r>
    </w:p>
    <w:p w14:paraId="15C4C7AA" w14:textId="77777777" w:rsidR="002273EC" w:rsidRPr="00316FF7" w:rsidRDefault="002273EC" w:rsidP="00EB12C0">
      <w:pPr>
        <w:pStyle w:val="C-BodyText"/>
        <w:numPr>
          <w:ilvl w:val="1"/>
          <w:numId w:val="24"/>
        </w:numPr>
        <w:rPr>
          <w:lang w:val="en-AU"/>
        </w:rPr>
      </w:pPr>
      <w:r w:rsidRPr="00316FF7">
        <w:rPr>
          <w:lang w:val="en-AU"/>
        </w:rPr>
        <w:t>Major surgery with prolonged immobilisation</w:t>
      </w:r>
    </w:p>
    <w:p w14:paraId="5A8D7880" w14:textId="77777777" w:rsidR="00D93C1F" w:rsidRPr="00316FF7" w:rsidRDefault="002273EC" w:rsidP="00D93C1F">
      <w:pPr>
        <w:pStyle w:val="C-BodyText"/>
        <w:numPr>
          <w:ilvl w:val="1"/>
          <w:numId w:val="24"/>
        </w:numPr>
        <w:rPr>
          <w:lang w:val="en-AU"/>
        </w:rPr>
      </w:pPr>
      <w:r w:rsidRPr="00316FF7">
        <w:rPr>
          <w:lang w:val="en-AU"/>
        </w:rPr>
        <w:t xml:space="preserve">A high risk of </w:t>
      </w:r>
      <w:r w:rsidR="00862DFC" w:rsidRPr="00316FF7">
        <w:rPr>
          <w:lang w:val="en-AU"/>
        </w:rPr>
        <w:t>VTE</w:t>
      </w:r>
      <w:r w:rsidRPr="00316FF7">
        <w:rPr>
          <w:lang w:val="en-AU"/>
        </w:rPr>
        <w:t xml:space="preserve"> due to the presence of multiple risk factors</w:t>
      </w:r>
    </w:p>
    <w:p w14:paraId="7B8BB644" w14:textId="03BBE6AF" w:rsidR="002273EC" w:rsidRPr="00316FF7" w:rsidRDefault="002273EC" w:rsidP="00EB12C0">
      <w:pPr>
        <w:pStyle w:val="C-BodyText"/>
        <w:numPr>
          <w:ilvl w:val="0"/>
          <w:numId w:val="24"/>
        </w:numPr>
        <w:rPr>
          <w:lang w:val="en-AU"/>
        </w:rPr>
      </w:pPr>
      <w:r w:rsidRPr="00316FF7">
        <w:rPr>
          <w:lang w:val="en-AU"/>
        </w:rPr>
        <w:lastRenderedPageBreak/>
        <w:t xml:space="preserve">Presence or risk of arterial thromboembolism (ATE) (see </w:t>
      </w:r>
      <w:r w:rsidRPr="00316FF7">
        <w:rPr>
          <w:i/>
          <w:lang w:val="en-AU"/>
        </w:rPr>
        <w:t>section 4.4 Special Warnings and Precautions for Use</w:t>
      </w:r>
      <w:r w:rsidRPr="00316FF7">
        <w:rPr>
          <w:lang w:val="en-AU"/>
        </w:rPr>
        <w:t>)</w:t>
      </w:r>
    </w:p>
    <w:p w14:paraId="39DC4371" w14:textId="77777777" w:rsidR="002273EC" w:rsidRPr="00316FF7" w:rsidRDefault="002273EC" w:rsidP="00EB12C0">
      <w:pPr>
        <w:pStyle w:val="C-BodyText"/>
        <w:numPr>
          <w:ilvl w:val="1"/>
          <w:numId w:val="24"/>
        </w:numPr>
        <w:rPr>
          <w:lang w:val="en-AU"/>
        </w:rPr>
      </w:pPr>
      <w:r w:rsidRPr="00316FF7">
        <w:rPr>
          <w:lang w:val="en-AU"/>
        </w:rPr>
        <w:t>Current ATE or history of ATE (e.g. myocardial infarction or stroke) or prodromal condition (e.g. angina pectoris or transient ischaemic attack [TIA])</w:t>
      </w:r>
    </w:p>
    <w:p w14:paraId="52141FE4" w14:textId="27F9B4D0" w:rsidR="002273EC" w:rsidRPr="00316FF7" w:rsidRDefault="002273EC" w:rsidP="00EB12C0">
      <w:pPr>
        <w:pStyle w:val="C-BodyText"/>
        <w:numPr>
          <w:ilvl w:val="1"/>
          <w:numId w:val="24"/>
        </w:numPr>
        <w:rPr>
          <w:lang w:val="en-AU"/>
        </w:rPr>
      </w:pPr>
      <w:r w:rsidRPr="00316FF7">
        <w:rPr>
          <w:lang w:val="en-AU"/>
        </w:rPr>
        <w:t xml:space="preserve">Known hereditary or acquired predisposition for </w:t>
      </w:r>
      <w:r w:rsidR="008E254D" w:rsidRPr="00316FF7">
        <w:rPr>
          <w:lang w:val="en-AU"/>
        </w:rPr>
        <w:t>ATE</w:t>
      </w:r>
      <w:r w:rsidRPr="00316FF7">
        <w:rPr>
          <w:lang w:val="en-AU"/>
        </w:rPr>
        <w:t>, such as hyperhomocysteinaemia and antiphospholipid-antibodies (e.g. anticardiolipinantibodies and lupus anticoagulant)</w:t>
      </w:r>
    </w:p>
    <w:p w14:paraId="69183F7F" w14:textId="77777777" w:rsidR="002273EC" w:rsidRPr="00316FF7" w:rsidRDefault="002273EC" w:rsidP="00EB12C0">
      <w:pPr>
        <w:pStyle w:val="C-BodyText"/>
        <w:numPr>
          <w:ilvl w:val="1"/>
          <w:numId w:val="24"/>
        </w:numPr>
        <w:rPr>
          <w:lang w:val="en-AU"/>
        </w:rPr>
      </w:pPr>
      <w:r w:rsidRPr="00316FF7">
        <w:rPr>
          <w:lang w:val="en-AU"/>
        </w:rPr>
        <w:t>History of migraine with focal neurological symptoms</w:t>
      </w:r>
    </w:p>
    <w:p w14:paraId="50DDBA40" w14:textId="5C596D50" w:rsidR="00D93C1F" w:rsidRPr="00316FF7" w:rsidRDefault="00D93C1F" w:rsidP="00EB12C0">
      <w:pPr>
        <w:pStyle w:val="C-BodyText"/>
        <w:numPr>
          <w:ilvl w:val="1"/>
          <w:numId w:val="24"/>
        </w:numPr>
        <w:rPr>
          <w:lang w:val="en-AU"/>
        </w:rPr>
      </w:pPr>
      <w:r w:rsidRPr="00316FF7">
        <w:rPr>
          <w:lang w:val="en-AU"/>
        </w:rPr>
        <w:t>A high risk of ATE due to the presence of multiple combined risk factors such as: heavy cigarette smoking (around 15 or more per day); positive family history (</w:t>
      </w:r>
      <w:r w:rsidR="00DD02EF">
        <w:rPr>
          <w:lang w:val="en-AU"/>
        </w:rPr>
        <w:t xml:space="preserve">ATE </w:t>
      </w:r>
      <w:r w:rsidRPr="00316FF7">
        <w:rPr>
          <w:lang w:val="en-AU"/>
        </w:rPr>
        <w:t>in a sibling or parent especially at relatively early age, e.g., below 50); and over 35 years</w:t>
      </w:r>
      <w:r w:rsidR="00DD02EF">
        <w:rPr>
          <w:lang w:val="en-AU"/>
        </w:rPr>
        <w:t xml:space="preserve"> of age</w:t>
      </w:r>
    </w:p>
    <w:p w14:paraId="6248EAE3" w14:textId="7C062BD2" w:rsidR="002273EC" w:rsidRPr="00316FF7" w:rsidRDefault="002273EC" w:rsidP="00EB12C0">
      <w:pPr>
        <w:pStyle w:val="C-BodyText"/>
        <w:numPr>
          <w:ilvl w:val="1"/>
          <w:numId w:val="24"/>
        </w:numPr>
        <w:rPr>
          <w:lang w:val="en-AU"/>
        </w:rPr>
      </w:pPr>
      <w:r w:rsidRPr="00316FF7">
        <w:rPr>
          <w:lang w:val="en-AU"/>
        </w:rPr>
        <w:t xml:space="preserve">A high risk of </w:t>
      </w:r>
      <w:r w:rsidR="00C52CCE" w:rsidRPr="00316FF7">
        <w:rPr>
          <w:lang w:val="en-AU"/>
        </w:rPr>
        <w:t>ATE</w:t>
      </w:r>
      <w:r w:rsidRPr="00316FF7">
        <w:rPr>
          <w:lang w:val="en-AU"/>
        </w:rPr>
        <w:t xml:space="preserve"> due to the presence of one serious risk factor such as:</w:t>
      </w:r>
    </w:p>
    <w:p w14:paraId="2267FB0E" w14:textId="77777777" w:rsidR="002273EC" w:rsidRPr="00316FF7" w:rsidRDefault="002273EC" w:rsidP="00EB12C0">
      <w:pPr>
        <w:pStyle w:val="C-BodyText"/>
        <w:numPr>
          <w:ilvl w:val="2"/>
          <w:numId w:val="24"/>
        </w:numPr>
        <w:rPr>
          <w:lang w:val="en-AU"/>
        </w:rPr>
      </w:pPr>
      <w:r w:rsidRPr="00316FF7">
        <w:rPr>
          <w:lang w:val="en-AU"/>
        </w:rPr>
        <w:t>diabetes mellitus with vascular symptoms</w:t>
      </w:r>
    </w:p>
    <w:p w14:paraId="0A1713D8" w14:textId="77777777" w:rsidR="002273EC" w:rsidRPr="00316FF7" w:rsidRDefault="002273EC" w:rsidP="00EB12C0">
      <w:pPr>
        <w:pStyle w:val="C-BodyText"/>
        <w:numPr>
          <w:ilvl w:val="2"/>
          <w:numId w:val="24"/>
        </w:numPr>
        <w:rPr>
          <w:lang w:val="en-AU"/>
        </w:rPr>
      </w:pPr>
      <w:r w:rsidRPr="00316FF7">
        <w:rPr>
          <w:lang w:val="en-AU"/>
        </w:rPr>
        <w:t>severe hypertension</w:t>
      </w:r>
    </w:p>
    <w:p w14:paraId="3260EB15" w14:textId="77777777" w:rsidR="002273EC" w:rsidRPr="00316FF7" w:rsidRDefault="002273EC" w:rsidP="00EB12C0">
      <w:pPr>
        <w:pStyle w:val="C-BodyText"/>
        <w:numPr>
          <w:ilvl w:val="2"/>
          <w:numId w:val="24"/>
        </w:numPr>
        <w:rPr>
          <w:lang w:val="en-AU"/>
        </w:rPr>
      </w:pPr>
      <w:r w:rsidRPr="00316FF7">
        <w:rPr>
          <w:lang w:val="en-AU"/>
        </w:rPr>
        <w:t>severe dyslipoproteinaemia</w:t>
      </w:r>
    </w:p>
    <w:p w14:paraId="4B276583" w14:textId="42AABD86" w:rsidR="002273EC" w:rsidRPr="00316FF7" w:rsidRDefault="002273EC" w:rsidP="00EB12C0">
      <w:pPr>
        <w:pStyle w:val="C-BodyText"/>
        <w:numPr>
          <w:ilvl w:val="0"/>
          <w:numId w:val="24"/>
        </w:numPr>
        <w:rPr>
          <w:lang w:val="en-AU"/>
        </w:rPr>
      </w:pPr>
      <w:r w:rsidRPr="00316FF7">
        <w:rPr>
          <w:lang w:val="en-AU"/>
        </w:rPr>
        <w:t>Pancreatitis</w:t>
      </w:r>
      <w:r w:rsidR="00122C6A" w:rsidRPr="00316FF7">
        <w:rPr>
          <w:lang w:val="en-AU"/>
        </w:rPr>
        <w:t>,</w:t>
      </w:r>
      <w:r w:rsidRPr="00316FF7">
        <w:rPr>
          <w:lang w:val="en-AU"/>
        </w:rPr>
        <w:t xml:space="preserve"> or a history thereof if associated with severe hypertriglyceridemia</w:t>
      </w:r>
    </w:p>
    <w:p w14:paraId="416E271C" w14:textId="77777777" w:rsidR="002273EC" w:rsidRPr="00316FF7" w:rsidRDefault="002273EC" w:rsidP="00EB12C0">
      <w:pPr>
        <w:pStyle w:val="C-BodyText"/>
        <w:numPr>
          <w:ilvl w:val="0"/>
          <w:numId w:val="24"/>
        </w:numPr>
        <w:rPr>
          <w:lang w:val="en-AU"/>
        </w:rPr>
      </w:pPr>
      <w:r w:rsidRPr="00316FF7">
        <w:rPr>
          <w:lang w:val="en-AU"/>
        </w:rPr>
        <w:t>Presence or history of severe hepatic disease as long as liver function values have not returned to normal</w:t>
      </w:r>
    </w:p>
    <w:p w14:paraId="39DF32D1" w14:textId="77777777" w:rsidR="002273EC" w:rsidRPr="00316FF7" w:rsidRDefault="002273EC" w:rsidP="00EB12C0">
      <w:pPr>
        <w:pStyle w:val="C-BodyText"/>
        <w:numPr>
          <w:ilvl w:val="0"/>
          <w:numId w:val="24"/>
        </w:numPr>
        <w:rPr>
          <w:lang w:val="en-AU"/>
        </w:rPr>
      </w:pPr>
      <w:r w:rsidRPr="00316FF7">
        <w:rPr>
          <w:lang w:val="en-AU"/>
        </w:rPr>
        <w:t>Severe renal insufficiency or acute renal failure</w:t>
      </w:r>
    </w:p>
    <w:p w14:paraId="385E42B9" w14:textId="676D872D" w:rsidR="002F04AA" w:rsidRPr="00316FF7" w:rsidRDefault="002F04AA" w:rsidP="00EB12C0">
      <w:pPr>
        <w:pStyle w:val="C-BodyText"/>
        <w:numPr>
          <w:ilvl w:val="0"/>
          <w:numId w:val="24"/>
        </w:numPr>
        <w:rPr>
          <w:lang w:val="en-AU"/>
        </w:rPr>
      </w:pPr>
      <w:r w:rsidRPr="00316FF7">
        <w:rPr>
          <w:lang w:val="en-AU"/>
        </w:rPr>
        <w:t>Presence or history of liver tumours (benign or malignant)</w:t>
      </w:r>
    </w:p>
    <w:p w14:paraId="6FE7AECC" w14:textId="45697ECF" w:rsidR="006C0BFF" w:rsidRPr="00316FF7" w:rsidRDefault="006C0BFF" w:rsidP="00EB12C0">
      <w:pPr>
        <w:pStyle w:val="C-BodyText"/>
        <w:numPr>
          <w:ilvl w:val="0"/>
          <w:numId w:val="24"/>
        </w:numPr>
        <w:rPr>
          <w:lang w:val="en-AU"/>
        </w:rPr>
      </w:pPr>
      <w:r w:rsidRPr="00316FF7">
        <w:rPr>
          <w:lang w:val="en-AU"/>
        </w:rPr>
        <w:t>Adrenal insufficiency</w:t>
      </w:r>
    </w:p>
    <w:p w14:paraId="13327599" w14:textId="77777777" w:rsidR="002F04AA" w:rsidRPr="00316FF7" w:rsidRDefault="002F04AA" w:rsidP="00EB12C0">
      <w:pPr>
        <w:pStyle w:val="C-BodyText"/>
        <w:numPr>
          <w:ilvl w:val="0"/>
          <w:numId w:val="24"/>
        </w:numPr>
        <w:rPr>
          <w:lang w:val="en-AU"/>
        </w:rPr>
      </w:pPr>
      <w:r w:rsidRPr="00316FF7">
        <w:rPr>
          <w:lang w:val="en-AU"/>
        </w:rPr>
        <w:t>Known or suspected sex steroid-influenced malignancies (e.g. of the genital organs or the breasts)</w:t>
      </w:r>
    </w:p>
    <w:p w14:paraId="11D61F83" w14:textId="77777777" w:rsidR="002F04AA" w:rsidRPr="00316FF7" w:rsidRDefault="002F04AA" w:rsidP="00EB12C0">
      <w:pPr>
        <w:pStyle w:val="C-BodyText"/>
        <w:numPr>
          <w:ilvl w:val="0"/>
          <w:numId w:val="24"/>
        </w:numPr>
        <w:rPr>
          <w:lang w:val="en-AU"/>
        </w:rPr>
      </w:pPr>
      <w:r w:rsidRPr="00316FF7">
        <w:rPr>
          <w:lang w:val="en-AU"/>
        </w:rPr>
        <w:t>Undiagnosed vaginal bleeding</w:t>
      </w:r>
    </w:p>
    <w:p w14:paraId="5E83AF84" w14:textId="77777777" w:rsidR="002F04AA" w:rsidRPr="00316FF7" w:rsidRDefault="002F04AA" w:rsidP="00EB12C0">
      <w:pPr>
        <w:pStyle w:val="C-BodyText"/>
        <w:numPr>
          <w:ilvl w:val="0"/>
          <w:numId w:val="24"/>
        </w:numPr>
        <w:rPr>
          <w:lang w:val="en-AU"/>
        </w:rPr>
      </w:pPr>
      <w:r w:rsidRPr="00316FF7">
        <w:rPr>
          <w:lang w:val="en-AU"/>
        </w:rPr>
        <w:t>Known or suspected pregnancy</w:t>
      </w:r>
    </w:p>
    <w:p w14:paraId="3E8ED396" w14:textId="0871CCA2" w:rsidR="002F04AA" w:rsidRPr="00316FF7" w:rsidRDefault="002F04AA" w:rsidP="00EB12C0">
      <w:pPr>
        <w:pStyle w:val="C-BodyText"/>
        <w:numPr>
          <w:ilvl w:val="0"/>
          <w:numId w:val="24"/>
        </w:numPr>
        <w:rPr>
          <w:lang w:val="en-AU"/>
        </w:rPr>
      </w:pPr>
      <w:r w:rsidRPr="00316FF7">
        <w:rPr>
          <w:lang w:val="en-AU"/>
        </w:rPr>
        <w:t xml:space="preserve">Hypersensitivity to any of the ingredients contained in </w:t>
      </w:r>
      <w:r w:rsidR="00CB60C3" w:rsidRPr="00316FF7">
        <w:rPr>
          <w:lang w:val="en-AU"/>
        </w:rPr>
        <w:t>NEXTSTELLIS</w:t>
      </w:r>
    </w:p>
    <w:p w14:paraId="56B7349F" w14:textId="65924029" w:rsidR="00B845D7" w:rsidRPr="00316FF7" w:rsidRDefault="007F49AA" w:rsidP="006E0396">
      <w:pPr>
        <w:pStyle w:val="C-Heading2"/>
        <w:rPr>
          <w:lang w:val="en-AU"/>
        </w:rPr>
      </w:pPr>
      <w:r w:rsidRPr="00316FF7">
        <w:rPr>
          <w:lang w:val="en-AU"/>
        </w:rPr>
        <w:t>Special Warnings and Precautions for Use</w:t>
      </w:r>
    </w:p>
    <w:p w14:paraId="3185311D" w14:textId="44F4A7FA" w:rsidR="00DE770A" w:rsidRPr="00316FF7" w:rsidRDefault="000F3472" w:rsidP="005D09FD">
      <w:pPr>
        <w:pStyle w:val="C-Heading3non-numbered"/>
        <w:rPr>
          <w:lang w:val="en-AU"/>
        </w:rPr>
      </w:pPr>
      <w:r w:rsidRPr="00316FF7">
        <w:rPr>
          <w:lang w:val="en-AU"/>
        </w:rPr>
        <w:t xml:space="preserve">Identified </w:t>
      </w:r>
      <w:r w:rsidR="005D09FD" w:rsidRPr="00316FF7">
        <w:rPr>
          <w:lang w:val="en-AU"/>
        </w:rPr>
        <w:t>P</w:t>
      </w:r>
      <w:r w:rsidRPr="00316FF7">
        <w:rPr>
          <w:lang w:val="en-AU"/>
        </w:rPr>
        <w:t>recautions</w:t>
      </w:r>
    </w:p>
    <w:p w14:paraId="5DB9E8F8" w14:textId="1152598F" w:rsidR="000F3472" w:rsidRPr="00316FF7" w:rsidRDefault="000F3472" w:rsidP="00212101">
      <w:pPr>
        <w:pStyle w:val="C-Heading4non-numbered"/>
        <w:rPr>
          <w:b w:val="0"/>
          <w:u w:val="single"/>
          <w:lang w:val="en-AU"/>
        </w:rPr>
      </w:pPr>
      <w:r w:rsidRPr="00316FF7">
        <w:rPr>
          <w:b w:val="0"/>
          <w:u w:val="single"/>
          <w:lang w:val="en-AU"/>
        </w:rPr>
        <w:t xml:space="preserve">Thromboembolic Disorders </w:t>
      </w:r>
      <w:r w:rsidR="00212101" w:rsidRPr="00316FF7">
        <w:rPr>
          <w:b w:val="0"/>
          <w:u w:val="single"/>
          <w:lang w:val="en-AU"/>
        </w:rPr>
        <w:t xml:space="preserve">and </w:t>
      </w:r>
      <w:r w:rsidRPr="00316FF7">
        <w:rPr>
          <w:b w:val="0"/>
          <w:u w:val="single"/>
          <w:lang w:val="en-AU"/>
        </w:rPr>
        <w:t>Other Vascular Problems</w:t>
      </w:r>
    </w:p>
    <w:p w14:paraId="402B5E37" w14:textId="77777777" w:rsidR="001549E2" w:rsidRPr="00316FF7" w:rsidRDefault="001549E2" w:rsidP="00116CFB">
      <w:pPr>
        <w:pStyle w:val="C-BodyText"/>
        <w:numPr>
          <w:ilvl w:val="0"/>
          <w:numId w:val="21"/>
        </w:numPr>
        <w:rPr>
          <w:lang w:val="en-AU"/>
        </w:rPr>
      </w:pPr>
      <w:r w:rsidRPr="00316FF7">
        <w:rPr>
          <w:lang w:val="en-AU"/>
        </w:rPr>
        <w:t xml:space="preserve">Stop </w:t>
      </w:r>
      <w:r w:rsidR="00F12FE1" w:rsidRPr="00316FF7">
        <w:rPr>
          <w:lang w:val="en-AU"/>
        </w:rPr>
        <w:t>NEXTSTELLIS</w:t>
      </w:r>
      <w:r w:rsidRPr="00316FF7">
        <w:rPr>
          <w:lang w:val="en-AU"/>
        </w:rPr>
        <w:t xml:space="preserve"> if an arterial or venous thrombotic/thromboembolic event occurs.</w:t>
      </w:r>
    </w:p>
    <w:p w14:paraId="5ACA41F0" w14:textId="77777777" w:rsidR="001549E2" w:rsidRPr="00316FF7" w:rsidRDefault="001549E2" w:rsidP="00116CFB">
      <w:pPr>
        <w:pStyle w:val="C-BodyText"/>
        <w:numPr>
          <w:ilvl w:val="0"/>
          <w:numId w:val="21"/>
        </w:numPr>
        <w:rPr>
          <w:lang w:val="en-AU"/>
        </w:rPr>
      </w:pPr>
      <w:r w:rsidRPr="00316FF7">
        <w:rPr>
          <w:lang w:val="en-AU"/>
        </w:rPr>
        <w:lastRenderedPageBreak/>
        <w:t xml:space="preserve">Stop </w:t>
      </w:r>
      <w:r w:rsidR="00F12FE1" w:rsidRPr="00316FF7">
        <w:rPr>
          <w:lang w:val="en-AU"/>
        </w:rPr>
        <w:t>NEXTSTELLIS</w:t>
      </w:r>
      <w:r w:rsidRPr="00316FF7">
        <w:rPr>
          <w:lang w:val="en-AU"/>
        </w:rPr>
        <w:t xml:space="preserve"> if there is unexplained loss of vision, proptosis, diplopia, papilledema, or retinal vascular lesions and evaluate for retinal vein thrombosis immediately.</w:t>
      </w:r>
    </w:p>
    <w:p w14:paraId="1C508BDA" w14:textId="77777777" w:rsidR="001549E2" w:rsidRPr="00316FF7" w:rsidRDefault="001549E2" w:rsidP="00116CFB">
      <w:pPr>
        <w:pStyle w:val="C-BodyText"/>
        <w:numPr>
          <w:ilvl w:val="0"/>
          <w:numId w:val="21"/>
        </w:numPr>
        <w:rPr>
          <w:lang w:val="en-AU"/>
        </w:rPr>
      </w:pPr>
      <w:r w:rsidRPr="00316FF7">
        <w:rPr>
          <w:lang w:val="en-AU"/>
        </w:rPr>
        <w:t xml:space="preserve">Discontinue </w:t>
      </w:r>
      <w:r w:rsidR="00F12FE1" w:rsidRPr="00316FF7">
        <w:rPr>
          <w:lang w:val="en-AU"/>
        </w:rPr>
        <w:t>NEXTSTELLIS</w:t>
      </w:r>
      <w:r w:rsidRPr="00316FF7">
        <w:rPr>
          <w:lang w:val="en-AU"/>
        </w:rPr>
        <w:t xml:space="preserve"> during prolonged immobili</w:t>
      </w:r>
      <w:r w:rsidR="00D77335" w:rsidRPr="00316FF7">
        <w:rPr>
          <w:lang w:val="en-AU"/>
        </w:rPr>
        <w:t>s</w:t>
      </w:r>
      <w:r w:rsidRPr="00316FF7">
        <w:rPr>
          <w:lang w:val="en-AU"/>
        </w:rPr>
        <w:t xml:space="preserve">ation. If feasible, stop </w:t>
      </w:r>
      <w:r w:rsidR="00F12FE1" w:rsidRPr="00316FF7">
        <w:rPr>
          <w:lang w:val="en-AU"/>
        </w:rPr>
        <w:t>NEXTSTELLIS</w:t>
      </w:r>
      <w:r w:rsidRPr="00316FF7">
        <w:rPr>
          <w:lang w:val="en-AU"/>
        </w:rPr>
        <w:t xml:space="preserve"> at least four weeks before and through two weeks after major surgery, or other surgeries known to have an elevated risk of thromboembolism.</w:t>
      </w:r>
    </w:p>
    <w:p w14:paraId="5911E0BE" w14:textId="77777777" w:rsidR="001549E2" w:rsidRPr="00316FF7" w:rsidRDefault="001549E2" w:rsidP="00116CFB">
      <w:pPr>
        <w:pStyle w:val="C-BodyText"/>
        <w:numPr>
          <w:ilvl w:val="0"/>
          <w:numId w:val="21"/>
        </w:numPr>
        <w:rPr>
          <w:lang w:val="en-AU"/>
        </w:rPr>
      </w:pPr>
      <w:r w:rsidRPr="00316FF7">
        <w:rPr>
          <w:lang w:val="en-AU"/>
        </w:rPr>
        <w:t xml:space="preserve">Start </w:t>
      </w:r>
      <w:r w:rsidR="00F12FE1" w:rsidRPr="00316FF7">
        <w:rPr>
          <w:lang w:val="en-AU"/>
        </w:rPr>
        <w:t>NEXTSTELLIS</w:t>
      </w:r>
      <w:r w:rsidRPr="00316FF7">
        <w:rPr>
          <w:lang w:val="en-AU"/>
        </w:rPr>
        <w:t xml:space="preserve"> no earlier than four weeks after delivery in women who are not breast feeding. The risk of postpartum thromboembolism decreases after the third postpartum week, whereas the likelihood of ovulation increases after the third postpartum week.</w:t>
      </w:r>
    </w:p>
    <w:p w14:paraId="1DE7BBDB" w14:textId="3FA71781" w:rsidR="001549E2" w:rsidRPr="00316FF7" w:rsidRDefault="001549E2" w:rsidP="00116CFB">
      <w:pPr>
        <w:pStyle w:val="C-BodyText"/>
        <w:numPr>
          <w:ilvl w:val="0"/>
          <w:numId w:val="21"/>
        </w:numPr>
        <w:rPr>
          <w:lang w:val="en-AU"/>
        </w:rPr>
      </w:pPr>
      <w:r w:rsidRPr="00316FF7">
        <w:rPr>
          <w:lang w:val="en-AU"/>
        </w:rPr>
        <w:t xml:space="preserve">Before starting </w:t>
      </w:r>
      <w:r w:rsidR="00F12FE1" w:rsidRPr="00316FF7">
        <w:rPr>
          <w:lang w:val="en-AU"/>
        </w:rPr>
        <w:t>NEXTSTELLIS</w:t>
      </w:r>
      <w:r w:rsidRPr="00316FF7">
        <w:rPr>
          <w:lang w:val="en-AU"/>
        </w:rPr>
        <w:t xml:space="preserve">, evaluate any past medical history or family history of thrombotic or thromboembolic disorders and consider whether the history suggests an inherited or acquired hypercoagulopathy. </w:t>
      </w:r>
      <w:r w:rsidR="00F12FE1" w:rsidRPr="00316FF7">
        <w:rPr>
          <w:lang w:val="en-AU"/>
        </w:rPr>
        <w:t>NEXTSTELLIS</w:t>
      </w:r>
      <w:r w:rsidRPr="00316FF7">
        <w:rPr>
          <w:lang w:val="en-AU"/>
        </w:rPr>
        <w:t xml:space="preserve"> is contraindicated in females with a high risk of arterial or venous thrombotic/thromboembolic diseases</w:t>
      </w:r>
      <w:r w:rsidR="00126732" w:rsidRPr="00316FF7">
        <w:rPr>
          <w:lang w:val="en-AU"/>
        </w:rPr>
        <w:t xml:space="preserve"> (see </w:t>
      </w:r>
      <w:r w:rsidR="00126732" w:rsidRPr="00316FF7">
        <w:rPr>
          <w:i/>
          <w:lang w:val="en-AU"/>
        </w:rPr>
        <w:t>section 4.3 Contraindications</w:t>
      </w:r>
      <w:r w:rsidR="00126732" w:rsidRPr="00316FF7">
        <w:rPr>
          <w:lang w:val="en-AU"/>
        </w:rPr>
        <w:t>).</w:t>
      </w:r>
    </w:p>
    <w:p w14:paraId="236E9583" w14:textId="49996B51" w:rsidR="005D09FD" w:rsidRPr="00316FF7" w:rsidRDefault="00212101" w:rsidP="00212101">
      <w:pPr>
        <w:pStyle w:val="C-Heading4non-numbered"/>
        <w:rPr>
          <w:b w:val="0"/>
          <w:u w:val="single"/>
          <w:lang w:val="en-AU"/>
        </w:rPr>
      </w:pPr>
      <w:r w:rsidRPr="00316FF7">
        <w:rPr>
          <w:b w:val="0"/>
          <w:u w:val="single"/>
          <w:lang w:val="en-AU"/>
        </w:rPr>
        <w:t>Arterial Events</w:t>
      </w:r>
    </w:p>
    <w:p w14:paraId="5E1E8A70" w14:textId="4AF02EBB" w:rsidR="001549E2" w:rsidRPr="00316FF7" w:rsidRDefault="001549E2" w:rsidP="001549E2">
      <w:pPr>
        <w:pStyle w:val="C-BodyText"/>
        <w:rPr>
          <w:lang w:val="en-AU"/>
        </w:rPr>
      </w:pPr>
      <w:r w:rsidRPr="00316FF7">
        <w:rPr>
          <w:lang w:val="en-AU"/>
        </w:rPr>
        <w:t xml:space="preserve">COCs increase the risk of cardiovascular events and cerebrovascular events, such as myocardial infarction and stroke. The risk is greater among older women (&gt; 35 years of age), smokers, and females with hypertension, </w:t>
      </w:r>
      <w:r w:rsidR="00D77335" w:rsidRPr="00316FF7">
        <w:rPr>
          <w:lang w:val="en-AU"/>
        </w:rPr>
        <w:t>dyslipidaemia</w:t>
      </w:r>
      <w:r w:rsidRPr="00316FF7">
        <w:rPr>
          <w:lang w:val="en-AU"/>
        </w:rPr>
        <w:t>, diabetes, or obesity. Cigarette smoking increases the risk of serious cardiovascular events from COC use. This risk increases with age, particularly in women over 35 years of age, and with the number of cigarettes smoked.</w:t>
      </w:r>
    </w:p>
    <w:p w14:paraId="3792620C" w14:textId="124C32A6" w:rsidR="005B4DA5" w:rsidRPr="00316FF7" w:rsidRDefault="005B4DA5" w:rsidP="005B4DA5">
      <w:pPr>
        <w:pStyle w:val="C-Heading5non-numbered"/>
        <w:rPr>
          <w:b w:val="0"/>
          <w:i/>
          <w:lang w:val="en-AU"/>
        </w:rPr>
      </w:pPr>
      <w:r w:rsidRPr="00316FF7">
        <w:rPr>
          <w:b w:val="0"/>
          <w:i/>
          <w:lang w:val="en-AU"/>
        </w:rPr>
        <w:t>Symptoms of ATE</w:t>
      </w:r>
    </w:p>
    <w:p w14:paraId="3FEF8F98" w14:textId="13335B6A" w:rsidR="005B4DA5" w:rsidRPr="00316FF7" w:rsidRDefault="005B4DA5" w:rsidP="005B4DA5">
      <w:pPr>
        <w:pStyle w:val="C-BodyText"/>
        <w:rPr>
          <w:lang w:val="en-AU"/>
        </w:rPr>
      </w:pPr>
      <w:r w:rsidRPr="00316FF7">
        <w:rPr>
          <w:lang w:val="en-AU"/>
        </w:rPr>
        <w:t>In the event of symptoms women should be advised to seek urgent medical attention and to inform the healthcare professional that she is taking a COC.</w:t>
      </w:r>
    </w:p>
    <w:p w14:paraId="02BEA78C" w14:textId="77777777" w:rsidR="005B4DA5" w:rsidRPr="00316FF7" w:rsidRDefault="005B4DA5" w:rsidP="005B4DA5">
      <w:pPr>
        <w:pStyle w:val="C-BodyText"/>
        <w:rPr>
          <w:lang w:val="en-AU"/>
        </w:rPr>
      </w:pPr>
      <w:r w:rsidRPr="00316FF7">
        <w:rPr>
          <w:lang w:val="en-AU"/>
        </w:rPr>
        <w:t>Symptoms of a cerebrovascular accident can include:</w:t>
      </w:r>
    </w:p>
    <w:p w14:paraId="672E4E2B" w14:textId="6C8632D4" w:rsidR="005B4DA5" w:rsidRPr="00316FF7" w:rsidRDefault="005B4DA5" w:rsidP="00A638BD">
      <w:pPr>
        <w:pStyle w:val="C-BodyText"/>
        <w:numPr>
          <w:ilvl w:val="0"/>
          <w:numId w:val="29"/>
        </w:numPr>
        <w:rPr>
          <w:lang w:val="en-AU"/>
        </w:rPr>
      </w:pPr>
      <w:r w:rsidRPr="00316FF7">
        <w:rPr>
          <w:lang w:val="en-AU"/>
        </w:rPr>
        <w:t xml:space="preserve">sudden numbness or weakness of the face, arm or leg, especially on one side of the </w:t>
      </w:r>
      <w:proofErr w:type="gramStart"/>
      <w:r w:rsidRPr="00316FF7">
        <w:rPr>
          <w:lang w:val="en-AU"/>
        </w:rPr>
        <w:t>body;</w:t>
      </w:r>
      <w:proofErr w:type="gramEnd"/>
    </w:p>
    <w:p w14:paraId="7679BD2F" w14:textId="1415D7F9" w:rsidR="005B4DA5" w:rsidRPr="00316FF7" w:rsidRDefault="005B4DA5" w:rsidP="00A638BD">
      <w:pPr>
        <w:pStyle w:val="C-BodyText"/>
        <w:numPr>
          <w:ilvl w:val="0"/>
          <w:numId w:val="29"/>
        </w:numPr>
        <w:rPr>
          <w:lang w:val="en-AU"/>
        </w:rPr>
      </w:pPr>
      <w:r w:rsidRPr="00316FF7">
        <w:rPr>
          <w:lang w:val="en-AU"/>
        </w:rPr>
        <w:t xml:space="preserve">sudden trouble walking, dizziness, loss of balance or </w:t>
      </w:r>
      <w:proofErr w:type="gramStart"/>
      <w:r w:rsidRPr="00316FF7">
        <w:rPr>
          <w:lang w:val="en-AU"/>
        </w:rPr>
        <w:t>coordination;</w:t>
      </w:r>
      <w:proofErr w:type="gramEnd"/>
    </w:p>
    <w:p w14:paraId="375BA4B1" w14:textId="250B199D" w:rsidR="005B4DA5" w:rsidRPr="00316FF7" w:rsidRDefault="005B4DA5" w:rsidP="00A638BD">
      <w:pPr>
        <w:pStyle w:val="C-BodyText"/>
        <w:numPr>
          <w:ilvl w:val="0"/>
          <w:numId w:val="29"/>
        </w:numPr>
        <w:rPr>
          <w:lang w:val="en-AU"/>
        </w:rPr>
      </w:pPr>
      <w:r w:rsidRPr="00316FF7">
        <w:rPr>
          <w:lang w:val="en-AU"/>
        </w:rPr>
        <w:t xml:space="preserve">sudden confusion, trouble speaking or </w:t>
      </w:r>
      <w:proofErr w:type="gramStart"/>
      <w:r w:rsidRPr="00316FF7">
        <w:rPr>
          <w:lang w:val="en-AU"/>
        </w:rPr>
        <w:t>understanding;</w:t>
      </w:r>
      <w:proofErr w:type="gramEnd"/>
    </w:p>
    <w:p w14:paraId="51C9F470" w14:textId="35E271AE" w:rsidR="005B4DA5" w:rsidRPr="00316FF7" w:rsidRDefault="005B4DA5" w:rsidP="00A638BD">
      <w:pPr>
        <w:pStyle w:val="C-BodyText"/>
        <w:numPr>
          <w:ilvl w:val="0"/>
          <w:numId w:val="29"/>
        </w:numPr>
        <w:rPr>
          <w:lang w:val="en-AU"/>
        </w:rPr>
      </w:pPr>
      <w:r w:rsidRPr="00316FF7">
        <w:rPr>
          <w:lang w:val="en-AU"/>
        </w:rPr>
        <w:t xml:space="preserve">sudden trouble seeing in one or both </w:t>
      </w:r>
      <w:proofErr w:type="gramStart"/>
      <w:r w:rsidRPr="00316FF7">
        <w:rPr>
          <w:lang w:val="en-AU"/>
        </w:rPr>
        <w:t>eyes;</w:t>
      </w:r>
      <w:proofErr w:type="gramEnd"/>
    </w:p>
    <w:p w14:paraId="4BB35A3B" w14:textId="4B2FEB4A" w:rsidR="005B4DA5" w:rsidRPr="00316FF7" w:rsidRDefault="005B4DA5" w:rsidP="00A638BD">
      <w:pPr>
        <w:pStyle w:val="C-BodyText"/>
        <w:numPr>
          <w:ilvl w:val="0"/>
          <w:numId w:val="29"/>
        </w:numPr>
        <w:rPr>
          <w:lang w:val="en-AU"/>
        </w:rPr>
      </w:pPr>
      <w:r w:rsidRPr="00316FF7">
        <w:rPr>
          <w:lang w:val="en-AU"/>
        </w:rPr>
        <w:t xml:space="preserve">sudden, severe or prolonged headache with no known </w:t>
      </w:r>
      <w:proofErr w:type="gramStart"/>
      <w:r w:rsidRPr="00316FF7">
        <w:rPr>
          <w:lang w:val="en-AU"/>
        </w:rPr>
        <w:t>cause;</w:t>
      </w:r>
      <w:proofErr w:type="gramEnd"/>
    </w:p>
    <w:p w14:paraId="3A9978B4" w14:textId="08624FE0" w:rsidR="005B4DA5" w:rsidRPr="00316FF7" w:rsidRDefault="005B4DA5" w:rsidP="00A638BD">
      <w:pPr>
        <w:pStyle w:val="C-BodyText"/>
        <w:numPr>
          <w:ilvl w:val="0"/>
          <w:numId w:val="29"/>
        </w:numPr>
        <w:rPr>
          <w:lang w:val="en-AU"/>
        </w:rPr>
      </w:pPr>
      <w:r w:rsidRPr="00316FF7">
        <w:rPr>
          <w:lang w:val="en-AU"/>
        </w:rPr>
        <w:t>loss of consciousness or fainting with or without seizure.</w:t>
      </w:r>
    </w:p>
    <w:p w14:paraId="38727991" w14:textId="2F3DB721" w:rsidR="005B4DA5" w:rsidRPr="00316FF7" w:rsidRDefault="005B4DA5" w:rsidP="005B4DA5">
      <w:pPr>
        <w:pStyle w:val="C-BodyText"/>
        <w:rPr>
          <w:lang w:val="en-AU"/>
        </w:rPr>
      </w:pPr>
      <w:r w:rsidRPr="00316FF7">
        <w:rPr>
          <w:lang w:val="en-AU"/>
        </w:rPr>
        <w:t>Temporary symptoms suggest the event is a TIA.</w:t>
      </w:r>
    </w:p>
    <w:p w14:paraId="31F02061" w14:textId="33231F13" w:rsidR="005B4DA5" w:rsidRPr="00316FF7" w:rsidRDefault="005B4DA5" w:rsidP="005B4DA5">
      <w:pPr>
        <w:pStyle w:val="C-BodyText"/>
        <w:rPr>
          <w:lang w:val="en-AU"/>
        </w:rPr>
      </w:pPr>
      <w:r w:rsidRPr="00316FF7">
        <w:rPr>
          <w:lang w:val="en-AU"/>
        </w:rPr>
        <w:t>Symptoms of myocardial infarction can include:</w:t>
      </w:r>
    </w:p>
    <w:p w14:paraId="6417040D" w14:textId="73CEA809" w:rsidR="005B4DA5" w:rsidRPr="00316FF7" w:rsidRDefault="005B4DA5" w:rsidP="00A638BD">
      <w:pPr>
        <w:pStyle w:val="C-BodyText"/>
        <w:numPr>
          <w:ilvl w:val="0"/>
          <w:numId w:val="30"/>
        </w:numPr>
        <w:rPr>
          <w:lang w:val="en-AU"/>
        </w:rPr>
      </w:pPr>
      <w:r w:rsidRPr="00316FF7">
        <w:rPr>
          <w:lang w:val="en-AU"/>
        </w:rPr>
        <w:lastRenderedPageBreak/>
        <w:t xml:space="preserve">pain, discomfort, pressure, heaviness, sensation of squeezing or fullness in the chest, arm, or below the </w:t>
      </w:r>
      <w:proofErr w:type="gramStart"/>
      <w:r w:rsidRPr="00316FF7">
        <w:rPr>
          <w:lang w:val="en-AU"/>
        </w:rPr>
        <w:t>breastbone;</w:t>
      </w:r>
      <w:proofErr w:type="gramEnd"/>
    </w:p>
    <w:p w14:paraId="62034641" w14:textId="5A116178" w:rsidR="005B4DA5" w:rsidRPr="00316FF7" w:rsidRDefault="005B4DA5" w:rsidP="00A638BD">
      <w:pPr>
        <w:pStyle w:val="C-BodyText"/>
        <w:numPr>
          <w:ilvl w:val="0"/>
          <w:numId w:val="30"/>
        </w:numPr>
        <w:rPr>
          <w:lang w:val="en-AU"/>
        </w:rPr>
      </w:pPr>
      <w:r w:rsidRPr="00316FF7">
        <w:rPr>
          <w:lang w:val="en-AU"/>
        </w:rPr>
        <w:t xml:space="preserve">discomfort radiating to the back, jaw, throat, arm, </w:t>
      </w:r>
      <w:proofErr w:type="gramStart"/>
      <w:r w:rsidRPr="00316FF7">
        <w:rPr>
          <w:lang w:val="en-AU"/>
        </w:rPr>
        <w:t>stomach;</w:t>
      </w:r>
      <w:proofErr w:type="gramEnd"/>
    </w:p>
    <w:p w14:paraId="32AB1C28" w14:textId="67D530B4" w:rsidR="005B4DA5" w:rsidRPr="00316FF7" w:rsidRDefault="005B4DA5" w:rsidP="00A638BD">
      <w:pPr>
        <w:pStyle w:val="C-BodyText"/>
        <w:numPr>
          <w:ilvl w:val="0"/>
          <w:numId w:val="30"/>
        </w:numPr>
        <w:rPr>
          <w:lang w:val="en-AU"/>
        </w:rPr>
      </w:pPr>
      <w:r w:rsidRPr="00316FF7">
        <w:rPr>
          <w:lang w:val="en-AU"/>
        </w:rPr>
        <w:t xml:space="preserve">feeling of being full, having indigestion or </w:t>
      </w:r>
      <w:proofErr w:type="gramStart"/>
      <w:r w:rsidRPr="00316FF7">
        <w:rPr>
          <w:lang w:val="en-AU"/>
        </w:rPr>
        <w:t>choking;</w:t>
      </w:r>
      <w:proofErr w:type="gramEnd"/>
    </w:p>
    <w:p w14:paraId="6963FDA0" w14:textId="49759EF4" w:rsidR="005B4DA5" w:rsidRPr="00316FF7" w:rsidRDefault="005B4DA5" w:rsidP="00A638BD">
      <w:pPr>
        <w:pStyle w:val="C-BodyText"/>
        <w:numPr>
          <w:ilvl w:val="0"/>
          <w:numId w:val="30"/>
        </w:numPr>
        <w:rPr>
          <w:lang w:val="en-AU"/>
        </w:rPr>
      </w:pPr>
      <w:r w:rsidRPr="00316FF7">
        <w:rPr>
          <w:lang w:val="en-AU"/>
        </w:rPr>
        <w:t xml:space="preserve">sweating, nausea or </w:t>
      </w:r>
      <w:proofErr w:type="gramStart"/>
      <w:r w:rsidRPr="00316FF7">
        <w:rPr>
          <w:lang w:val="en-AU"/>
        </w:rPr>
        <w:t>vomiting;</w:t>
      </w:r>
      <w:proofErr w:type="gramEnd"/>
    </w:p>
    <w:p w14:paraId="2BC60E77" w14:textId="77777777" w:rsidR="005B4DA5" w:rsidRPr="00316FF7" w:rsidRDefault="005B4DA5" w:rsidP="00A638BD">
      <w:pPr>
        <w:pStyle w:val="C-BodyText"/>
        <w:numPr>
          <w:ilvl w:val="0"/>
          <w:numId w:val="30"/>
        </w:numPr>
        <w:rPr>
          <w:lang w:val="en-AU"/>
        </w:rPr>
      </w:pPr>
      <w:r w:rsidRPr="00316FF7">
        <w:rPr>
          <w:lang w:val="en-AU"/>
        </w:rPr>
        <w:t xml:space="preserve">extreme weakness, anxiety, or shortness of </w:t>
      </w:r>
      <w:proofErr w:type="gramStart"/>
      <w:r w:rsidRPr="00316FF7">
        <w:rPr>
          <w:lang w:val="en-AU"/>
        </w:rPr>
        <w:t>breath;</w:t>
      </w:r>
      <w:proofErr w:type="gramEnd"/>
    </w:p>
    <w:p w14:paraId="7B3DA5F4" w14:textId="2ECA8E69" w:rsidR="005B4DA5" w:rsidRPr="00316FF7" w:rsidRDefault="005B4DA5" w:rsidP="00A638BD">
      <w:pPr>
        <w:pStyle w:val="C-BodyText"/>
        <w:numPr>
          <w:ilvl w:val="0"/>
          <w:numId w:val="30"/>
        </w:numPr>
        <w:rPr>
          <w:lang w:val="en-AU"/>
        </w:rPr>
      </w:pPr>
      <w:r w:rsidRPr="00316FF7">
        <w:rPr>
          <w:lang w:val="en-AU"/>
        </w:rPr>
        <w:t>rapid or irregular heartbeats.</w:t>
      </w:r>
    </w:p>
    <w:p w14:paraId="4C3CB40D" w14:textId="49563E56" w:rsidR="005D09FD" w:rsidRPr="00316FF7" w:rsidRDefault="00212101" w:rsidP="00212101">
      <w:pPr>
        <w:pStyle w:val="C-Heading4non-numbered"/>
        <w:rPr>
          <w:b w:val="0"/>
          <w:u w:val="single"/>
          <w:lang w:val="en-AU"/>
        </w:rPr>
      </w:pPr>
      <w:r w:rsidRPr="00316FF7">
        <w:rPr>
          <w:b w:val="0"/>
          <w:u w:val="single"/>
          <w:lang w:val="en-AU"/>
        </w:rPr>
        <w:t>Venous Events</w:t>
      </w:r>
    </w:p>
    <w:p w14:paraId="54B1C846" w14:textId="13CC0476" w:rsidR="001549E2" w:rsidRPr="00316FF7" w:rsidRDefault="001549E2" w:rsidP="001549E2">
      <w:pPr>
        <w:pStyle w:val="C-BodyText"/>
        <w:rPr>
          <w:lang w:val="en-AU"/>
        </w:rPr>
      </w:pPr>
      <w:r w:rsidRPr="00316FF7">
        <w:rPr>
          <w:lang w:val="en-AU"/>
        </w:rPr>
        <w:t xml:space="preserve">Use of COCs increases the risk of venous thromboembolic events, such as deep vein thrombosis and pulmonary embolism. Risk factors for VTEs include smoking, obesity, and family history of VTE, in addition to other factors that contraindicate use of COCs </w:t>
      </w:r>
      <w:r w:rsidR="00126732" w:rsidRPr="00316FF7">
        <w:rPr>
          <w:lang w:val="en-AU"/>
        </w:rPr>
        <w:t xml:space="preserve">(see </w:t>
      </w:r>
      <w:r w:rsidR="00126732" w:rsidRPr="00316FF7">
        <w:rPr>
          <w:i/>
          <w:lang w:val="en-AU"/>
        </w:rPr>
        <w:t>section 4.3 Contraindications</w:t>
      </w:r>
      <w:r w:rsidR="00126732" w:rsidRPr="00316FF7">
        <w:rPr>
          <w:lang w:val="en-AU"/>
        </w:rPr>
        <w:t>)</w:t>
      </w:r>
      <w:r w:rsidRPr="00316FF7">
        <w:rPr>
          <w:lang w:val="en-AU"/>
        </w:rPr>
        <w:t>. While the increased risk of VTE associated with use of COCs is well established, the rates of VTE are even greater during pregnancy, and especially during the postpartum period (see Figure 1). The rate of VTE in females using COCs has been estimated to be 3 to 9 cases per 10,000 woman-years for COCs.</w:t>
      </w:r>
    </w:p>
    <w:p w14:paraId="435CFA40" w14:textId="77777777" w:rsidR="001549E2" w:rsidRPr="00316FF7" w:rsidRDefault="001549E2" w:rsidP="001549E2">
      <w:pPr>
        <w:pStyle w:val="C-BodyText"/>
        <w:rPr>
          <w:lang w:val="en-AU"/>
        </w:rPr>
      </w:pPr>
      <w:r w:rsidRPr="00316FF7">
        <w:rPr>
          <w:lang w:val="en-AU"/>
        </w:rPr>
        <w:t>The risk of VTE is highest during the first year of use of a COC and when restarting hormonal contraception after a break of four weeks or longer. Based on results from a few studies, there is some evidence that this is true for non-oral products as well. The risk of thromboembolic disease due to COCs gradually disappears after COC use is discontinued.</w:t>
      </w:r>
    </w:p>
    <w:p w14:paraId="60F93467" w14:textId="1EADB8BB" w:rsidR="001549E2" w:rsidRPr="00316FF7" w:rsidRDefault="00BE3AEE" w:rsidP="001549E2">
      <w:pPr>
        <w:pStyle w:val="C-BodyText"/>
        <w:rPr>
          <w:lang w:val="en-AU"/>
        </w:rPr>
      </w:pPr>
      <w:r w:rsidRPr="00316FF7">
        <w:rPr>
          <w:rStyle w:val="C-Hyperlink"/>
          <w:color w:val="auto"/>
          <w:lang w:val="en-AU"/>
        </w:rPr>
        <w:fldChar w:fldCharType="begin"/>
      </w:r>
      <w:r w:rsidRPr="00316FF7">
        <w:rPr>
          <w:rStyle w:val="C-Hyperlink"/>
          <w:color w:val="auto"/>
          <w:lang w:val="en-AU"/>
        </w:rPr>
        <w:instrText xml:space="preserve"> REF _Ref48299188 \h \* MERGEFORMAT </w:instrText>
      </w:r>
      <w:r w:rsidRPr="00316FF7">
        <w:rPr>
          <w:rStyle w:val="C-Hyperlink"/>
          <w:color w:val="auto"/>
          <w:lang w:val="en-AU"/>
        </w:rPr>
      </w:r>
      <w:r w:rsidRPr="00316FF7">
        <w:rPr>
          <w:rStyle w:val="C-Hyperlink"/>
          <w:color w:val="auto"/>
          <w:lang w:val="en-AU"/>
        </w:rPr>
        <w:fldChar w:fldCharType="separate"/>
      </w:r>
      <w:r w:rsidRPr="00316FF7">
        <w:rPr>
          <w:rStyle w:val="C-Hyperlink"/>
          <w:color w:val="auto"/>
          <w:lang w:val="en-AU"/>
        </w:rPr>
        <w:t>Figure 1</w:t>
      </w:r>
      <w:r w:rsidRPr="00316FF7">
        <w:rPr>
          <w:rStyle w:val="C-Hyperlink"/>
          <w:color w:val="auto"/>
          <w:lang w:val="en-AU"/>
        </w:rPr>
        <w:fldChar w:fldCharType="end"/>
      </w:r>
      <w:r w:rsidRPr="00316FF7">
        <w:rPr>
          <w:lang w:val="en-AU"/>
        </w:rPr>
        <w:t xml:space="preserve"> </w:t>
      </w:r>
      <w:r w:rsidR="001549E2" w:rsidRPr="00316FF7">
        <w:rPr>
          <w:lang w:val="en-AU"/>
        </w:rPr>
        <w:t>shows the risk of developing a VTE for women who are not pregnant and do not use COCs, for women who use COCs, for pregnant women, and for women in the postpartum period. To put the risk of developing a VTE into perspective: if 10,000 women who are not pregnant and do not use oral contraceptives are followed for one year, between 1 and 5 of these women will develop a VTE.</w:t>
      </w:r>
    </w:p>
    <w:p w14:paraId="0D73CE18" w14:textId="61B99FEE" w:rsidR="00BE3AEE" w:rsidRPr="00316FF7" w:rsidRDefault="00BE3AEE" w:rsidP="00BE3AEE">
      <w:pPr>
        <w:pStyle w:val="Caption"/>
        <w:rPr>
          <w:lang w:val="en-AU"/>
        </w:rPr>
      </w:pPr>
      <w:bookmarkStart w:id="1" w:name="_Ref48299188"/>
      <w:r w:rsidRPr="00316FF7">
        <w:rPr>
          <w:lang w:val="en-AU"/>
        </w:rPr>
        <w:lastRenderedPageBreak/>
        <w:t>Figure </w:t>
      </w:r>
      <w:r w:rsidRPr="00316FF7">
        <w:rPr>
          <w:lang w:val="en-AU"/>
        </w:rPr>
        <w:fldChar w:fldCharType="begin"/>
      </w:r>
      <w:r w:rsidRPr="00316FF7">
        <w:rPr>
          <w:lang w:val="en-AU"/>
        </w:rPr>
        <w:instrText xml:space="preserve"> SEQ Figure \* ARABIC \* MERGEFORMAT </w:instrText>
      </w:r>
      <w:r w:rsidRPr="00316FF7">
        <w:rPr>
          <w:lang w:val="en-AU"/>
        </w:rPr>
        <w:fldChar w:fldCharType="separate"/>
      </w:r>
      <w:r w:rsidR="009E6ED7" w:rsidRPr="00316FF7">
        <w:rPr>
          <w:noProof/>
          <w:lang w:val="en-AU"/>
        </w:rPr>
        <w:t>1</w:t>
      </w:r>
      <w:r w:rsidRPr="00316FF7">
        <w:rPr>
          <w:lang w:val="en-AU"/>
        </w:rPr>
        <w:fldChar w:fldCharType="end"/>
      </w:r>
      <w:bookmarkEnd w:id="1"/>
      <w:r w:rsidRPr="00316FF7">
        <w:rPr>
          <w:lang w:val="en-AU"/>
        </w:rPr>
        <w:t>:</w:t>
      </w:r>
      <w:r w:rsidRPr="00316FF7">
        <w:rPr>
          <w:lang w:val="en-AU"/>
        </w:rPr>
        <w:tab/>
        <w:t>Likelihood of Developing a VTE</w:t>
      </w:r>
    </w:p>
    <w:p w14:paraId="535C3460" w14:textId="27E12ABF" w:rsidR="001549E2" w:rsidRPr="00316FF7" w:rsidRDefault="001549E2" w:rsidP="001549E2">
      <w:pPr>
        <w:pStyle w:val="C-BodyText"/>
        <w:rPr>
          <w:lang w:val="en-AU"/>
        </w:rPr>
      </w:pPr>
      <w:r w:rsidRPr="00316FF7">
        <w:rPr>
          <w:noProof/>
          <w:lang w:val="en-AU"/>
        </w:rPr>
        <w:drawing>
          <wp:inline distT="0" distB="0" distL="0" distR="0" wp14:anchorId="046F8903" wp14:editId="4C3BEC07">
            <wp:extent cx="5486005" cy="3829050"/>
            <wp:effectExtent l="0" t="0" r="635" b="0"/>
            <wp:docPr id="410912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1">
                      <a:extLst>
                        <a:ext uri="{28A0092B-C50C-407E-A947-70E740481C1C}">
                          <a14:useLocalDpi xmlns:a14="http://schemas.microsoft.com/office/drawing/2010/main" val="0"/>
                        </a:ext>
                      </a:extLst>
                    </a:blip>
                    <a:srcRect t="5811"/>
                    <a:stretch/>
                  </pic:blipFill>
                  <pic:spPr bwMode="auto">
                    <a:xfrm>
                      <a:off x="0" y="0"/>
                      <a:ext cx="5486400" cy="3829326"/>
                    </a:xfrm>
                    <a:prstGeom prst="rect">
                      <a:avLst/>
                    </a:prstGeom>
                    <a:ln>
                      <a:noFill/>
                    </a:ln>
                    <a:extLst>
                      <a:ext uri="{53640926-AAD7-44D8-BBD7-CCE9431645EC}">
                        <a14:shadowObscured xmlns:a14="http://schemas.microsoft.com/office/drawing/2010/main"/>
                      </a:ext>
                    </a:extLst>
                  </pic:spPr>
                </pic:pic>
              </a:graphicData>
            </a:graphic>
          </wp:inline>
        </w:drawing>
      </w:r>
    </w:p>
    <w:p w14:paraId="340D78BA" w14:textId="36D9D8B9" w:rsidR="008D5813" w:rsidRPr="00316FF7" w:rsidRDefault="00886F0E" w:rsidP="00886F0E">
      <w:pPr>
        <w:pStyle w:val="C-BodyText"/>
        <w:rPr>
          <w:lang w:val="en-AU"/>
        </w:rPr>
      </w:pPr>
      <w:r w:rsidRPr="00316FF7">
        <w:rPr>
          <w:lang w:val="en-AU"/>
        </w:rPr>
        <w:t>Products that contain low-dose ethinylestradiol (&lt;50 microgram ethinylestradiol) combined with levonorgestrel, norgestimate or norethisterone are associated with the lowest risk of VTE. Based on clinical trial incidence and h</w:t>
      </w:r>
      <w:r w:rsidR="00D9763E" w:rsidRPr="00316FF7">
        <w:rPr>
          <w:lang w:val="en-AU"/>
        </w:rPr>
        <w:t>a</w:t>
      </w:r>
      <w:r w:rsidRPr="00316FF7">
        <w:rPr>
          <w:lang w:val="en-AU"/>
        </w:rPr>
        <w:t xml:space="preserve">emostatic profile, the risk of VTE with </w:t>
      </w:r>
      <w:r w:rsidR="00DD02EF">
        <w:rPr>
          <w:lang w:val="en-AU"/>
        </w:rPr>
        <w:t xml:space="preserve">NEXTSTELLIS </w:t>
      </w:r>
      <w:r w:rsidRPr="00316FF7">
        <w:rPr>
          <w:lang w:val="en-AU"/>
        </w:rPr>
        <w:t>is considered to be not higher than levonorgestrel-containing C</w:t>
      </w:r>
      <w:r w:rsidR="00DD02EF">
        <w:rPr>
          <w:lang w:val="en-AU"/>
        </w:rPr>
        <w:t>O</w:t>
      </w:r>
      <w:r w:rsidRPr="00316FF7">
        <w:rPr>
          <w:lang w:val="en-AU"/>
        </w:rPr>
        <w:t>Cs. The VTE risk is highest in the first ever year of C</w:t>
      </w:r>
      <w:r w:rsidR="00DD02EF">
        <w:rPr>
          <w:lang w:val="en-AU"/>
        </w:rPr>
        <w:t>O</w:t>
      </w:r>
      <w:r w:rsidRPr="00316FF7">
        <w:rPr>
          <w:lang w:val="en-AU"/>
        </w:rPr>
        <w:t>C use. There is also some evidence that the risk is increased when a C</w:t>
      </w:r>
      <w:r w:rsidR="00DD02EF">
        <w:rPr>
          <w:lang w:val="en-AU"/>
        </w:rPr>
        <w:t>O</w:t>
      </w:r>
      <w:r w:rsidRPr="00316FF7">
        <w:rPr>
          <w:lang w:val="en-AU"/>
        </w:rPr>
        <w:t>C is re-started after a break in use of 4 weeks or more</w:t>
      </w:r>
      <w:r w:rsidR="008D5813" w:rsidRPr="00316FF7">
        <w:rPr>
          <w:lang w:val="en-AU"/>
        </w:rPr>
        <w:t>.</w:t>
      </w:r>
    </w:p>
    <w:p w14:paraId="1352225E" w14:textId="5D93A9E7" w:rsidR="001549E2" w:rsidRPr="00316FF7" w:rsidRDefault="001549E2" w:rsidP="009E6ED7">
      <w:pPr>
        <w:pStyle w:val="C-BodyText"/>
        <w:rPr>
          <w:lang w:val="en-AU"/>
        </w:rPr>
      </w:pPr>
      <w:r w:rsidRPr="00316FF7">
        <w:rPr>
          <w:lang w:val="en-AU"/>
        </w:rPr>
        <w:t xml:space="preserve">Epidemiologic studies of </w:t>
      </w:r>
      <w:r w:rsidR="00F12FE1" w:rsidRPr="00316FF7">
        <w:rPr>
          <w:lang w:val="en-AU"/>
        </w:rPr>
        <w:t>NEXTSTELLIS</w:t>
      </w:r>
      <w:r w:rsidRPr="00316FF7">
        <w:rPr>
          <w:lang w:val="en-AU"/>
        </w:rPr>
        <w:t xml:space="preserve"> evaluating the risk of VTE in females of reproductive potential to prevent pregnancy have not been performed. In two large prospective studies </w:t>
      </w:r>
      <w:r w:rsidR="00AE1E04" w:rsidRPr="00316FF7">
        <w:rPr>
          <w:lang w:val="en-AU"/>
        </w:rPr>
        <w:t>(</w:t>
      </w:r>
      <w:r w:rsidR="00415621" w:rsidRPr="00316FF7">
        <w:rPr>
          <w:lang w:val="en-AU"/>
        </w:rPr>
        <w:t xml:space="preserve">n </w:t>
      </w:r>
      <w:r w:rsidR="00AE1E04" w:rsidRPr="00316FF7">
        <w:rPr>
          <w:lang w:val="en-AU"/>
        </w:rPr>
        <w:t>=</w:t>
      </w:r>
      <w:r w:rsidR="00415621" w:rsidRPr="00316FF7">
        <w:rPr>
          <w:lang w:val="en-AU"/>
        </w:rPr>
        <w:t xml:space="preserve"> </w:t>
      </w:r>
      <w:r w:rsidR="00AE1E04" w:rsidRPr="00316FF7">
        <w:rPr>
          <w:lang w:val="en-AU"/>
        </w:rPr>
        <w:t xml:space="preserve">3,632), </w:t>
      </w:r>
      <w:r w:rsidRPr="00316FF7">
        <w:rPr>
          <w:lang w:val="en-AU"/>
        </w:rPr>
        <w:t xml:space="preserve">one in Europe/Russia (NCT02817828; </w:t>
      </w:r>
      <w:r w:rsidR="00D27045" w:rsidRPr="00316FF7">
        <w:rPr>
          <w:lang w:val="en-AU"/>
        </w:rPr>
        <w:t>C301</w:t>
      </w:r>
      <w:r w:rsidRPr="00316FF7">
        <w:rPr>
          <w:lang w:val="en-AU"/>
        </w:rPr>
        <w:t xml:space="preserve">) and one in North America (NCT02817841; C302) </w:t>
      </w:r>
      <w:r w:rsidR="00C84DF8" w:rsidRPr="00316FF7">
        <w:rPr>
          <w:lang w:val="en-AU"/>
        </w:rPr>
        <w:t xml:space="preserve">on the </w:t>
      </w:r>
      <w:r w:rsidR="00415621" w:rsidRPr="00316FF7">
        <w:rPr>
          <w:lang w:val="en-AU"/>
        </w:rPr>
        <w:t>us</w:t>
      </w:r>
      <w:r w:rsidR="00C84DF8" w:rsidRPr="00316FF7">
        <w:rPr>
          <w:lang w:val="en-AU"/>
        </w:rPr>
        <w:t>e of</w:t>
      </w:r>
      <w:r w:rsidR="00415621" w:rsidRPr="00316FF7">
        <w:rPr>
          <w:lang w:val="en-AU"/>
        </w:rPr>
        <w:t xml:space="preserve"> </w:t>
      </w:r>
      <w:r w:rsidR="00F12FE1" w:rsidRPr="00316FF7">
        <w:rPr>
          <w:lang w:val="en-AU"/>
        </w:rPr>
        <w:t>NEXTSTELLIS</w:t>
      </w:r>
      <w:r w:rsidRPr="00316FF7">
        <w:rPr>
          <w:lang w:val="en-AU"/>
        </w:rPr>
        <w:t xml:space="preserve"> for the prevention of pregnancy in women 16-50 years of age, there was one reported VTE in the Europe/Russia study, giving an annual incidence rate of 3.66 per 10,000 women/year. In a Phase 2 study comparing </w:t>
      </w:r>
      <w:r w:rsidR="00F12FE1" w:rsidRPr="00316FF7">
        <w:rPr>
          <w:lang w:val="en-AU"/>
        </w:rPr>
        <w:t>NEXTSTELLIS</w:t>
      </w:r>
      <w:r w:rsidRPr="00316FF7">
        <w:rPr>
          <w:lang w:val="en-AU"/>
        </w:rPr>
        <w:t xml:space="preserve"> (n = 38) to a COC containing ethinylestradiol 30 µg/levonorgestrel 150 µg (n = 29) and </w:t>
      </w:r>
      <w:r w:rsidR="00372DFD" w:rsidRPr="00316FF7">
        <w:rPr>
          <w:lang w:val="en-AU"/>
        </w:rPr>
        <w:t xml:space="preserve">ethinylestradiol </w:t>
      </w:r>
      <w:r w:rsidRPr="00316FF7">
        <w:rPr>
          <w:lang w:val="en-AU"/>
        </w:rPr>
        <w:t>20 µg/</w:t>
      </w:r>
      <w:r w:rsidR="00B27C0A" w:rsidRPr="00316FF7">
        <w:rPr>
          <w:lang w:val="en-AU"/>
        </w:rPr>
        <w:t xml:space="preserve">drospirenone </w:t>
      </w:r>
      <w:r w:rsidRPr="00316FF7">
        <w:rPr>
          <w:lang w:val="en-AU"/>
        </w:rPr>
        <w:t xml:space="preserve">3 mg (n = 31) over 6 cycles, </w:t>
      </w:r>
      <w:r w:rsidR="00F12FE1" w:rsidRPr="00316FF7">
        <w:rPr>
          <w:lang w:val="en-AU"/>
        </w:rPr>
        <w:t>NEXTSTELLIS</w:t>
      </w:r>
      <w:r w:rsidRPr="00316FF7">
        <w:rPr>
          <w:lang w:val="en-AU"/>
        </w:rPr>
        <w:t xml:space="preserve"> did not result in significant changes from baseline in any of the tested </w:t>
      </w:r>
      <w:r w:rsidR="00D77335" w:rsidRPr="00316FF7">
        <w:rPr>
          <w:lang w:val="en-AU"/>
        </w:rPr>
        <w:t>haemostatic</w:t>
      </w:r>
      <w:r w:rsidRPr="00316FF7">
        <w:rPr>
          <w:lang w:val="en-AU"/>
        </w:rPr>
        <w:t xml:space="preserve"> parameters. </w:t>
      </w:r>
      <w:r w:rsidR="00F12FE1" w:rsidRPr="00316FF7">
        <w:rPr>
          <w:lang w:val="en-AU"/>
        </w:rPr>
        <w:t>NEXTSTELLIS</w:t>
      </w:r>
      <w:r w:rsidRPr="00316FF7">
        <w:rPr>
          <w:lang w:val="en-AU"/>
        </w:rPr>
        <w:t xml:space="preserve"> was associated with smaller percentage change from baseline compared to </w:t>
      </w:r>
      <w:r w:rsidR="00372DFD" w:rsidRPr="00316FF7">
        <w:rPr>
          <w:lang w:val="en-AU"/>
        </w:rPr>
        <w:t>ethinylestradiol</w:t>
      </w:r>
      <w:r w:rsidRPr="00316FF7">
        <w:rPr>
          <w:lang w:val="en-AU"/>
        </w:rPr>
        <w:t>/</w:t>
      </w:r>
      <w:r w:rsidR="000238B7" w:rsidRPr="00316FF7">
        <w:rPr>
          <w:lang w:val="en-AU"/>
        </w:rPr>
        <w:t xml:space="preserve">levonorgestrel </w:t>
      </w:r>
      <w:r w:rsidRPr="00316FF7">
        <w:rPr>
          <w:lang w:val="en-AU"/>
        </w:rPr>
        <w:t xml:space="preserve">for the pro-coagulation factors ETP-based activated protein C resistance (30% vs 164%) and prothrombin fragments 1+2 (23% vs 71%) whereas both </w:t>
      </w:r>
      <w:r w:rsidR="00F12FE1" w:rsidRPr="00316FF7">
        <w:rPr>
          <w:lang w:val="en-AU"/>
        </w:rPr>
        <w:t>NEXTSTELLIS</w:t>
      </w:r>
      <w:r w:rsidRPr="00316FF7">
        <w:rPr>
          <w:lang w:val="en-AU"/>
        </w:rPr>
        <w:t xml:space="preserve"> and </w:t>
      </w:r>
      <w:r w:rsidR="00984362" w:rsidRPr="00316FF7">
        <w:rPr>
          <w:lang w:val="en-AU"/>
        </w:rPr>
        <w:lastRenderedPageBreak/>
        <w:t>ethinylestradiol</w:t>
      </w:r>
      <w:r w:rsidRPr="00316FF7">
        <w:rPr>
          <w:lang w:val="en-AU"/>
        </w:rPr>
        <w:t>/</w:t>
      </w:r>
      <w:r w:rsidR="000238B7" w:rsidRPr="00316FF7">
        <w:rPr>
          <w:lang w:val="en-AU"/>
        </w:rPr>
        <w:t xml:space="preserve">levonorgestrel </w:t>
      </w:r>
      <w:r w:rsidRPr="00316FF7">
        <w:rPr>
          <w:lang w:val="en-AU"/>
        </w:rPr>
        <w:t xml:space="preserve">had limited effect on Factor VII (-3% vs -5%), factor VIII (5% vs 3%), prothrombin (7% vs 13%) and APTT-based activated protein C resistance (0% vs 5%). The anti-coagulation factors were minimally affected by both </w:t>
      </w:r>
      <w:r w:rsidR="00F12FE1" w:rsidRPr="00316FF7">
        <w:rPr>
          <w:lang w:val="en-AU"/>
        </w:rPr>
        <w:t>NEXTSTELLIS</w:t>
      </w:r>
      <w:r w:rsidRPr="00316FF7">
        <w:rPr>
          <w:lang w:val="en-AU"/>
        </w:rPr>
        <w:t xml:space="preserve"> and </w:t>
      </w:r>
      <w:r w:rsidR="00984362" w:rsidRPr="00316FF7">
        <w:rPr>
          <w:lang w:val="en-AU"/>
        </w:rPr>
        <w:t>ethinylestradiol</w:t>
      </w:r>
      <w:r w:rsidRPr="00316FF7">
        <w:rPr>
          <w:lang w:val="en-AU"/>
        </w:rPr>
        <w:t>/</w:t>
      </w:r>
      <w:r w:rsidR="000238B7" w:rsidRPr="00316FF7">
        <w:rPr>
          <w:lang w:val="en-AU"/>
        </w:rPr>
        <w:t>levonorgestrel</w:t>
      </w:r>
      <w:r w:rsidRPr="00316FF7">
        <w:rPr>
          <w:lang w:val="en-AU"/>
        </w:rPr>
        <w:t xml:space="preserve">: antithrombin (1% vs -5%), protein S (-4% vs -5%), free protein S (5% vs -3%) and protein C (2% vs 7%). The fibrinolytic parameters D-dimer was minimally changed from baseline with </w:t>
      </w:r>
      <w:r w:rsidR="00F12FE1" w:rsidRPr="00316FF7">
        <w:rPr>
          <w:lang w:val="en-AU"/>
        </w:rPr>
        <w:t>NEXTSTELLIS</w:t>
      </w:r>
      <w:r w:rsidRPr="00316FF7">
        <w:rPr>
          <w:lang w:val="en-AU"/>
        </w:rPr>
        <w:t xml:space="preserve"> (4%) vs </w:t>
      </w:r>
      <w:r w:rsidR="00984362" w:rsidRPr="00316FF7">
        <w:rPr>
          <w:lang w:val="en-AU"/>
        </w:rPr>
        <w:t>ethinylestradiol</w:t>
      </w:r>
      <w:r w:rsidRPr="00316FF7">
        <w:rPr>
          <w:lang w:val="en-AU"/>
        </w:rPr>
        <w:t>/</w:t>
      </w:r>
      <w:r w:rsidR="000238B7" w:rsidRPr="00316FF7">
        <w:rPr>
          <w:lang w:val="en-AU"/>
        </w:rPr>
        <w:t xml:space="preserve">levonorgestrel </w:t>
      </w:r>
      <w:r w:rsidRPr="00316FF7">
        <w:rPr>
          <w:lang w:val="en-AU"/>
        </w:rPr>
        <w:t xml:space="preserve">(7%). </w:t>
      </w:r>
      <w:r w:rsidR="00AE08D2" w:rsidRPr="00316FF7">
        <w:rPr>
          <w:lang w:val="en-AU"/>
        </w:rPr>
        <w:t>E</w:t>
      </w:r>
      <w:r w:rsidR="00984362" w:rsidRPr="00316FF7">
        <w:rPr>
          <w:lang w:val="en-AU"/>
        </w:rPr>
        <w:t>thinylestradiol</w:t>
      </w:r>
      <w:r w:rsidRPr="00316FF7">
        <w:rPr>
          <w:lang w:val="en-AU"/>
        </w:rPr>
        <w:t>/</w:t>
      </w:r>
      <w:r w:rsidR="00B27C0A" w:rsidRPr="00316FF7">
        <w:rPr>
          <w:lang w:val="en-AU"/>
        </w:rPr>
        <w:t xml:space="preserve">drospirenone </w:t>
      </w:r>
      <w:r w:rsidRPr="00316FF7">
        <w:rPr>
          <w:lang w:val="en-AU"/>
        </w:rPr>
        <w:t xml:space="preserve">had an overall greater impact on </w:t>
      </w:r>
      <w:r w:rsidR="00D77335" w:rsidRPr="00316FF7">
        <w:rPr>
          <w:lang w:val="en-AU"/>
        </w:rPr>
        <w:t>haemostasis</w:t>
      </w:r>
      <w:r w:rsidRPr="00316FF7">
        <w:rPr>
          <w:lang w:val="en-AU"/>
        </w:rPr>
        <w:t xml:space="preserve"> markers than </w:t>
      </w:r>
      <w:r w:rsidR="00F12FE1" w:rsidRPr="00316FF7">
        <w:rPr>
          <w:lang w:val="en-AU"/>
        </w:rPr>
        <w:t>NEXTSTELLIS</w:t>
      </w:r>
      <w:r w:rsidRPr="00316FF7">
        <w:rPr>
          <w:lang w:val="en-AU"/>
        </w:rPr>
        <w:t xml:space="preserve"> and </w:t>
      </w:r>
      <w:r w:rsidR="00984362" w:rsidRPr="00316FF7">
        <w:rPr>
          <w:lang w:val="en-AU"/>
        </w:rPr>
        <w:t>ethinylestradiol</w:t>
      </w:r>
      <w:r w:rsidRPr="00316FF7">
        <w:rPr>
          <w:lang w:val="en-AU"/>
        </w:rPr>
        <w:t>/</w:t>
      </w:r>
      <w:r w:rsidR="000238B7" w:rsidRPr="00316FF7">
        <w:rPr>
          <w:lang w:val="en-AU"/>
        </w:rPr>
        <w:t>levonorgestrel</w:t>
      </w:r>
      <w:r w:rsidRPr="00316FF7">
        <w:rPr>
          <w:lang w:val="en-AU"/>
        </w:rPr>
        <w:t>.</w:t>
      </w:r>
    </w:p>
    <w:p w14:paraId="2CE920F6" w14:textId="0A51E719" w:rsidR="00BB50C2" w:rsidRPr="00316FF7" w:rsidRDefault="00BB50C2" w:rsidP="00BB50C2">
      <w:pPr>
        <w:pStyle w:val="C-Heading5non-numbered"/>
        <w:rPr>
          <w:b w:val="0"/>
          <w:i/>
          <w:lang w:val="en-AU"/>
        </w:rPr>
      </w:pPr>
      <w:r w:rsidRPr="00316FF7">
        <w:rPr>
          <w:b w:val="0"/>
          <w:i/>
          <w:lang w:val="en-AU"/>
        </w:rPr>
        <w:t>Symptoms of VTE (DVT and PE)</w:t>
      </w:r>
    </w:p>
    <w:p w14:paraId="30053623" w14:textId="168D19B4" w:rsidR="00BB50C2" w:rsidRPr="00316FF7" w:rsidRDefault="00BB50C2" w:rsidP="00BB50C2">
      <w:pPr>
        <w:pStyle w:val="C-BodyText"/>
        <w:rPr>
          <w:lang w:val="en-AU"/>
        </w:rPr>
      </w:pPr>
      <w:r w:rsidRPr="00316FF7">
        <w:rPr>
          <w:lang w:val="en-AU"/>
        </w:rPr>
        <w:t>In the event of symptoms, women should be advised to seek urgent medical attention and to inform the healthcare professional that she is taking a C</w:t>
      </w:r>
      <w:r w:rsidR="005B4DA5" w:rsidRPr="00316FF7">
        <w:rPr>
          <w:lang w:val="en-AU"/>
        </w:rPr>
        <w:t>O</w:t>
      </w:r>
      <w:r w:rsidRPr="00316FF7">
        <w:rPr>
          <w:lang w:val="en-AU"/>
        </w:rPr>
        <w:t>C.</w:t>
      </w:r>
    </w:p>
    <w:p w14:paraId="5AD9AF93" w14:textId="05E53766" w:rsidR="005B4DA5" w:rsidRPr="00316FF7" w:rsidRDefault="005B4DA5" w:rsidP="005B4DA5">
      <w:pPr>
        <w:pStyle w:val="C-Heading5non-numbered"/>
        <w:rPr>
          <w:b w:val="0"/>
          <w:i/>
          <w:lang w:val="en-AU"/>
        </w:rPr>
      </w:pPr>
      <w:r w:rsidRPr="00316FF7">
        <w:rPr>
          <w:b w:val="0"/>
          <w:i/>
          <w:lang w:val="en-AU"/>
        </w:rPr>
        <w:t>Symptoms of DVT can include</w:t>
      </w:r>
    </w:p>
    <w:p w14:paraId="7A7AEBA9" w14:textId="0C259318" w:rsidR="00BB50C2" w:rsidRPr="00316FF7" w:rsidRDefault="00BB50C2" w:rsidP="00A638BD">
      <w:pPr>
        <w:pStyle w:val="C-BodyText"/>
        <w:numPr>
          <w:ilvl w:val="0"/>
          <w:numId w:val="31"/>
        </w:numPr>
        <w:rPr>
          <w:lang w:val="en-AU"/>
        </w:rPr>
      </w:pPr>
      <w:r w:rsidRPr="00316FF7">
        <w:rPr>
          <w:lang w:val="en-AU"/>
        </w:rPr>
        <w:t xml:space="preserve">unilateral swelling of the leg and/or foot or along a vein in the </w:t>
      </w:r>
      <w:proofErr w:type="gramStart"/>
      <w:r w:rsidRPr="00316FF7">
        <w:rPr>
          <w:lang w:val="en-AU"/>
        </w:rPr>
        <w:t>leg;</w:t>
      </w:r>
      <w:proofErr w:type="gramEnd"/>
    </w:p>
    <w:p w14:paraId="58AFAC27" w14:textId="1888C4A8" w:rsidR="00BB50C2" w:rsidRPr="00316FF7" w:rsidRDefault="00BB50C2" w:rsidP="00A638BD">
      <w:pPr>
        <w:pStyle w:val="C-BodyText"/>
        <w:numPr>
          <w:ilvl w:val="0"/>
          <w:numId w:val="31"/>
        </w:numPr>
        <w:rPr>
          <w:lang w:val="en-AU"/>
        </w:rPr>
      </w:pPr>
      <w:r w:rsidRPr="00316FF7">
        <w:rPr>
          <w:lang w:val="en-AU"/>
        </w:rPr>
        <w:t xml:space="preserve">pain or tenderness in the leg which may be felt only when standing or </w:t>
      </w:r>
      <w:proofErr w:type="gramStart"/>
      <w:r w:rsidRPr="00316FF7">
        <w:rPr>
          <w:lang w:val="en-AU"/>
        </w:rPr>
        <w:t>walking;</w:t>
      </w:r>
      <w:proofErr w:type="gramEnd"/>
    </w:p>
    <w:p w14:paraId="666C3473" w14:textId="51ED18B4" w:rsidR="00BB50C2" w:rsidRPr="00316FF7" w:rsidRDefault="00BB50C2" w:rsidP="00A638BD">
      <w:pPr>
        <w:pStyle w:val="C-BodyText"/>
        <w:numPr>
          <w:ilvl w:val="0"/>
          <w:numId w:val="31"/>
        </w:numPr>
        <w:rPr>
          <w:lang w:val="en-AU"/>
        </w:rPr>
      </w:pPr>
      <w:r w:rsidRPr="00316FF7">
        <w:rPr>
          <w:lang w:val="en-AU"/>
        </w:rPr>
        <w:t>increased warmth in the affected leg; red or discoloured skin on the leg.</w:t>
      </w:r>
    </w:p>
    <w:p w14:paraId="6ACFE140" w14:textId="67BD5F08" w:rsidR="005B4DA5" w:rsidRPr="00316FF7" w:rsidRDefault="005B4DA5" w:rsidP="005B4DA5">
      <w:pPr>
        <w:pStyle w:val="C-Heading5non-numbered"/>
        <w:rPr>
          <w:b w:val="0"/>
          <w:i/>
          <w:lang w:val="en-AU"/>
        </w:rPr>
      </w:pPr>
      <w:r w:rsidRPr="00316FF7">
        <w:rPr>
          <w:b w:val="0"/>
          <w:i/>
          <w:lang w:val="en-AU"/>
        </w:rPr>
        <w:t>Symptoms of PE can include</w:t>
      </w:r>
    </w:p>
    <w:p w14:paraId="7984A313" w14:textId="7CD819E8" w:rsidR="00BB50C2" w:rsidRPr="00316FF7" w:rsidRDefault="00BB50C2" w:rsidP="00A638BD">
      <w:pPr>
        <w:pStyle w:val="C-BodyText"/>
        <w:numPr>
          <w:ilvl w:val="0"/>
          <w:numId w:val="32"/>
        </w:numPr>
        <w:rPr>
          <w:lang w:val="en-AU"/>
        </w:rPr>
      </w:pPr>
      <w:r w:rsidRPr="00316FF7">
        <w:rPr>
          <w:lang w:val="en-AU"/>
        </w:rPr>
        <w:t xml:space="preserve">sudden onset of unexplained shortness of breath or rapid </w:t>
      </w:r>
      <w:proofErr w:type="gramStart"/>
      <w:r w:rsidRPr="00316FF7">
        <w:rPr>
          <w:lang w:val="en-AU"/>
        </w:rPr>
        <w:t>breathing;</w:t>
      </w:r>
      <w:proofErr w:type="gramEnd"/>
    </w:p>
    <w:p w14:paraId="70710610" w14:textId="0966C69B" w:rsidR="00BB50C2" w:rsidRPr="00316FF7" w:rsidRDefault="00BB50C2" w:rsidP="00A638BD">
      <w:pPr>
        <w:pStyle w:val="C-BodyText"/>
        <w:numPr>
          <w:ilvl w:val="0"/>
          <w:numId w:val="32"/>
        </w:numPr>
        <w:rPr>
          <w:lang w:val="en-AU"/>
        </w:rPr>
      </w:pPr>
      <w:r w:rsidRPr="00316FF7">
        <w:rPr>
          <w:lang w:val="en-AU"/>
        </w:rPr>
        <w:t xml:space="preserve">sudden coughing which may be associated with </w:t>
      </w:r>
      <w:proofErr w:type="gramStart"/>
      <w:r w:rsidRPr="00316FF7">
        <w:rPr>
          <w:lang w:val="en-AU"/>
        </w:rPr>
        <w:t>haemoptysis;</w:t>
      </w:r>
      <w:proofErr w:type="gramEnd"/>
    </w:p>
    <w:p w14:paraId="3B027EE3" w14:textId="46DDDC62" w:rsidR="00BB50C2" w:rsidRPr="00316FF7" w:rsidRDefault="00BB50C2" w:rsidP="00A638BD">
      <w:pPr>
        <w:pStyle w:val="C-BodyText"/>
        <w:numPr>
          <w:ilvl w:val="0"/>
          <w:numId w:val="32"/>
        </w:numPr>
        <w:rPr>
          <w:lang w:val="en-AU"/>
        </w:rPr>
      </w:pPr>
      <w:r w:rsidRPr="00316FF7">
        <w:rPr>
          <w:lang w:val="en-AU"/>
        </w:rPr>
        <w:t xml:space="preserve">sharp chest </w:t>
      </w:r>
      <w:proofErr w:type="gramStart"/>
      <w:r w:rsidRPr="00316FF7">
        <w:rPr>
          <w:lang w:val="en-AU"/>
        </w:rPr>
        <w:t>pain;</w:t>
      </w:r>
      <w:proofErr w:type="gramEnd"/>
    </w:p>
    <w:p w14:paraId="69CA93AB" w14:textId="485C7EA8" w:rsidR="00BB50C2" w:rsidRPr="00316FF7" w:rsidRDefault="00BB50C2" w:rsidP="00A638BD">
      <w:pPr>
        <w:pStyle w:val="C-BodyText"/>
        <w:numPr>
          <w:ilvl w:val="0"/>
          <w:numId w:val="32"/>
        </w:numPr>
        <w:rPr>
          <w:lang w:val="en-AU"/>
        </w:rPr>
      </w:pPr>
      <w:r w:rsidRPr="00316FF7">
        <w:rPr>
          <w:lang w:val="en-AU"/>
        </w:rPr>
        <w:t xml:space="preserve">severe light headedness or </w:t>
      </w:r>
      <w:proofErr w:type="gramStart"/>
      <w:r w:rsidRPr="00316FF7">
        <w:rPr>
          <w:lang w:val="en-AU"/>
        </w:rPr>
        <w:t>dizziness;</w:t>
      </w:r>
      <w:proofErr w:type="gramEnd"/>
    </w:p>
    <w:p w14:paraId="1B8FF2B8" w14:textId="1F73D1D1" w:rsidR="00BB50C2" w:rsidRPr="00316FF7" w:rsidRDefault="00BB50C2" w:rsidP="00A638BD">
      <w:pPr>
        <w:pStyle w:val="C-BodyText"/>
        <w:numPr>
          <w:ilvl w:val="0"/>
          <w:numId w:val="32"/>
        </w:numPr>
        <w:rPr>
          <w:lang w:val="en-AU"/>
        </w:rPr>
      </w:pPr>
      <w:r w:rsidRPr="00316FF7">
        <w:rPr>
          <w:lang w:val="en-AU"/>
        </w:rPr>
        <w:t>rapid or irregular heartbeat.</w:t>
      </w:r>
    </w:p>
    <w:p w14:paraId="6F9BD41B" w14:textId="77777777" w:rsidR="00BB50C2" w:rsidRPr="00316FF7" w:rsidRDefault="00BB50C2" w:rsidP="00BB50C2">
      <w:pPr>
        <w:pStyle w:val="C-BodyText"/>
        <w:rPr>
          <w:lang w:val="en-AU"/>
        </w:rPr>
      </w:pPr>
      <w:r w:rsidRPr="00316FF7">
        <w:rPr>
          <w:lang w:val="en-AU"/>
        </w:rPr>
        <w:t>Some of these symptoms (e.g., ‘shortness of breath’, ‘coughing’) are non-specific and might be misinterpreted as more common or less severe events (e.g., respiratory tract infections).</w:t>
      </w:r>
    </w:p>
    <w:p w14:paraId="4825109C" w14:textId="77777777" w:rsidR="00BB50C2" w:rsidRPr="00316FF7" w:rsidRDefault="00BB50C2" w:rsidP="00BB50C2">
      <w:pPr>
        <w:pStyle w:val="C-BodyText"/>
        <w:rPr>
          <w:lang w:val="en-AU"/>
        </w:rPr>
      </w:pPr>
      <w:r w:rsidRPr="00316FF7">
        <w:rPr>
          <w:lang w:val="en-AU"/>
        </w:rPr>
        <w:t xml:space="preserve">Other signs of vascular occlusion can </w:t>
      </w:r>
      <w:proofErr w:type="gramStart"/>
      <w:r w:rsidRPr="00316FF7">
        <w:rPr>
          <w:lang w:val="en-AU"/>
        </w:rPr>
        <w:t>include:</w:t>
      </w:r>
      <w:proofErr w:type="gramEnd"/>
      <w:r w:rsidRPr="00316FF7">
        <w:rPr>
          <w:lang w:val="en-AU"/>
        </w:rPr>
        <w:t xml:space="preserve"> sudden pain, swelling and slight blue discoloration of an extremity.</w:t>
      </w:r>
    </w:p>
    <w:p w14:paraId="04E9DB26" w14:textId="0B95885A" w:rsidR="00BB50C2" w:rsidRPr="00316FF7" w:rsidRDefault="00BB50C2" w:rsidP="00BB50C2">
      <w:pPr>
        <w:pStyle w:val="C-BodyText"/>
        <w:rPr>
          <w:lang w:val="en-AU"/>
        </w:rPr>
      </w:pPr>
      <w:r w:rsidRPr="00316FF7">
        <w:rPr>
          <w:lang w:val="en-AU"/>
        </w:rPr>
        <w:t>If the occlusion occurs in the eye symptoms can range from painless blurring of vision which can progress to loss of vision. Sometimes loss of vision can occur almost immediately.</w:t>
      </w:r>
    </w:p>
    <w:p w14:paraId="029C9045" w14:textId="33D6BEBD" w:rsidR="002E09A0" w:rsidRPr="00B34FB1" w:rsidRDefault="002E09A0" w:rsidP="00BB50C2">
      <w:pPr>
        <w:pStyle w:val="C-BodyText"/>
        <w:rPr>
          <w:lang w:val="en-AU"/>
        </w:rPr>
      </w:pPr>
      <w:r w:rsidRPr="00DB6566">
        <w:rPr>
          <w:b/>
          <w:bCs/>
          <w:lang w:val="en-AU"/>
        </w:rPr>
        <w:t xml:space="preserve">A </w:t>
      </w:r>
      <w:r w:rsidR="0058719F" w:rsidRPr="00DB6566">
        <w:rPr>
          <w:b/>
          <w:bCs/>
          <w:lang w:val="en-AU"/>
        </w:rPr>
        <w:t>c</w:t>
      </w:r>
      <w:r w:rsidRPr="00DB6566">
        <w:rPr>
          <w:b/>
          <w:bCs/>
          <w:lang w:val="en-AU"/>
        </w:rPr>
        <w:t xml:space="preserve">hecklist for </w:t>
      </w:r>
      <w:r w:rsidR="0058719F" w:rsidRPr="00DB6566">
        <w:rPr>
          <w:b/>
          <w:bCs/>
          <w:lang w:val="en-AU"/>
        </w:rPr>
        <w:t>p</w:t>
      </w:r>
      <w:r w:rsidRPr="00DB6566">
        <w:rPr>
          <w:b/>
          <w:bCs/>
          <w:lang w:val="en-AU"/>
        </w:rPr>
        <w:t xml:space="preserve">rescribers is available on </w:t>
      </w:r>
      <w:hyperlink r:id="rId12" w:history="1">
        <w:r w:rsidRPr="00DB6566">
          <w:rPr>
            <w:rStyle w:val="Hyperlink"/>
            <w:b/>
            <w:bCs/>
            <w:lang w:val="en-AU"/>
          </w:rPr>
          <w:t>nextstellis.com.au</w:t>
        </w:r>
      </w:hyperlink>
      <w:r w:rsidRPr="00DB6566">
        <w:rPr>
          <w:b/>
          <w:bCs/>
          <w:lang w:val="en-AU"/>
        </w:rPr>
        <w:t>.</w:t>
      </w:r>
      <w:r w:rsidR="00B34FB1">
        <w:rPr>
          <w:b/>
          <w:bCs/>
          <w:lang w:val="en-AU"/>
        </w:rPr>
        <w:t xml:space="preserve"> </w:t>
      </w:r>
      <w:r w:rsidR="00B34FB1">
        <w:rPr>
          <w:lang w:val="en-AU"/>
        </w:rPr>
        <w:t>The c</w:t>
      </w:r>
      <w:r w:rsidR="00B34FB1" w:rsidRPr="00B34FB1">
        <w:rPr>
          <w:lang w:val="en-AU"/>
        </w:rPr>
        <w:t xml:space="preserve">hecklist for prescribers is intended to provide information concerning the risk of thromboembolism in association with certain </w:t>
      </w:r>
      <w:r w:rsidR="00B34FB1">
        <w:rPr>
          <w:lang w:val="en-AU"/>
        </w:rPr>
        <w:t>COCs</w:t>
      </w:r>
      <w:r w:rsidR="00B34FB1" w:rsidRPr="00B34FB1">
        <w:rPr>
          <w:lang w:val="en-AU"/>
        </w:rPr>
        <w:t>.</w:t>
      </w:r>
    </w:p>
    <w:p w14:paraId="50FD1B4E" w14:textId="77777777" w:rsidR="001549E2" w:rsidRPr="00316FF7" w:rsidRDefault="00D77335" w:rsidP="00212101">
      <w:pPr>
        <w:pStyle w:val="C-Heading4non-numbered"/>
        <w:rPr>
          <w:b w:val="0"/>
          <w:u w:val="single"/>
          <w:lang w:val="en-AU"/>
        </w:rPr>
      </w:pPr>
      <w:r w:rsidRPr="00316FF7">
        <w:rPr>
          <w:b w:val="0"/>
          <w:u w:val="single"/>
          <w:lang w:val="en-AU"/>
        </w:rPr>
        <w:lastRenderedPageBreak/>
        <w:t>Hyperkalaemia</w:t>
      </w:r>
    </w:p>
    <w:p w14:paraId="6156197E" w14:textId="5CB79C74" w:rsidR="00566032" w:rsidRPr="00316FF7" w:rsidRDefault="00566032" w:rsidP="001549E2">
      <w:pPr>
        <w:pStyle w:val="C-BodyText"/>
        <w:rPr>
          <w:lang w:val="en-AU"/>
        </w:rPr>
      </w:pPr>
      <w:r w:rsidRPr="00316FF7">
        <w:rPr>
          <w:lang w:val="en-AU"/>
        </w:rPr>
        <w:t>Drospirenone is devoid of any androgenic, estrogenic, glucocorticoid and antiglucocorticoid activity. This, in combination with the anti-mineralocorticoid and antiandrogenic properties, gives drospirenone a biochemical and pharmacological profile closely resembling the natural hormone progesterone.</w:t>
      </w:r>
    </w:p>
    <w:p w14:paraId="6A01853A" w14:textId="1D983E98" w:rsidR="00477012" w:rsidRPr="00316FF7" w:rsidRDefault="00477012" w:rsidP="001549E2">
      <w:pPr>
        <w:pStyle w:val="C-BodyText"/>
        <w:rPr>
          <w:lang w:val="en-AU"/>
        </w:rPr>
      </w:pPr>
      <w:r w:rsidRPr="00316FF7">
        <w:rPr>
          <w:lang w:val="en-AU"/>
        </w:rPr>
        <w:t>Potassium excretion capacity may be limited in patients with renal insufficiency. In a clinical study, drospirenone intake did not show an effect on the serum potassium concentration in patients with mild or moderate renal impairment. A theoretical risk for hyperkalaemia can be assumed only for patients whose pre-treatment serum potassium is in the upper reference range and who are additionally using potassium sparing medicines</w:t>
      </w:r>
      <w:r w:rsidR="004C46D4" w:rsidRPr="00316FF7">
        <w:rPr>
          <w:lang w:val="en-AU"/>
        </w:rPr>
        <w:t xml:space="preserve"> (see </w:t>
      </w:r>
      <w:r w:rsidR="004C46D4" w:rsidRPr="00316FF7">
        <w:rPr>
          <w:i/>
          <w:lang w:val="en-AU"/>
        </w:rPr>
        <w:t>section 4.5 Interactions with Other Medicines and Other Forms of Interactions</w:t>
      </w:r>
      <w:r w:rsidR="004C46D4" w:rsidRPr="00316FF7">
        <w:rPr>
          <w:lang w:val="en-AU"/>
        </w:rPr>
        <w:t>)</w:t>
      </w:r>
      <w:r w:rsidRPr="00316FF7">
        <w:rPr>
          <w:lang w:val="en-AU"/>
        </w:rPr>
        <w:t>.</w:t>
      </w:r>
    </w:p>
    <w:p w14:paraId="33BABBA3" w14:textId="7B7EA0B8" w:rsidR="001549E2" w:rsidRPr="00316FF7" w:rsidRDefault="001549E2" w:rsidP="001549E2">
      <w:pPr>
        <w:pStyle w:val="C-BodyText"/>
        <w:rPr>
          <w:lang w:val="en-AU"/>
        </w:rPr>
      </w:pPr>
      <w:r w:rsidRPr="00316FF7">
        <w:rPr>
          <w:lang w:val="en-AU"/>
        </w:rPr>
        <w:t xml:space="preserve">In the clinical development studies with </w:t>
      </w:r>
      <w:r w:rsidR="00F12FE1" w:rsidRPr="00316FF7">
        <w:rPr>
          <w:lang w:val="en-AU"/>
        </w:rPr>
        <w:t>NEXTSTELLIS</w:t>
      </w:r>
      <w:r w:rsidRPr="00316FF7">
        <w:rPr>
          <w:lang w:val="en-AU"/>
        </w:rPr>
        <w:t xml:space="preserve"> no trend in serum potassium levels was noted. Most women with </w:t>
      </w:r>
      <w:r w:rsidR="00D77335" w:rsidRPr="00316FF7">
        <w:rPr>
          <w:lang w:val="en-AU"/>
        </w:rPr>
        <w:t>hyperkalaemia</w:t>
      </w:r>
      <w:r w:rsidRPr="00316FF7">
        <w:rPr>
          <w:lang w:val="en-AU"/>
        </w:rPr>
        <w:t xml:space="preserve"> in the clinical development studies of </w:t>
      </w:r>
      <w:r w:rsidR="00F12FE1" w:rsidRPr="00316FF7">
        <w:rPr>
          <w:lang w:val="en-AU"/>
        </w:rPr>
        <w:t>NEXTSTELLIS</w:t>
      </w:r>
      <w:r w:rsidRPr="00316FF7">
        <w:rPr>
          <w:lang w:val="en-AU"/>
        </w:rPr>
        <w:t xml:space="preserve"> had only mild potassium elevations and/or isolated increases that returned to normal while still on study medication. In two pivotal trials (</w:t>
      </w:r>
      <w:r w:rsidR="00F552F4" w:rsidRPr="00316FF7">
        <w:rPr>
          <w:lang w:val="en-AU"/>
        </w:rPr>
        <w:t>n</w:t>
      </w:r>
      <w:r w:rsidRPr="00316FF7">
        <w:rPr>
          <w:lang w:val="en-AU"/>
        </w:rPr>
        <w:t xml:space="preserve"> = 3,632) for the prevention of pregnancy in women 16-50 years of age, no adverse reactions were attributed to </w:t>
      </w:r>
      <w:r w:rsidR="00D77335" w:rsidRPr="00316FF7">
        <w:rPr>
          <w:lang w:val="en-AU"/>
        </w:rPr>
        <w:t>hyperkalaemia</w:t>
      </w:r>
      <w:r w:rsidRPr="00316FF7">
        <w:rPr>
          <w:lang w:val="en-AU"/>
        </w:rPr>
        <w:t xml:space="preserve"> and no subject discontinued due to elevated potassium levels.</w:t>
      </w:r>
    </w:p>
    <w:p w14:paraId="1DBD2738" w14:textId="77777777" w:rsidR="00BC0AAF" w:rsidRPr="00316FF7" w:rsidRDefault="00BC0AAF" w:rsidP="00212101">
      <w:pPr>
        <w:pStyle w:val="C-Heading4non-numbered"/>
        <w:rPr>
          <w:b w:val="0"/>
          <w:u w:val="single"/>
          <w:lang w:val="en-AU"/>
        </w:rPr>
      </w:pPr>
      <w:r w:rsidRPr="00316FF7">
        <w:rPr>
          <w:b w:val="0"/>
          <w:u w:val="single"/>
          <w:lang w:val="en-AU"/>
        </w:rPr>
        <w:t>Hypertension</w:t>
      </w:r>
    </w:p>
    <w:p w14:paraId="7C96625C" w14:textId="0F85A00C" w:rsidR="00BC0AAF" w:rsidRPr="00316FF7" w:rsidRDefault="00F12FE1" w:rsidP="00BC0AAF">
      <w:pPr>
        <w:pStyle w:val="C-BodyText"/>
        <w:rPr>
          <w:lang w:val="en-AU"/>
        </w:rPr>
      </w:pPr>
      <w:r w:rsidRPr="00316FF7">
        <w:rPr>
          <w:lang w:val="en-AU"/>
        </w:rPr>
        <w:t>NEXTSTELLIS</w:t>
      </w:r>
      <w:r w:rsidR="00BC0AAF" w:rsidRPr="00316FF7">
        <w:rPr>
          <w:lang w:val="en-AU"/>
        </w:rPr>
        <w:t xml:space="preserve"> is contraindicated in women with uncontrolled hypertension or hypertension with vascular disease </w:t>
      </w:r>
      <w:r w:rsidR="00806558" w:rsidRPr="00316FF7">
        <w:rPr>
          <w:lang w:val="en-AU"/>
        </w:rPr>
        <w:t xml:space="preserve">(see </w:t>
      </w:r>
      <w:r w:rsidR="00806558" w:rsidRPr="00316FF7">
        <w:rPr>
          <w:i/>
          <w:lang w:val="en-AU"/>
        </w:rPr>
        <w:t>section 4.3 Contraindications</w:t>
      </w:r>
      <w:r w:rsidR="00806558" w:rsidRPr="00316FF7">
        <w:rPr>
          <w:lang w:val="en-AU"/>
        </w:rPr>
        <w:t>).</w:t>
      </w:r>
      <w:r w:rsidR="00BC0AAF" w:rsidRPr="00316FF7">
        <w:rPr>
          <w:lang w:val="en-AU"/>
        </w:rPr>
        <w:t xml:space="preserve"> For all women, including those with well-controlled hypertension, monitor blood pressure at routine visits and stop </w:t>
      </w:r>
      <w:r w:rsidRPr="00316FF7">
        <w:rPr>
          <w:lang w:val="en-AU"/>
        </w:rPr>
        <w:t>NEXTSTELLIS</w:t>
      </w:r>
      <w:r w:rsidR="00BC0AAF" w:rsidRPr="00316FF7">
        <w:rPr>
          <w:lang w:val="en-AU"/>
        </w:rPr>
        <w:t xml:space="preserve"> if blood pressure rises significantly. </w:t>
      </w:r>
    </w:p>
    <w:p w14:paraId="30486D84" w14:textId="14D3EF5F" w:rsidR="00BC0AAF" w:rsidRPr="00316FF7" w:rsidRDefault="00BE29B8" w:rsidP="00BC0AAF">
      <w:pPr>
        <w:pStyle w:val="C-BodyText"/>
        <w:rPr>
          <w:lang w:val="en-AU"/>
        </w:rPr>
      </w:pPr>
      <w:r w:rsidRPr="00316FF7">
        <w:rPr>
          <w:lang w:val="en-AU"/>
        </w:rPr>
        <w:t>Although small increases in blood pressure have been reported in many women taking COCs, clinically relevant increases are rare</w:t>
      </w:r>
      <w:r w:rsidR="005516B8" w:rsidRPr="00316FF7">
        <w:rPr>
          <w:lang w:val="en-AU"/>
        </w:rPr>
        <w:t>. The antimineralocorticoid effect of drospirenone may counteract any oestrogen-induced increases in blood pressure</w:t>
      </w:r>
      <w:r w:rsidR="00BC0AAF" w:rsidRPr="00316FF7">
        <w:rPr>
          <w:lang w:val="en-AU"/>
        </w:rPr>
        <w:t xml:space="preserve">. In the two large prospective clinical trials </w:t>
      </w:r>
      <w:r w:rsidR="00745E5B" w:rsidRPr="00316FF7">
        <w:rPr>
          <w:lang w:val="en-AU"/>
        </w:rPr>
        <w:t xml:space="preserve">with NEXTSTELLIS </w:t>
      </w:r>
      <w:r w:rsidR="00BC0AAF" w:rsidRPr="00316FF7">
        <w:rPr>
          <w:lang w:val="en-AU"/>
        </w:rPr>
        <w:t>(</w:t>
      </w:r>
      <w:r w:rsidR="00F552F4" w:rsidRPr="00316FF7">
        <w:rPr>
          <w:lang w:val="en-AU"/>
        </w:rPr>
        <w:t>n</w:t>
      </w:r>
      <w:r w:rsidR="00BC0AAF" w:rsidRPr="00316FF7">
        <w:rPr>
          <w:lang w:val="en-AU"/>
        </w:rPr>
        <w:t xml:space="preserve"> = 3,632) no meaningful mean changes in blood pressure or heart rate were observed.</w:t>
      </w:r>
    </w:p>
    <w:p w14:paraId="659E31CC" w14:textId="016F7122" w:rsidR="00BC0AAF" w:rsidRPr="00316FF7" w:rsidRDefault="00BC0AAF" w:rsidP="00212101">
      <w:pPr>
        <w:pStyle w:val="C-Heading4non-numbered"/>
        <w:rPr>
          <w:b w:val="0"/>
          <w:u w:val="single"/>
          <w:lang w:val="en-AU"/>
        </w:rPr>
      </w:pPr>
      <w:r w:rsidRPr="00316FF7">
        <w:rPr>
          <w:b w:val="0"/>
          <w:u w:val="single"/>
          <w:lang w:val="en-AU"/>
        </w:rPr>
        <w:t>Age</w:t>
      </w:r>
      <w:r w:rsidR="00212101" w:rsidRPr="00316FF7">
        <w:rPr>
          <w:b w:val="0"/>
          <w:u w:val="single"/>
          <w:lang w:val="en-AU"/>
        </w:rPr>
        <w:t xml:space="preserve">-Related </w:t>
      </w:r>
      <w:r w:rsidRPr="00316FF7">
        <w:rPr>
          <w:b w:val="0"/>
          <w:u w:val="single"/>
          <w:lang w:val="en-AU"/>
        </w:rPr>
        <w:t>Considerations</w:t>
      </w:r>
    </w:p>
    <w:p w14:paraId="00E95EF1" w14:textId="1623BC63" w:rsidR="00BC0AAF" w:rsidRPr="00316FF7" w:rsidRDefault="00BC0AAF" w:rsidP="00BC0AAF">
      <w:pPr>
        <w:pStyle w:val="C-BodyText"/>
        <w:rPr>
          <w:lang w:val="en-AU"/>
        </w:rPr>
      </w:pPr>
      <w:r w:rsidRPr="00316FF7">
        <w:rPr>
          <w:lang w:val="en-AU"/>
        </w:rPr>
        <w:t>The risk for cardiovascular disease and prevalence of risk factors for cardiovascular disease increase with age. Consider the presence of underlying risk factors that may increase the risk of cardiovascular disease or VTE, particularly before initiating a COC for women over 35 years, such as:</w:t>
      </w:r>
    </w:p>
    <w:p w14:paraId="13EBF262" w14:textId="77777777" w:rsidR="00BC0AAF" w:rsidRPr="00316FF7" w:rsidRDefault="00BC0AAF" w:rsidP="00116CFB">
      <w:pPr>
        <w:pStyle w:val="C-BodyText"/>
        <w:numPr>
          <w:ilvl w:val="0"/>
          <w:numId w:val="22"/>
        </w:numPr>
        <w:rPr>
          <w:lang w:val="en-AU"/>
        </w:rPr>
      </w:pPr>
      <w:r w:rsidRPr="00316FF7">
        <w:rPr>
          <w:lang w:val="en-AU"/>
        </w:rPr>
        <w:t>Hypertension</w:t>
      </w:r>
    </w:p>
    <w:p w14:paraId="5DBE613C" w14:textId="77777777" w:rsidR="00BC0AAF" w:rsidRPr="00316FF7" w:rsidRDefault="00BC0AAF" w:rsidP="00116CFB">
      <w:pPr>
        <w:pStyle w:val="C-BodyText"/>
        <w:numPr>
          <w:ilvl w:val="0"/>
          <w:numId w:val="22"/>
        </w:numPr>
        <w:rPr>
          <w:lang w:val="en-AU"/>
        </w:rPr>
      </w:pPr>
      <w:r w:rsidRPr="00316FF7">
        <w:rPr>
          <w:lang w:val="en-AU"/>
        </w:rPr>
        <w:t>Diabetes</w:t>
      </w:r>
    </w:p>
    <w:p w14:paraId="6BA512A6" w14:textId="29E42E4D" w:rsidR="00BC0AAF" w:rsidRPr="00316FF7" w:rsidRDefault="00D77335" w:rsidP="00116CFB">
      <w:pPr>
        <w:pStyle w:val="C-BodyText"/>
        <w:numPr>
          <w:ilvl w:val="0"/>
          <w:numId w:val="22"/>
        </w:numPr>
        <w:rPr>
          <w:lang w:val="en-AU"/>
        </w:rPr>
      </w:pPr>
      <w:r w:rsidRPr="00316FF7">
        <w:rPr>
          <w:lang w:val="en-AU"/>
        </w:rPr>
        <w:t>Dyslipidaemia</w:t>
      </w:r>
      <w:r w:rsidR="00626B93" w:rsidRPr="00316FF7">
        <w:rPr>
          <w:lang w:val="en-AU"/>
        </w:rPr>
        <w:t xml:space="preserve"> </w:t>
      </w:r>
    </w:p>
    <w:p w14:paraId="36C9565A" w14:textId="48494A7F" w:rsidR="00BC0AAF" w:rsidRPr="00316FF7" w:rsidRDefault="00BC0AAF" w:rsidP="00116CFB">
      <w:pPr>
        <w:pStyle w:val="C-BodyText"/>
        <w:numPr>
          <w:ilvl w:val="0"/>
          <w:numId w:val="22"/>
        </w:numPr>
        <w:rPr>
          <w:lang w:val="en-AU"/>
        </w:rPr>
      </w:pPr>
      <w:r w:rsidRPr="00316FF7">
        <w:rPr>
          <w:lang w:val="en-AU"/>
        </w:rPr>
        <w:t>Obesity</w:t>
      </w:r>
    </w:p>
    <w:p w14:paraId="09D46D61" w14:textId="54613E49" w:rsidR="00BC0AAF" w:rsidRPr="00316FF7" w:rsidRDefault="00BC0AAF" w:rsidP="00212101">
      <w:pPr>
        <w:pStyle w:val="C-Heading4non-numbered"/>
        <w:rPr>
          <w:b w:val="0"/>
          <w:u w:val="single"/>
          <w:lang w:val="en-AU"/>
        </w:rPr>
      </w:pPr>
      <w:r w:rsidRPr="00316FF7">
        <w:rPr>
          <w:b w:val="0"/>
          <w:u w:val="single"/>
          <w:lang w:val="en-AU"/>
        </w:rPr>
        <w:lastRenderedPageBreak/>
        <w:t xml:space="preserve">Adverse Carbohydrate </w:t>
      </w:r>
      <w:r w:rsidR="00212101" w:rsidRPr="00316FF7">
        <w:rPr>
          <w:b w:val="0"/>
          <w:u w:val="single"/>
          <w:lang w:val="en-AU"/>
        </w:rPr>
        <w:t xml:space="preserve">and </w:t>
      </w:r>
      <w:r w:rsidRPr="00316FF7">
        <w:rPr>
          <w:b w:val="0"/>
          <w:u w:val="single"/>
          <w:lang w:val="en-AU"/>
        </w:rPr>
        <w:t>Lipid Metabolic Effects</w:t>
      </w:r>
    </w:p>
    <w:p w14:paraId="3574E2FA" w14:textId="77777777" w:rsidR="00BC0AAF" w:rsidRPr="00316FF7" w:rsidRDefault="00D77335" w:rsidP="00212101">
      <w:pPr>
        <w:pStyle w:val="C-Heading5non-numbered"/>
        <w:rPr>
          <w:b w:val="0"/>
          <w:i/>
          <w:lang w:val="en-AU"/>
        </w:rPr>
      </w:pPr>
      <w:r w:rsidRPr="00316FF7">
        <w:rPr>
          <w:b w:val="0"/>
          <w:i/>
          <w:lang w:val="en-AU"/>
        </w:rPr>
        <w:t>Hyperglycaemia</w:t>
      </w:r>
    </w:p>
    <w:p w14:paraId="33FA3973" w14:textId="5294BDB4" w:rsidR="006456C3" w:rsidRPr="00316FF7" w:rsidRDefault="00F12FE1" w:rsidP="00BC0AAF">
      <w:pPr>
        <w:pStyle w:val="C-BodyText"/>
        <w:rPr>
          <w:lang w:val="en-AU"/>
        </w:rPr>
      </w:pPr>
      <w:r w:rsidRPr="00316FF7">
        <w:rPr>
          <w:lang w:val="en-AU"/>
        </w:rPr>
        <w:t>NEXTSTELLIS</w:t>
      </w:r>
      <w:r w:rsidR="00BC0AAF" w:rsidRPr="00316FF7">
        <w:rPr>
          <w:lang w:val="en-AU"/>
        </w:rPr>
        <w:t xml:space="preserve"> is contraindicated in women who have diabetes with hypertension, nephropathy, retinopathy, neuropathy, other vascular disease </w:t>
      </w:r>
      <w:r w:rsidR="00806558" w:rsidRPr="00316FF7">
        <w:rPr>
          <w:lang w:val="en-AU"/>
        </w:rPr>
        <w:t xml:space="preserve">(see </w:t>
      </w:r>
      <w:r w:rsidR="00806558" w:rsidRPr="00316FF7">
        <w:rPr>
          <w:i/>
          <w:lang w:val="en-AU"/>
        </w:rPr>
        <w:t>section 4.3 Contraindications</w:t>
      </w:r>
      <w:r w:rsidR="00806558" w:rsidRPr="00316FF7">
        <w:rPr>
          <w:lang w:val="en-AU"/>
        </w:rPr>
        <w:t>)</w:t>
      </w:r>
      <w:r w:rsidR="00BC0AAF" w:rsidRPr="00316FF7">
        <w:rPr>
          <w:lang w:val="en-AU"/>
        </w:rPr>
        <w:t xml:space="preserve">. </w:t>
      </w:r>
      <w:r w:rsidRPr="00316FF7">
        <w:rPr>
          <w:lang w:val="en-AU"/>
        </w:rPr>
        <w:t>NEXTSTELLIS</w:t>
      </w:r>
      <w:r w:rsidR="00BC0AAF" w:rsidRPr="00316FF7">
        <w:rPr>
          <w:lang w:val="en-AU"/>
        </w:rPr>
        <w:t xml:space="preserve"> may decrease glucose tolerance. Carefully monitor prediabetic and diabetic women who are using </w:t>
      </w:r>
      <w:r w:rsidRPr="00316FF7">
        <w:rPr>
          <w:lang w:val="en-AU"/>
        </w:rPr>
        <w:t>NEXTSTELLIS</w:t>
      </w:r>
      <w:r w:rsidR="00BC0AAF" w:rsidRPr="00316FF7">
        <w:rPr>
          <w:lang w:val="en-AU"/>
        </w:rPr>
        <w:t>.</w:t>
      </w:r>
    </w:p>
    <w:p w14:paraId="60346843" w14:textId="217AC1DA" w:rsidR="00BC0AAF" w:rsidRPr="00316FF7" w:rsidRDefault="00BC0AAF" w:rsidP="00BC0AAF">
      <w:pPr>
        <w:pStyle w:val="C-BodyText"/>
        <w:rPr>
          <w:lang w:val="en-AU"/>
        </w:rPr>
      </w:pPr>
      <w:r w:rsidRPr="00316FF7">
        <w:rPr>
          <w:lang w:val="en-AU"/>
        </w:rPr>
        <w:t>In a 6</w:t>
      </w:r>
      <w:r w:rsidR="13075EC1" w:rsidRPr="00316FF7">
        <w:rPr>
          <w:lang w:val="en-AU"/>
        </w:rPr>
        <w:t>-</w:t>
      </w:r>
      <w:r w:rsidRPr="00316FF7">
        <w:rPr>
          <w:lang w:val="en-AU"/>
        </w:rPr>
        <w:t xml:space="preserve">month Phase 2 clinical trial </w:t>
      </w:r>
      <w:r w:rsidR="00F12FE1" w:rsidRPr="00316FF7">
        <w:rPr>
          <w:lang w:val="en-AU"/>
        </w:rPr>
        <w:t>NEXTSTELLIS</w:t>
      </w:r>
      <w:r w:rsidRPr="00316FF7">
        <w:rPr>
          <w:lang w:val="en-AU"/>
        </w:rPr>
        <w:t xml:space="preserve"> did not induce a change in glucose or insulin response upon oral glucose dosing, and fasting levels of HbA1c and glucose were unchanged. Slightly increased fasting levels of insulin and C-peptide were observed with </w:t>
      </w:r>
      <w:r w:rsidR="00F12FE1" w:rsidRPr="00316FF7">
        <w:rPr>
          <w:lang w:val="en-AU"/>
        </w:rPr>
        <w:t>NEXTSTELLIS</w:t>
      </w:r>
      <w:r w:rsidRPr="00316FF7">
        <w:rPr>
          <w:lang w:val="en-AU"/>
        </w:rPr>
        <w:t xml:space="preserve"> at Cycle 6, but less than noted with </w:t>
      </w:r>
      <w:r w:rsidR="00984362" w:rsidRPr="00316FF7">
        <w:rPr>
          <w:lang w:val="en-AU"/>
        </w:rPr>
        <w:t xml:space="preserve">ethinylestradiol </w:t>
      </w:r>
      <w:r w:rsidRPr="00316FF7">
        <w:rPr>
          <w:lang w:val="en-AU"/>
        </w:rPr>
        <w:t>30 µg/</w:t>
      </w:r>
      <w:r w:rsidR="000238B7" w:rsidRPr="00316FF7">
        <w:rPr>
          <w:lang w:val="en-AU"/>
        </w:rPr>
        <w:t xml:space="preserve">levonorgestrel </w:t>
      </w:r>
      <w:r w:rsidRPr="00316FF7">
        <w:rPr>
          <w:lang w:val="en-AU"/>
        </w:rPr>
        <w:t xml:space="preserve">150 µg and </w:t>
      </w:r>
      <w:r w:rsidR="00984362" w:rsidRPr="00316FF7">
        <w:rPr>
          <w:lang w:val="en-AU"/>
        </w:rPr>
        <w:t xml:space="preserve">ethinylestradiol </w:t>
      </w:r>
      <w:r w:rsidRPr="00316FF7">
        <w:rPr>
          <w:lang w:val="en-AU"/>
        </w:rPr>
        <w:t>20 µg/</w:t>
      </w:r>
      <w:r w:rsidR="00B27C0A" w:rsidRPr="00316FF7">
        <w:rPr>
          <w:lang w:val="en-AU"/>
        </w:rPr>
        <w:t xml:space="preserve">drospirenone </w:t>
      </w:r>
      <w:r w:rsidRPr="00316FF7">
        <w:rPr>
          <w:lang w:val="en-AU"/>
        </w:rPr>
        <w:t>3 mg.</w:t>
      </w:r>
    </w:p>
    <w:p w14:paraId="5590AB34" w14:textId="77777777" w:rsidR="00BC0AAF" w:rsidRPr="00316FF7" w:rsidRDefault="00D77335" w:rsidP="00212101">
      <w:pPr>
        <w:pStyle w:val="C-Heading5non-numbered"/>
        <w:rPr>
          <w:b w:val="0"/>
          <w:i/>
          <w:lang w:val="en-AU"/>
        </w:rPr>
      </w:pPr>
      <w:r w:rsidRPr="00316FF7">
        <w:rPr>
          <w:b w:val="0"/>
          <w:i/>
          <w:lang w:val="en-AU"/>
        </w:rPr>
        <w:t>Dyslipidaemia</w:t>
      </w:r>
    </w:p>
    <w:p w14:paraId="2A04D411" w14:textId="7FCB9465" w:rsidR="00BC0AAF" w:rsidRPr="00316FF7" w:rsidRDefault="00BC0AAF" w:rsidP="00BC0AAF">
      <w:pPr>
        <w:pStyle w:val="C-BodyText"/>
        <w:rPr>
          <w:lang w:val="en-AU"/>
        </w:rPr>
      </w:pPr>
      <w:r w:rsidRPr="00316FF7">
        <w:rPr>
          <w:lang w:val="en-AU"/>
        </w:rPr>
        <w:t xml:space="preserve">Consider alternative contraception for women with uncontrolled </w:t>
      </w:r>
      <w:r w:rsidR="00D77335" w:rsidRPr="00316FF7">
        <w:rPr>
          <w:lang w:val="en-AU"/>
        </w:rPr>
        <w:t>dyslipidaemia</w:t>
      </w:r>
      <w:r w:rsidRPr="00316FF7">
        <w:rPr>
          <w:lang w:val="en-AU"/>
        </w:rPr>
        <w:t xml:space="preserve">. Women with hypertriglyceridemia, or a family history thereof, may be at an increased risk of pancreatitis when using COCs. In a Phase 2 study comparing </w:t>
      </w:r>
      <w:r w:rsidR="00F12FE1" w:rsidRPr="00316FF7">
        <w:rPr>
          <w:lang w:val="en-AU"/>
        </w:rPr>
        <w:t>NEXTSTELLIS</w:t>
      </w:r>
      <w:r w:rsidRPr="00316FF7">
        <w:rPr>
          <w:lang w:val="en-AU"/>
        </w:rPr>
        <w:t xml:space="preserve"> (n = 34), </w:t>
      </w:r>
      <w:r w:rsidR="00984362" w:rsidRPr="00316FF7">
        <w:rPr>
          <w:lang w:val="en-AU"/>
        </w:rPr>
        <w:t xml:space="preserve">ethinylestradiol </w:t>
      </w:r>
      <w:r w:rsidRPr="00316FF7">
        <w:rPr>
          <w:lang w:val="en-AU"/>
        </w:rPr>
        <w:t>30 µg/</w:t>
      </w:r>
      <w:r w:rsidR="000238B7" w:rsidRPr="00316FF7">
        <w:rPr>
          <w:lang w:val="en-AU"/>
        </w:rPr>
        <w:t xml:space="preserve">levonorgestrel </w:t>
      </w:r>
      <w:r w:rsidRPr="00316FF7">
        <w:rPr>
          <w:lang w:val="en-AU"/>
        </w:rPr>
        <w:t xml:space="preserve">150 µg (n = 27) and </w:t>
      </w:r>
      <w:r w:rsidR="00984362" w:rsidRPr="00316FF7">
        <w:rPr>
          <w:lang w:val="en-AU"/>
        </w:rPr>
        <w:t xml:space="preserve">ethinylestradiol </w:t>
      </w:r>
      <w:r w:rsidRPr="00316FF7">
        <w:rPr>
          <w:lang w:val="en-AU"/>
        </w:rPr>
        <w:t>20 µg/</w:t>
      </w:r>
      <w:r w:rsidR="001667F4" w:rsidRPr="00316FF7">
        <w:rPr>
          <w:lang w:val="en-AU"/>
        </w:rPr>
        <w:t xml:space="preserve">drospirenone </w:t>
      </w:r>
      <w:r w:rsidRPr="00316FF7">
        <w:rPr>
          <w:lang w:val="en-AU"/>
        </w:rPr>
        <w:t xml:space="preserve">3 mg (n = 30), </w:t>
      </w:r>
      <w:r w:rsidR="00F12FE1" w:rsidRPr="00316FF7">
        <w:rPr>
          <w:lang w:val="en-AU"/>
        </w:rPr>
        <w:t>NEXTSTELLIS</w:t>
      </w:r>
      <w:r w:rsidRPr="00316FF7">
        <w:rPr>
          <w:lang w:val="en-AU"/>
        </w:rPr>
        <w:t xml:space="preserve"> demonstrated a neutral effect on lipid parameters.</w:t>
      </w:r>
    </w:p>
    <w:p w14:paraId="77AB1120" w14:textId="06CAE030" w:rsidR="00206CC1" w:rsidRPr="00316FF7" w:rsidRDefault="00206CC1" w:rsidP="00206CC1">
      <w:pPr>
        <w:pStyle w:val="Caption"/>
        <w:rPr>
          <w:lang w:val="en-AU"/>
        </w:rPr>
      </w:pPr>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3</w:t>
      </w:r>
      <w:r w:rsidRPr="00316FF7">
        <w:rPr>
          <w:lang w:val="en-AU"/>
        </w:rPr>
        <w:fldChar w:fldCharType="end"/>
      </w:r>
      <w:r w:rsidRPr="00316FF7">
        <w:rPr>
          <w:lang w:val="en-AU"/>
        </w:rPr>
        <w:t>:</w:t>
      </w:r>
      <w:r w:rsidRPr="00316FF7">
        <w:rPr>
          <w:lang w:val="en-AU"/>
        </w:rPr>
        <w:tab/>
        <w:t xml:space="preserve">Percentages </w:t>
      </w:r>
      <w:r w:rsidR="004F0EDC" w:rsidRPr="00316FF7">
        <w:rPr>
          <w:lang w:val="en-AU"/>
        </w:rPr>
        <w:t xml:space="preserve">change from baseline in lipids and lipoproteins. median [min, max] </w:t>
      </w:r>
      <w:r w:rsidRPr="00316FF7">
        <w:rPr>
          <w:lang w:val="en-AU"/>
        </w:rPr>
        <w:t xml:space="preserve">(PP </w:t>
      </w:r>
      <w:r w:rsidR="004F0EDC" w:rsidRPr="00316FF7">
        <w:rPr>
          <w:lang w:val="en-AU"/>
        </w:rPr>
        <w:t>p</w:t>
      </w:r>
      <w:r w:rsidRPr="00316FF7">
        <w:rPr>
          <w:lang w:val="en-AU"/>
        </w:rPr>
        <w:t>opulation)</w:t>
      </w:r>
    </w:p>
    <w:tbl>
      <w:tblPr>
        <w:tblStyle w:val="C-Table"/>
        <w:tblW w:w="9175" w:type="dxa"/>
        <w:tblLook w:val="04A0" w:firstRow="1" w:lastRow="0" w:firstColumn="1" w:lastColumn="0" w:noHBand="0" w:noVBand="1"/>
      </w:tblPr>
      <w:tblGrid>
        <w:gridCol w:w="2827"/>
        <w:gridCol w:w="2116"/>
        <w:gridCol w:w="2116"/>
        <w:gridCol w:w="2116"/>
      </w:tblGrid>
      <w:tr w:rsidR="00E94DA5" w:rsidRPr="00316FF7" w14:paraId="6730FE53" w14:textId="77777777" w:rsidTr="00E84895">
        <w:trPr>
          <w:cantSplit w:val="0"/>
          <w:tblHeader/>
        </w:trPr>
        <w:tc>
          <w:tcPr>
            <w:tcW w:w="2827" w:type="dxa"/>
            <w:vMerge w:val="restart"/>
          </w:tcPr>
          <w:p w14:paraId="6F8E75DC" w14:textId="77777777" w:rsidR="00E94DA5" w:rsidRPr="00316FF7" w:rsidRDefault="00E94DA5" w:rsidP="00E84895">
            <w:pPr>
              <w:pStyle w:val="C-TableHeader"/>
              <w:rPr>
                <w:lang w:val="en-AU"/>
              </w:rPr>
            </w:pPr>
            <w:r w:rsidRPr="00316FF7">
              <w:rPr>
                <w:lang w:val="en-AU"/>
              </w:rPr>
              <w:t>Parameter</w:t>
            </w:r>
          </w:p>
        </w:tc>
        <w:tc>
          <w:tcPr>
            <w:tcW w:w="2116" w:type="dxa"/>
          </w:tcPr>
          <w:p w14:paraId="474C7275" w14:textId="77777777" w:rsidR="00E94DA5" w:rsidRPr="00316FF7" w:rsidRDefault="00F12FE1" w:rsidP="00E94DA5">
            <w:pPr>
              <w:pStyle w:val="C-TableHeader"/>
              <w:jc w:val="center"/>
              <w:rPr>
                <w:lang w:val="en-AU"/>
              </w:rPr>
            </w:pPr>
            <w:r w:rsidRPr="00316FF7">
              <w:rPr>
                <w:lang w:val="en-AU"/>
              </w:rPr>
              <w:t>NEXTSTELLIS</w:t>
            </w:r>
          </w:p>
          <w:p w14:paraId="5ACFBDF5" w14:textId="77777777" w:rsidR="00E94DA5" w:rsidRPr="00316FF7" w:rsidRDefault="00E94DA5" w:rsidP="00E94DA5">
            <w:pPr>
              <w:pStyle w:val="C-TableHeader"/>
              <w:jc w:val="center"/>
              <w:rPr>
                <w:lang w:val="en-AU"/>
              </w:rPr>
            </w:pPr>
            <w:r w:rsidRPr="00316FF7">
              <w:rPr>
                <w:lang w:val="en-AU"/>
              </w:rPr>
              <w:t>15 mg/3 mg</w:t>
            </w:r>
          </w:p>
        </w:tc>
        <w:tc>
          <w:tcPr>
            <w:tcW w:w="2116" w:type="dxa"/>
          </w:tcPr>
          <w:p w14:paraId="6EB73678" w14:textId="77777777" w:rsidR="00E94DA5" w:rsidRPr="00316FF7" w:rsidRDefault="00E94DA5" w:rsidP="00E94DA5">
            <w:pPr>
              <w:pStyle w:val="C-TableHeader"/>
              <w:jc w:val="center"/>
              <w:rPr>
                <w:lang w:val="en-AU"/>
              </w:rPr>
            </w:pPr>
            <w:r w:rsidRPr="00316FF7">
              <w:rPr>
                <w:lang w:val="en-AU"/>
              </w:rPr>
              <w:t>EE/LNG</w:t>
            </w:r>
          </w:p>
          <w:p w14:paraId="05B18AF7" w14:textId="296BF21A" w:rsidR="00E94DA5" w:rsidRPr="00316FF7" w:rsidRDefault="009C2945" w:rsidP="00E94DA5">
            <w:pPr>
              <w:pStyle w:val="C-TableHeader"/>
              <w:jc w:val="center"/>
              <w:rPr>
                <w:lang w:val="en-AU"/>
              </w:rPr>
            </w:pPr>
            <w:r w:rsidRPr="00316FF7">
              <w:rPr>
                <w:lang w:val="en-AU"/>
              </w:rPr>
              <w:t>30</w:t>
            </w:r>
            <w:r w:rsidR="00E94DA5" w:rsidRPr="00316FF7">
              <w:rPr>
                <w:lang w:val="en-AU"/>
              </w:rPr>
              <w:t xml:space="preserve"> </w:t>
            </w:r>
            <w:r w:rsidR="00E94DA5" w:rsidRPr="00316FF7">
              <w:rPr>
                <w:rFonts w:ascii="Symbol" w:eastAsia="Symbol" w:hAnsi="Symbol" w:cs="Symbol"/>
                <w:lang w:val="en-AU"/>
              </w:rPr>
              <w:t></w:t>
            </w:r>
            <w:r w:rsidR="00E94DA5" w:rsidRPr="00316FF7">
              <w:rPr>
                <w:lang w:val="en-AU"/>
              </w:rPr>
              <w:t>g/</w:t>
            </w:r>
            <w:r w:rsidR="000E701F" w:rsidRPr="00316FF7">
              <w:rPr>
                <w:lang w:val="en-AU"/>
              </w:rPr>
              <w:t>150 µg</w:t>
            </w:r>
          </w:p>
        </w:tc>
        <w:tc>
          <w:tcPr>
            <w:tcW w:w="2116" w:type="dxa"/>
          </w:tcPr>
          <w:p w14:paraId="072CD277" w14:textId="77777777" w:rsidR="00E94DA5" w:rsidRPr="00316FF7" w:rsidRDefault="00E94DA5" w:rsidP="00E94DA5">
            <w:pPr>
              <w:pStyle w:val="C-TableHeader"/>
              <w:jc w:val="center"/>
              <w:rPr>
                <w:lang w:val="en-AU"/>
              </w:rPr>
            </w:pPr>
            <w:r w:rsidRPr="00316FF7">
              <w:rPr>
                <w:lang w:val="en-AU"/>
              </w:rPr>
              <w:t>EE/DRSP</w:t>
            </w:r>
          </w:p>
          <w:p w14:paraId="5D92E390" w14:textId="294BCE1E" w:rsidR="00E94DA5" w:rsidRPr="00316FF7" w:rsidRDefault="00E94DA5" w:rsidP="00E94DA5">
            <w:pPr>
              <w:pStyle w:val="C-TableHeader"/>
              <w:jc w:val="center"/>
              <w:rPr>
                <w:lang w:val="en-AU"/>
              </w:rPr>
            </w:pPr>
            <w:r w:rsidRPr="00316FF7">
              <w:rPr>
                <w:lang w:val="en-AU"/>
              </w:rPr>
              <w:t>2</w:t>
            </w:r>
            <w:r w:rsidR="009C2945" w:rsidRPr="00316FF7">
              <w:rPr>
                <w:lang w:val="en-AU"/>
              </w:rPr>
              <w:t xml:space="preserve">0 </w:t>
            </w:r>
            <w:r w:rsidRPr="00316FF7">
              <w:rPr>
                <w:rFonts w:ascii="Symbol" w:eastAsia="Symbol" w:hAnsi="Symbol" w:cs="Symbol"/>
                <w:lang w:val="en-AU"/>
              </w:rPr>
              <w:t></w:t>
            </w:r>
            <w:r w:rsidRPr="00316FF7">
              <w:rPr>
                <w:lang w:val="en-AU"/>
              </w:rPr>
              <w:t>g/3 mg</w:t>
            </w:r>
          </w:p>
        </w:tc>
      </w:tr>
      <w:tr w:rsidR="00E94DA5" w:rsidRPr="00316FF7" w14:paraId="7BA28EAC" w14:textId="77777777" w:rsidTr="00E84895">
        <w:trPr>
          <w:cantSplit w:val="0"/>
          <w:trHeight w:val="305"/>
          <w:tblHeader/>
        </w:trPr>
        <w:tc>
          <w:tcPr>
            <w:tcW w:w="2827" w:type="dxa"/>
            <w:vMerge/>
          </w:tcPr>
          <w:p w14:paraId="5D99AF63" w14:textId="77777777" w:rsidR="00E94DA5" w:rsidRPr="00316FF7" w:rsidRDefault="00E94DA5" w:rsidP="00E84895">
            <w:pPr>
              <w:rPr>
                <w:rFonts w:ascii="Arial" w:hAnsi="Arial"/>
                <w:b/>
                <w:bCs/>
                <w:lang w:val="en-AU"/>
              </w:rPr>
            </w:pPr>
          </w:p>
        </w:tc>
        <w:tc>
          <w:tcPr>
            <w:tcW w:w="2116" w:type="dxa"/>
          </w:tcPr>
          <w:p w14:paraId="6BEA3EC1" w14:textId="7575A506" w:rsidR="00E94DA5" w:rsidRPr="00316FF7" w:rsidRDefault="00F552F4" w:rsidP="00E94DA5">
            <w:pPr>
              <w:pStyle w:val="C-TableHeader"/>
              <w:jc w:val="center"/>
              <w:rPr>
                <w:lang w:val="en-AU"/>
              </w:rPr>
            </w:pPr>
            <w:r w:rsidRPr="00316FF7">
              <w:rPr>
                <w:lang w:val="en-AU"/>
              </w:rPr>
              <w:t>n</w:t>
            </w:r>
            <w:r w:rsidR="00E94DA5" w:rsidRPr="00316FF7">
              <w:rPr>
                <w:lang w:val="en-AU"/>
              </w:rPr>
              <w:t xml:space="preserve"> = 34</w:t>
            </w:r>
          </w:p>
        </w:tc>
        <w:tc>
          <w:tcPr>
            <w:tcW w:w="2116" w:type="dxa"/>
          </w:tcPr>
          <w:p w14:paraId="1476717F" w14:textId="74A5F4BB" w:rsidR="00E94DA5" w:rsidRPr="00316FF7" w:rsidRDefault="00F552F4" w:rsidP="00E94DA5">
            <w:pPr>
              <w:pStyle w:val="C-TableHeader"/>
              <w:jc w:val="center"/>
              <w:rPr>
                <w:lang w:val="en-AU"/>
              </w:rPr>
            </w:pPr>
            <w:r w:rsidRPr="00316FF7">
              <w:rPr>
                <w:lang w:val="en-AU"/>
              </w:rPr>
              <w:t>n</w:t>
            </w:r>
            <w:r w:rsidR="00E94DA5" w:rsidRPr="00316FF7">
              <w:rPr>
                <w:lang w:val="en-AU"/>
              </w:rPr>
              <w:t xml:space="preserve"> = 27</w:t>
            </w:r>
          </w:p>
        </w:tc>
        <w:tc>
          <w:tcPr>
            <w:tcW w:w="2116" w:type="dxa"/>
          </w:tcPr>
          <w:p w14:paraId="1EECC086" w14:textId="1F13A02F" w:rsidR="00E94DA5" w:rsidRPr="00316FF7" w:rsidRDefault="00F552F4" w:rsidP="00E94DA5">
            <w:pPr>
              <w:pStyle w:val="C-TableHeader"/>
              <w:jc w:val="center"/>
              <w:rPr>
                <w:lang w:val="en-AU"/>
              </w:rPr>
            </w:pPr>
            <w:r w:rsidRPr="00316FF7">
              <w:rPr>
                <w:lang w:val="en-AU"/>
              </w:rPr>
              <w:t>n</w:t>
            </w:r>
            <w:r w:rsidR="00E94DA5" w:rsidRPr="00316FF7">
              <w:rPr>
                <w:lang w:val="en-AU"/>
              </w:rPr>
              <w:t xml:space="preserve"> = 30</w:t>
            </w:r>
          </w:p>
        </w:tc>
      </w:tr>
      <w:tr w:rsidR="00E94DA5" w:rsidRPr="00316FF7" w14:paraId="000E6F2E" w14:textId="77777777" w:rsidTr="00E84895">
        <w:trPr>
          <w:cantSplit w:val="0"/>
        </w:trPr>
        <w:tc>
          <w:tcPr>
            <w:tcW w:w="2827" w:type="dxa"/>
          </w:tcPr>
          <w:p w14:paraId="26484CF4" w14:textId="77777777" w:rsidR="00E94DA5" w:rsidRPr="00316FF7" w:rsidRDefault="00E94DA5" w:rsidP="00E84895">
            <w:pPr>
              <w:pStyle w:val="C-TableText"/>
              <w:rPr>
                <w:lang w:val="en-AU"/>
              </w:rPr>
            </w:pPr>
            <w:r w:rsidRPr="00316FF7">
              <w:rPr>
                <w:lang w:val="en-AU"/>
              </w:rPr>
              <w:t>Cholesterol (mg/dL)</w:t>
            </w:r>
          </w:p>
        </w:tc>
        <w:tc>
          <w:tcPr>
            <w:tcW w:w="2116" w:type="dxa"/>
          </w:tcPr>
          <w:p w14:paraId="3EBCF8D8" w14:textId="5C60323D" w:rsidR="00E94DA5" w:rsidRPr="00316FF7" w:rsidRDefault="00E94DA5" w:rsidP="00E94DA5">
            <w:pPr>
              <w:pStyle w:val="C-TableText"/>
              <w:jc w:val="center"/>
              <w:rPr>
                <w:lang w:val="en-AU"/>
              </w:rPr>
            </w:pPr>
            <w:r w:rsidRPr="00316FF7">
              <w:rPr>
                <w:lang w:val="en-AU"/>
              </w:rPr>
              <w:t>4.0 [</w:t>
            </w:r>
            <w:r w:rsidR="003B3739" w:rsidRPr="00316FF7">
              <w:rPr>
                <w:lang w:val="en-AU"/>
              </w:rPr>
              <w:t>-20.0, 27.0</w:t>
            </w:r>
            <w:r w:rsidRPr="00316FF7">
              <w:rPr>
                <w:lang w:val="en-AU"/>
              </w:rPr>
              <w:t>]</w:t>
            </w:r>
          </w:p>
        </w:tc>
        <w:tc>
          <w:tcPr>
            <w:tcW w:w="2116" w:type="dxa"/>
          </w:tcPr>
          <w:p w14:paraId="72A345E4" w14:textId="717423CD" w:rsidR="00E94DA5" w:rsidRPr="00316FF7" w:rsidRDefault="00E94DA5" w:rsidP="00E94DA5">
            <w:pPr>
              <w:pStyle w:val="C-TableText"/>
              <w:jc w:val="center"/>
              <w:rPr>
                <w:lang w:val="en-AU"/>
              </w:rPr>
            </w:pPr>
            <w:r w:rsidRPr="00316FF7">
              <w:rPr>
                <w:lang w:val="en-AU"/>
              </w:rPr>
              <w:t>1.0 [</w:t>
            </w:r>
            <w:r w:rsidR="003B3739" w:rsidRPr="00316FF7">
              <w:rPr>
                <w:lang w:val="en-AU"/>
              </w:rPr>
              <w:t>-16.0, 25.0</w:t>
            </w:r>
            <w:r w:rsidRPr="00316FF7">
              <w:rPr>
                <w:lang w:val="en-AU"/>
              </w:rPr>
              <w:t>]</w:t>
            </w:r>
          </w:p>
        </w:tc>
        <w:tc>
          <w:tcPr>
            <w:tcW w:w="2116" w:type="dxa"/>
          </w:tcPr>
          <w:p w14:paraId="7CBD2A58" w14:textId="0F8E60EB" w:rsidR="00E94DA5" w:rsidRPr="00316FF7" w:rsidRDefault="00E94DA5" w:rsidP="00E94DA5">
            <w:pPr>
              <w:pStyle w:val="C-TableText"/>
              <w:jc w:val="center"/>
              <w:rPr>
                <w:lang w:val="en-AU"/>
              </w:rPr>
            </w:pPr>
            <w:r w:rsidRPr="00316FF7">
              <w:rPr>
                <w:lang w:val="en-AU"/>
              </w:rPr>
              <w:t>6.5 [</w:t>
            </w:r>
            <w:r w:rsidR="003B3739" w:rsidRPr="00316FF7">
              <w:rPr>
                <w:lang w:val="en-AU"/>
              </w:rPr>
              <w:t>-20.0, 39.0</w:t>
            </w:r>
            <w:r w:rsidRPr="00316FF7">
              <w:rPr>
                <w:lang w:val="en-AU"/>
              </w:rPr>
              <w:t xml:space="preserve">] </w:t>
            </w:r>
            <w:r w:rsidRPr="00316FF7">
              <w:rPr>
                <w:b/>
                <w:bCs/>
                <w:lang w:val="en-AU"/>
              </w:rPr>
              <w:t>*</w:t>
            </w:r>
          </w:p>
        </w:tc>
      </w:tr>
      <w:tr w:rsidR="00E94DA5" w:rsidRPr="00316FF7" w14:paraId="6931A2F3" w14:textId="77777777" w:rsidTr="00E84895">
        <w:trPr>
          <w:cantSplit w:val="0"/>
        </w:trPr>
        <w:tc>
          <w:tcPr>
            <w:tcW w:w="2827" w:type="dxa"/>
          </w:tcPr>
          <w:p w14:paraId="44CBD8E7" w14:textId="77777777" w:rsidR="00E94DA5" w:rsidRPr="00316FF7" w:rsidRDefault="00E94DA5" w:rsidP="00E84895">
            <w:pPr>
              <w:pStyle w:val="C-TableText"/>
              <w:rPr>
                <w:lang w:val="en-AU"/>
              </w:rPr>
            </w:pPr>
            <w:r w:rsidRPr="00316FF7">
              <w:rPr>
                <w:lang w:val="en-AU"/>
              </w:rPr>
              <w:t>HDL Cholesterol (mg/dL)</w:t>
            </w:r>
          </w:p>
        </w:tc>
        <w:tc>
          <w:tcPr>
            <w:tcW w:w="2116" w:type="dxa"/>
          </w:tcPr>
          <w:p w14:paraId="5B4D01AA" w14:textId="6428CB25" w:rsidR="00E94DA5" w:rsidRPr="00316FF7" w:rsidRDefault="00E94DA5" w:rsidP="00E94DA5">
            <w:pPr>
              <w:pStyle w:val="C-TableText"/>
              <w:jc w:val="center"/>
              <w:rPr>
                <w:lang w:val="en-AU"/>
              </w:rPr>
            </w:pPr>
            <w:r w:rsidRPr="00316FF7">
              <w:rPr>
                <w:lang w:val="en-AU"/>
              </w:rPr>
              <w:t>4.0 [</w:t>
            </w:r>
            <w:r w:rsidR="003B3739" w:rsidRPr="00316FF7">
              <w:rPr>
                <w:lang w:val="en-AU"/>
              </w:rPr>
              <w:t>-24.0, 33.0</w:t>
            </w:r>
            <w:r w:rsidRPr="00316FF7">
              <w:rPr>
                <w:lang w:val="en-AU"/>
              </w:rPr>
              <w:t xml:space="preserve">] </w:t>
            </w:r>
            <w:r w:rsidRPr="00316FF7">
              <w:rPr>
                <w:b/>
                <w:bCs/>
                <w:vertAlign w:val="superscript"/>
                <w:lang w:val="en-AU"/>
              </w:rPr>
              <w:t>1</w:t>
            </w:r>
          </w:p>
        </w:tc>
        <w:tc>
          <w:tcPr>
            <w:tcW w:w="2116" w:type="dxa"/>
          </w:tcPr>
          <w:p w14:paraId="3445C5E1" w14:textId="0C0637FD" w:rsidR="00E94DA5" w:rsidRPr="00316FF7" w:rsidRDefault="00E94DA5" w:rsidP="00E94DA5">
            <w:pPr>
              <w:pStyle w:val="C-TableText"/>
              <w:jc w:val="center"/>
              <w:rPr>
                <w:lang w:val="en-AU"/>
              </w:rPr>
            </w:pPr>
            <w:r w:rsidRPr="00316FF7">
              <w:rPr>
                <w:lang w:val="en-AU"/>
              </w:rPr>
              <w:t>-16.0 [</w:t>
            </w:r>
            <w:r w:rsidR="003B3739" w:rsidRPr="00316FF7">
              <w:rPr>
                <w:lang w:val="en-AU"/>
              </w:rPr>
              <w:t>-35.0, 11.0</w:t>
            </w:r>
            <w:r w:rsidRPr="00316FF7">
              <w:rPr>
                <w:lang w:val="en-AU"/>
              </w:rPr>
              <w:t xml:space="preserve">] </w:t>
            </w:r>
            <w:r w:rsidRPr="00316FF7">
              <w:rPr>
                <w:b/>
                <w:bCs/>
                <w:lang w:val="en-AU"/>
              </w:rPr>
              <w:t>*</w:t>
            </w:r>
            <w:r w:rsidRPr="00316FF7">
              <w:rPr>
                <w:b/>
                <w:bCs/>
                <w:vertAlign w:val="superscript"/>
                <w:lang w:val="en-AU"/>
              </w:rPr>
              <w:t>1,3</w:t>
            </w:r>
          </w:p>
        </w:tc>
        <w:tc>
          <w:tcPr>
            <w:tcW w:w="2116" w:type="dxa"/>
          </w:tcPr>
          <w:p w14:paraId="73C50A86" w14:textId="659EADD0" w:rsidR="00E94DA5" w:rsidRPr="00316FF7" w:rsidRDefault="00E94DA5" w:rsidP="00E94DA5">
            <w:pPr>
              <w:pStyle w:val="C-TableText"/>
              <w:jc w:val="center"/>
              <w:rPr>
                <w:lang w:val="en-AU"/>
              </w:rPr>
            </w:pPr>
            <w:r w:rsidRPr="00316FF7">
              <w:rPr>
                <w:lang w:val="en-AU"/>
              </w:rPr>
              <w:t>8.5 [</w:t>
            </w:r>
            <w:r w:rsidR="003B3739" w:rsidRPr="00316FF7">
              <w:rPr>
                <w:lang w:val="en-AU"/>
              </w:rPr>
              <w:t>-17.0, 45.0</w:t>
            </w:r>
            <w:r w:rsidRPr="00316FF7">
              <w:rPr>
                <w:lang w:val="en-AU"/>
              </w:rPr>
              <w:t xml:space="preserve">] </w:t>
            </w:r>
            <w:r w:rsidRPr="00316FF7">
              <w:rPr>
                <w:b/>
                <w:bCs/>
                <w:lang w:val="en-AU"/>
              </w:rPr>
              <w:t>*</w:t>
            </w:r>
            <w:r w:rsidRPr="00316FF7">
              <w:rPr>
                <w:b/>
                <w:bCs/>
                <w:vertAlign w:val="superscript"/>
                <w:lang w:val="en-AU"/>
              </w:rPr>
              <w:t>3</w:t>
            </w:r>
          </w:p>
        </w:tc>
      </w:tr>
      <w:tr w:rsidR="00E94DA5" w:rsidRPr="00316FF7" w14:paraId="3EAB8E7D" w14:textId="77777777" w:rsidTr="00E84895">
        <w:trPr>
          <w:cantSplit w:val="0"/>
        </w:trPr>
        <w:tc>
          <w:tcPr>
            <w:tcW w:w="2827" w:type="dxa"/>
          </w:tcPr>
          <w:p w14:paraId="30453040" w14:textId="77777777" w:rsidR="00E94DA5" w:rsidRPr="00316FF7" w:rsidRDefault="00E94DA5" w:rsidP="00E84895">
            <w:pPr>
              <w:pStyle w:val="C-TableText"/>
              <w:rPr>
                <w:lang w:val="en-AU"/>
              </w:rPr>
            </w:pPr>
            <w:r w:rsidRPr="00316FF7">
              <w:rPr>
                <w:lang w:val="en-AU"/>
              </w:rPr>
              <w:t>Apolipoprotein A1 (mg/dL)</w:t>
            </w:r>
          </w:p>
        </w:tc>
        <w:tc>
          <w:tcPr>
            <w:tcW w:w="2116" w:type="dxa"/>
          </w:tcPr>
          <w:p w14:paraId="6958D745" w14:textId="137EFAA7" w:rsidR="00E94DA5" w:rsidRPr="00316FF7" w:rsidRDefault="00E94DA5" w:rsidP="00E94DA5">
            <w:pPr>
              <w:pStyle w:val="C-TableText"/>
              <w:jc w:val="center"/>
              <w:rPr>
                <w:lang w:val="en-AU"/>
              </w:rPr>
            </w:pPr>
            <w:r w:rsidRPr="00316FF7">
              <w:rPr>
                <w:lang w:val="en-AU"/>
              </w:rPr>
              <w:t>5.0 [</w:t>
            </w:r>
            <w:r w:rsidR="003B3739" w:rsidRPr="00316FF7">
              <w:rPr>
                <w:lang w:val="en-AU"/>
              </w:rPr>
              <w:t>-20.0, 23.0</w:t>
            </w:r>
            <w:r w:rsidRPr="00316FF7">
              <w:rPr>
                <w:lang w:val="en-AU"/>
              </w:rPr>
              <w:t xml:space="preserve">] </w:t>
            </w:r>
            <w:r w:rsidRPr="00316FF7">
              <w:rPr>
                <w:b/>
                <w:bCs/>
                <w:lang w:val="en-AU"/>
              </w:rPr>
              <w:t>*</w:t>
            </w:r>
            <w:r w:rsidRPr="00316FF7">
              <w:rPr>
                <w:b/>
                <w:bCs/>
                <w:vertAlign w:val="superscript"/>
                <w:lang w:val="en-AU"/>
              </w:rPr>
              <w:t>1,2</w:t>
            </w:r>
          </w:p>
        </w:tc>
        <w:tc>
          <w:tcPr>
            <w:tcW w:w="2116" w:type="dxa"/>
          </w:tcPr>
          <w:p w14:paraId="104771F9" w14:textId="09629656" w:rsidR="00E94DA5" w:rsidRPr="00316FF7" w:rsidRDefault="00E94DA5" w:rsidP="00E94DA5">
            <w:pPr>
              <w:pStyle w:val="C-TableText"/>
              <w:jc w:val="center"/>
              <w:rPr>
                <w:lang w:val="en-AU"/>
              </w:rPr>
            </w:pPr>
            <w:r w:rsidRPr="00316FF7">
              <w:rPr>
                <w:lang w:val="en-AU"/>
              </w:rPr>
              <w:t>-3.0 [</w:t>
            </w:r>
            <w:r w:rsidR="003B3739" w:rsidRPr="00316FF7">
              <w:rPr>
                <w:lang w:val="en-AU"/>
              </w:rPr>
              <w:t>-23.0, 43.0</w:t>
            </w:r>
            <w:r w:rsidRPr="00316FF7">
              <w:rPr>
                <w:lang w:val="en-AU"/>
              </w:rPr>
              <w:t xml:space="preserve">] </w:t>
            </w:r>
            <w:r w:rsidRPr="00316FF7">
              <w:rPr>
                <w:b/>
                <w:bCs/>
                <w:lang w:val="en-AU"/>
              </w:rPr>
              <w:t>*</w:t>
            </w:r>
            <w:r w:rsidRPr="00316FF7">
              <w:rPr>
                <w:b/>
                <w:bCs/>
                <w:vertAlign w:val="superscript"/>
                <w:lang w:val="en-AU"/>
              </w:rPr>
              <w:t>1,3</w:t>
            </w:r>
          </w:p>
        </w:tc>
        <w:tc>
          <w:tcPr>
            <w:tcW w:w="2116" w:type="dxa"/>
          </w:tcPr>
          <w:p w14:paraId="1FEC1342" w14:textId="262E2787" w:rsidR="00E94DA5" w:rsidRPr="00316FF7" w:rsidRDefault="00E94DA5" w:rsidP="00E94DA5">
            <w:pPr>
              <w:pStyle w:val="C-TableText"/>
              <w:jc w:val="center"/>
              <w:rPr>
                <w:lang w:val="en-AU"/>
              </w:rPr>
            </w:pPr>
            <w:r w:rsidRPr="00316FF7">
              <w:rPr>
                <w:lang w:val="en-AU"/>
              </w:rPr>
              <w:t>19.5 [</w:t>
            </w:r>
            <w:r w:rsidR="003B3739" w:rsidRPr="00316FF7">
              <w:rPr>
                <w:lang w:val="en-AU"/>
              </w:rPr>
              <w:t>-5.0, 64.0</w:t>
            </w:r>
            <w:r w:rsidRPr="00316FF7">
              <w:rPr>
                <w:lang w:val="en-AU"/>
              </w:rPr>
              <w:t xml:space="preserve">] </w:t>
            </w:r>
            <w:r w:rsidRPr="00316FF7">
              <w:rPr>
                <w:b/>
                <w:bCs/>
                <w:lang w:val="en-AU"/>
              </w:rPr>
              <w:t>*</w:t>
            </w:r>
            <w:r w:rsidRPr="00316FF7">
              <w:rPr>
                <w:b/>
                <w:bCs/>
                <w:vertAlign w:val="superscript"/>
                <w:lang w:val="en-AU"/>
              </w:rPr>
              <w:t>2,3</w:t>
            </w:r>
          </w:p>
        </w:tc>
      </w:tr>
      <w:tr w:rsidR="00E94DA5" w:rsidRPr="00316FF7" w14:paraId="3F56E431" w14:textId="77777777" w:rsidTr="00E84895">
        <w:trPr>
          <w:cantSplit w:val="0"/>
        </w:trPr>
        <w:tc>
          <w:tcPr>
            <w:tcW w:w="2827" w:type="dxa"/>
          </w:tcPr>
          <w:p w14:paraId="56861E23" w14:textId="77777777" w:rsidR="00E94DA5" w:rsidRPr="00316FF7" w:rsidRDefault="00E94DA5" w:rsidP="00E84895">
            <w:pPr>
              <w:pStyle w:val="C-TableText"/>
              <w:rPr>
                <w:lang w:val="en-AU"/>
              </w:rPr>
            </w:pPr>
            <w:r w:rsidRPr="00316FF7">
              <w:rPr>
                <w:lang w:val="en-AU"/>
              </w:rPr>
              <w:t>LDL Cholesterol (mg/dL)</w:t>
            </w:r>
          </w:p>
        </w:tc>
        <w:tc>
          <w:tcPr>
            <w:tcW w:w="2116" w:type="dxa"/>
          </w:tcPr>
          <w:p w14:paraId="723EFE8D" w14:textId="53AF280E" w:rsidR="00E94DA5" w:rsidRPr="00316FF7" w:rsidRDefault="00E94DA5" w:rsidP="00E94DA5">
            <w:pPr>
              <w:pStyle w:val="C-TableText"/>
              <w:jc w:val="center"/>
              <w:rPr>
                <w:lang w:val="en-AU"/>
              </w:rPr>
            </w:pPr>
            <w:r w:rsidRPr="00316FF7">
              <w:rPr>
                <w:lang w:val="en-AU"/>
              </w:rPr>
              <w:t>-2.0 [</w:t>
            </w:r>
            <w:r w:rsidR="003B3739" w:rsidRPr="00316FF7">
              <w:rPr>
                <w:lang w:val="en-AU"/>
              </w:rPr>
              <w:t>-24.0, 32.0</w:t>
            </w:r>
            <w:r w:rsidRPr="00316FF7">
              <w:rPr>
                <w:lang w:val="en-AU"/>
              </w:rPr>
              <w:t>]</w:t>
            </w:r>
          </w:p>
        </w:tc>
        <w:tc>
          <w:tcPr>
            <w:tcW w:w="2116" w:type="dxa"/>
          </w:tcPr>
          <w:p w14:paraId="75B85F41" w14:textId="01A07BE7" w:rsidR="00E94DA5" w:rsidRPr="00316FF7" w:rsidRDefault="00E94DA5" w:rsidP="00E94DA5">
            <w:pPr>
              <w:pStyle w:val="C-TableText"/>
              <w:jc w:val="center"/>
              <w:rPr>
                <w:lang w:val="en-AU"/>
              </w:rPr>
            </w:pPr>
            <w:r w:rsidRPr="00316FF7">
              <w:rPr>
                <w:lang w:val="en-AU"/>
              </w:rPr>
              <w:t>7.0 [</w:t>
            </w:r>
            <w:r w:rsidR="003B3739" w:rsidRPr="00316FF7">
              <w:rPr>
                <w:lang w:val="en-AU"/>
              </w:rPr>
              <w:t>-36.0, 57.0</w:t>
            </w:r>
            <w:r w:rsidRPr="00316FF7">
              <w:rPr>
                <w:lang w:val="en-AU"/>
              </w:rPr>
              <w:t>]</w:t>
            </w:r>
          </w:p>
        </w:tc>
        <w:tc>
          <w:tcPr>
            <w:tcW w:w="2116" w:type="dxa"/>
          </w:tcPr>
          <w:p w14:paraId="3D2B4084" w14:textId="04BE0618" w:rsidR="00E94DA5" w:rsidRPr="00316FF7" w:rsidRDefault="00E94DA5" w:rsidP="00E94DA5">
            <w:pPr>
              <w:pStyle w:val="C-TableText"/>
              <w:jc w:val="center"/>
              <w:rPr>
                <w:lang w:val="en-AU"/>
              </w:rPr>
            </w:pPr>
            <w:r w:rsidRPr="00316FF7">
              <w:rPr>
                <w:lang w:val="en-AU"/>
              </w:rPr>
              <w:t>-5.0 [</w:t>
            </w:r>
            <w:r w:rsidR="003B3739" w:rsidRPr="00316FF7">
              <w:rPr>
                <w:lang w:val="en-AU"/>
              </w:rPr>
              <w:t>-38.0, 58.0</w:t>
            </w:r>
            <w:r w:rsidRPr="00316FF7">
              <w:rPr>
                <w:lang w:val="en-AU"/>
              </w:rPr>
              <w:t>]</w:t>
            </w:r>
          </w:p>
        </w:tc>
      </w:tr>
      <w:tr w:rsidR="00E94DA5" w:rsidRPr="00316FF7" w14:paraId="5E5E6F05" w14:textId="77777777" w:rsidTr="00E84895">
        <w:trPr>
          <w:cantSplit w:val="0"/>
        </w:trPr>
        <w:tc>
          <w:tcPr>
            <w:tcW w:w="2827" w:type="dxa"/>
          </w:tcPr>
          <w:p w14:paraId="037CF649" w14:textId="77777777" w:rsidR="00E94DA5" w:rsidRPr="00316FF7" w:rsidRDefault="00E94DA5" w:rsidP="00E84895">
            <w:pPr>
              <w:pStyle w:val="C-TableText"/>
              <w:rPr>
                <w:lang w:val="en-AU"/>
              </w:rPr>
            </w:pPr>
            <w:r w:rsidRPr="00316FF7">
              <w:rPr>
                <w:lang w:val="en-AU"/>
              </w:rPr>
              <w:t>Apolipoprotein B (mg/dL)</w:t>
            </w:r>
          </w:p>
        </w:tc>
        <w:tc>
          <w:tcPr>
            <w:tcW w:w="2116" w:type="dxa"/>
          </w:tcPr>
          <w:p w14:paraId="6C00F0C2" w14:textId="08FC6A8A" w:rsidR="00E94DA5" w:rsidRPr="00316FF7" w:rsidRDefault="00E94DA5" w:rsidP="00E94DA5">
            <w:pPr>
              <w:pStyle w:val="C-TableText"/>
              <w:jc w:val="center"/>
              <w:rPr>
                <w:lang w:val="en-AU"/>
              </w:rPr>
            </w:pPr>
            <w:r w:rsidRPr="00316FF7">
              <w:rPr>
                <w:lang w:val="en-AU"/>
              </w:rPr>
              <w:t>4.0 [</w:t>
            </w:r>
            <w:r w:rsidR="003B3739" w:rsidRPr="00316FF7">
              <w:rPr>
                <w:lang w:val="en-AU"/>
              </w:rPr>
              <w:t>-20.0, 48.0</w:t>
            </w:r>
            <w:r w:rsidRPr="00316FF7">
              <w:rPr>
                <w:lang w:val="en-AU"/>
              </w:rPr>
              <w:t xml:space="preserve">] </w:t>
            </w:r>
            <w:r w:rsidRPr="00316FF7">
              <w:rPr>
                <w:b/>
                <w:bCs/>
                <w:lang w:val="en-AU"/>
              </w:rPr>
              <w:t>*</w:t>
            </w:r>
            <w:r w:rsidRPr="00316FF7">
              <w:rPr>
                <w:b/>
                <w:bCs/>
                <w:vertAlign w:val="superscript"/>
                <w:lang w:val="en-AU"/>
              </w:rPr>
              <w:t>1,2</w:t>
            </w:r>
          </w:p>
        </w:tc>
        <w:tc>
          <w:tcPr>
            <w:tcW w:w="2116" w:type="dxa"/>
          </w:tcPr>
          <w:p w14:paraId="7B21430D" w14:textId="568FE85C" w:rsidR="00E94DA5" w:rsidRPr="00316FF7" w:rsidRDefault="00E94DA5" w:rsidP="00E94DA5">
            <w:pPr>
              <w:pStyle w:val="C-TableText"/>
              <w:jc w:val="center"/>
              <w:rPr>
                <w:lang w:val="en-AU"/>
              </w:rPr>
            </w:pPr>
            <w:r w:rsidRPr="00316FF7">
              <w:rPr>
                <w:lang w:val="en-AU"/>
              </w:rPr>
              <w:t>23.0 [</w:t>
            </w:r>
            <w:r w:rsidR="003B3739" w:rsidRPr="00316FF7">
              <w:rPr>
                <w:lang w:val="en-AU"/>
              </w:rPr>
              <w:t>-12.0, 70.0</w:t>
            </w:r>
            <w:r w:rsidRPr="00316FF7">
              <w:rPr>
                <w:lang w:val="en-AU"/>
              </w:rPr>
              <w:t>]</w:t>
            </w:r>
            <w:r w:rsidRPr="00316FF7">
              <w:rPr>
                <w:b/>
                <w:bCs/>
                <w:lang w:val="en-AU"/>
              </w:rPr>
              <w:t xml:space="preserve"> *</w:t>
            </w:r>
            <w:r w:rsidRPr="00316FF7">
              <w:rPr>
                <w:b/>
                <w:bCs/>
                <w:vertAlign w:val="superscript"/>
                <w:lang w:val="en-AU"/>
              </w:rPr>
              <w:t>1,3</w:t>
            </w:r>
          </w:p>
        </w:tc>
        <w:tc>
          <w:tcPr>
            <w:tcW w:w="2116" w:type="dxa"/>
          </w:tcPr>
          <w:p w14:paraId="46163E3C" w14:textId="69D20324" w:rsidR="00E94DA5" w:rsidRPr="00316FF7" w:rsidRDefault="00E94DA5" w:rsidP="00E94DA5">
            <w:pPr>
              <w:pStyle w:val="C-TableText"/>
              <w:jc w:val="center"/>
              <w:rPr>
                <w:lang w:val="en-AU"/>
              </w:rPr>
            </w:pPr>
            <w:r w:rsidRPr="00316FF7">
              <w:rPr>
                <w:lang w:val="en-AU"/>
              </w:rPr>
              <w:t>11.5 [</w:t>
            </w:r>
            <w:r w:rsidR="003B3739" w:rsidRPr="00316FF7">
              <w:rPr>
                <w:lang w:val="en-AU"/>
              </w:rPr>
              <w:t>-17.0, 61.0</w:t>
            </w:r>
            <w:r w:rsidRPr="00316FF7">
              <w:rPr>
                <w:lang w:val="en-AU"/>
              </w:rPr>
              <w:t>]</w:t>
            </w:r>
            <w:r w:rsidRPr="00316FF7">
              <w:rPr>
                <w:b/>
                <w:bCs/>
                <w:lang w:val="en-AU"/>
              </w:rPr>
              <w:t xml:space="preserve"> *</w:t>
            </w:r>
            <w:r w:rsidRPr="00316FF7">
              <w:rPr>
                <w:b/>
                <w:bCs/>
                <w:vertAlign w:val="superscript"/>
                <w:lang w:val="en-AU"/>
              </w:rPr>
              <w:t>2,3</w:t>
            </w:r>
          </w:p>
        </w:tc>
      </w:tr>
      <w:tr w:rsidR="00E94DA5" w:rsidRPr="00316FF7" w14:paraId="2BF2FB34" w14:textId="77777777" w:rsidTr="00E84895">
        <w:trPr>
          <w:cantSplit w:val="0"/>
        </w:trPr>
        <w:tc>
          <w:tcPr>
            <w:tcW w:w="2827" w:type="dxa"/>
          </w:tcPr>
          <w:p w14:paraId="67D5E9E2" w14:textId="77777777" w:rsidR="00E94DA5" w:rsidRPr="00316FF7" w:rsidRDefault="00E94DA5" w:rsidP="00E84895">
            <w:pPr>
              <w:pStyle w:val="C-TableText"/>
              <w:rPr>
                <w:lang w:val="en-AU"/>
              </w:rPr>
            </w:pPr>
            <w:r w:rsidRPr="00316FF7">
              <w:rPr>
                <w:lang w:val="en-AU"/>
              </w:rPr>
              <w:t xml:space="preserve">HDL Cholesterol/LDL Cholesterol </w:t>
            </w:r>
          </w:p>
        </w:tc>
        <w:tc>
          <w:tcPr>
            <w:tcW w:w="2116" w:type="dxa"/>
          </w:tcPr>
          <w:p w14:paraId="147A5F7E" w14:textId="38CF79CF" w:rsidR="00E94DA5" w:rsidRPr="00316FF7" w:rsidRDefault="00E94DA5" w:rsidP="00E94DA5">
            <w:pPr>
              <w:pStyle w:val="C-TableText"/>
              <w:jc w:val="center"/>
              <w:rPr>
                <w:lang w:val="en-AU"/>
              </w:rPr>
            </w:pPr>
            <w:r w:rsidRPr="00316FF7">
              <w:rPr>
                <w:lang w:val="en-AU"/>
              </w:rPr>
              <w:t>0.0 [</w:t>
            </w:r>
            <w:r w:rsidR="003B3739" w:rsidRPr="00316FF7">
              <w:rPr>
                <w:lang w:val="en-AU"/>
              </w:rPr>
              <w:t>-25.0, 80.0</w:t>
            </w:r>
            <w:r w:rsidRPr="00316FF7">
              <w:rPr>
                <w:lang w:val="en-AU"/>
              </w:rPr>
              <w:t xml:space="preserve">] </w:t>
            </w:r>
            <w:r w:rsidRPr="00316FF7">
              <w:rPr>
                <w:b/>
                <w:bCs/>
                <w:vertAlign w:val="superscript"/>
                <w:lang w:val="en-AU"/>
              </w:rPr>
              <w:t>1</w:t>
            </w:r>
          </w:p>
        </w:tc>
        <w:tc>
          <w:tcPr>
            <w:tcW w:w="2116" w:type="dxa"/>
          </w:tcPr>
          <w:p w14:paraId="35AE16D4" w14:textId="0A80CC19" w:rsidR="00E94DA5" w:rsidRPr="00316FF7" w:rsidRDefault="00E94DA5" w:rsidP="00E94DA5">
            <w:pPr>
              <w:pStyle w:val="C-TableText"/>
              <w:jc w:val="center"/>
              <w:rPr>
                <w:lang w:val="en-AU"/>
              </w:rPr>
            </w:pPr>
            <w:r w:rsidRPr="00316FF7">
              <w:rPr>
                <w:lang w:val="en-AU"/>
              </w:rPr>
              <w:t>-17.0 [</w:t>
            </w:r>
            <w:r w:rsidR="003B3739" w:rsidRPr="00316FF7">
              <w:rPr>
                <w:lang w:val="en-AU"/>
              </w:rPr>
              <w:t>-53.0, 40.0</w:t>
            </w:r>
            <w:r w:rsidRPr="00316FF7">
              <w:rPr>
                <w:lang w:val="en-AU"/>
              </w:rPr>
              <w:t xml:space="preserve">] </w:t>
            </w:r>
            <w:r w:rsidRPr="00316FF7">
              <w:rPr>
                <w:b/>
                <w:bCs/>
                <w:lang w:val="en-AU"/>
              </w:rPr>
              <w:t>*</w:t>
            </w:r>
            <w:r w:rsidRPr="00316FF7">
              <w:rPr>
                <w:b/>
                <w:bCs/>
                <w:vertAlign w:val="superscript"/>
                <w:lang w:val="en-AU"/>
              </w:rPr>
              <w:t>1,3</w:t>
            </w:r>
          </w:p>
        </w:tc>
        <w:tc>
          <w:tcPr>
            <w:tcW w:w="2116" w:type="dxa"/>
          </w:tcPr>
          <w:p w14:paraId="72AE8360" w14:textId="0A22A304" w:rsidR="00E94DA5" w:rsidRPr="00316FF7" w:rsidRDefault="00E94DA5" w:rsidP="00E94DA5">
            <w:pPr>
              <w:pStyle w:val="C-TableText"/>
              <w:jc w:val="center"/>
              <w:rPr>
                <w:lang w:val="en-AU"/>
              </w:rPr>
            </w:pPr>
            <w:r w:rsidRPr="00316FF7">
              <w:rPr>
                <w:lang w:val="en-AU"/>
              </w:rPr>
              <w:t>17.0 [</w:t>
            </w:r>
            <w:r w:rsidR="007743E5" w:rsidRPr="00316FF7">
              <w:rPr>
                <w:lang w:val="en-AU"/>
              </w:rPr>
              <w:t>-46.0, 100.0</w:t>
            </w:r>
            <w:r w:rsidRPr="00316FF7">
              <w:rPr>
                <w:lang w:val="en-AU"/>
              </w:rPr>
              <w:t xml:space="preserve">] </w:t>
            </w:r>
            <w:r w:rsidRPr="00316FF7">
              <w:rPr>
                <w:b/>
                <w:bCs/>
                <w:lang w:val="en-AU"/>
              </w:rPr>
              <w:t>*</w:t>
            </w:r>
            <w:r w:rsidRPr="00316FF7">
              <w:rPr>
                <w:b/>
                <w:bCs/>
                <w:vertAlign w:val="superscript"/>
                <w:lang w:val="en-AU"/>
              </w:rPr>
              <w:t>3</w:t>
            </w:r>
          </w:p>
        </w:tc>
      </w:tr>
      <w:tr w:rsidR="00E94DA5" w:rsidRPr="00316FF7" w14:paraId="55CBC3DB" w14:textId="77777777" w:rsidTr="00E84895">
        <w:trPr>
          <w:cantSplit w:val="0"/>
        </w:trPr>
        <w:tc>
          <w:tcPr>
            <w:tcW w:w="2827" w:type="dxa"/>
          </w:tcPr>
          <w:p w14:paraId="239BC126" w14:textId="77777777" w:rsidR="00E94DA5" w:rsidRPr="00316FF7" w:rsidRDefault="00E94DA5" w:rsidP="00E84895">
            <w:pPr>
              <w:pStyle w:val="C-TableText"/>
              <w:rPr>
                <w:lang w:val="en-AU"/>
              </w:rPr>
            </w:pPr>
            <w:r w:rsidRPr="00316FF7">
              <w:rPr>
                <w:lang w:val="en-AU"/>
              </w:rPr>
              <w:t>Triglycerides (mg/dL)</w:t>
            </w:r>
          </w:p>
        </w:tc>
        <w:tc>
          <w:tcPr>
            <w:tcW w:w="2116" w:type="dxa"/>
          </w:tcPr>
          <w:p w14:paraId="294D9EAE" w14:textId="6DD49250" w:rsidR="00E94DA5" w:rsidRPr="00316FF7" w:rsidRDefault="00E94DA5" w:rsidP="00E94DA5">
            <w:pPr>
              <w:pStyle w:val="C-TableText"/>
              <w:jc w:val="center"/>
              <w:rPr>
                <w:lang w:val="en-AU"/>
              </w:rPr>
            </w:pPr>
            <w:r w:rsidRPr="00316FF7">
              <w:rPr>
                <w:lang w:val="en-AU"/>
              </w:rPr>
              <w:t>24.0 [</w:t>
            </w:r>
            <w:r w:rsidR="007743E5" w:rsidRPr="00316FF7">
              <w:rPr>
                <w:lang w:val="en-AU"/>
              </w:rPr>
              <w:t>-28.0, 159.0</w:t>
            </w:r>
            <w:r w:rsidRPr="00316FF7">
              <w:rPr>
                <w:lang w:val="en-AU"/>
              </w:rPr>
              <w:t xml:space="preserve">] </w:t>
            </w:r>
            <w:r w:rsidRPr="00316FF7">
              <w:rPr>
                <w:b/>
                <w:bCs/>
                <w:lang w:val="en-AU"/>
              </w:rPr>
              <w:t>*</w:t>
            </w:r>
            <w:r w:rsidRPr="00316FF7">
              <w:rPr>
                <w:b/>
                <w:bCs/>
                <w:vertAlign w:val="superscript"/>
                <w:lang w:val="en-AU"/>
              </w:rPr>
              <w:t>2</w:t>
            </w:r>
          </w:p>
        </w:tc>
        <w:tc>
          <w:tcPr>
            <w:tcW w:w="2116" w:type="dxa"/>
          </w:tcPr>
          <w:p w14:paraId="21CD44D1" w14:textId="0EFDFA4E" w:rsidR="00E94DA5" w:rsidRPr="00316FF7" w:rsidRDefault="00E94DA5" w:rsidP="00E94DA5">
            <w:pPr>
              <w:pStyle w:val="C-TableText"/>
              <w:jc w:val="center"/>
              <w:rPr>
                <w:lang w:val="en-AU"/>
              </w:rPr>
            </w:pPr>
            <w:r w:rsidRPr="00316FF7">
              <w:rPr>
                <w:lang w:val="en-AU"/>
              </w:rPr>
              <w:t>28.0 [</w:t>
            </w:r>
            <w:r w:rsidR="007743E5" w:rsidRPr="00316FF7">
              <w:rPr>
                <w:lang w:val="en-AU"/>
              </w:rPr>
              <w:t>-17.0, 161.0</w:t>
            </w:r>
            <w:r w:rsidRPr="00316FF7">
              <w:rPr>
                <w:lang w:val="en-AU"/>
              </w:rPr>
              <w:t xml:space="preserve">] </w:t>
            </w:r>
            <w:r w:rsidRPr="00316FF7">
              <w:rPr>
                <w:b/>
                <w:bCs/>
                <w:lang w:val="en-AU"/>
              </w:rPr>
              <w:t>*</w:t>
            </w:r>
            <w:r w:rsidRPr="00316FF7">
              <w:rPr>
                <w:b/>
                <w:bCs/>
                <w:vertAlign w:val="superscript"/>
                <w:lang w:val="en-AU"/>
              </w:rPr>
              <w:t>3</w:t>
            </w:r>
          </w:p>
        </w:tc>
        <w:tc>
          <w:tcPr>
            <w:tcW w:w="2116" w:type="dxa"/>
          </w:tcPr>
          <w:p w14:paraId="5AD5C3F7" w14:textId="407843E6" w:rsidR="00E94DA5" w:rsidRPr="00316FF7" w:rsidRDefault="00E94DA5" w:rsidP="00E94DA5">
            <w:pPr>
              <w:pStyle w:val="C-TableText"/>
              <w:jc w:val="center"/>
              <w:rPr>
                <w:lang w:val="en-AU"/>
              </w:rPr>
            </w:pPr>
            <w:r w:rsidRPr="00316FF7">
              <w:rPr>
                <w:lang w:val="en-AU"/>
              </w:rPr>
              <w:t>65.5 [</w:t>
            </w:r>
            <w:r w:rsidR="007743E5" w:rsidRPr="00316FF7">
              <w:rPr>
                <w:lang w:val="en-AU"/>
              </w:rPr>
              <w:t>23.0, 198.0</w:t>
            </w:r>
            <w:r w:rsidRPr="00316FF7">
              <w:rPr>
                <w:lang w:val="en-AU"/>
              </w:rPr>
              <w:t xml:space="preserve">] </w:t>
            </w:r>
            <w:r w:rsidRPr="00316FF7">
              <w:rPr>
                <w:b/>
                <w:bCs/>
                <w:lang w:val="en-AU"/>
              </w:rPr>
              <w:t>*</w:t>
            </w:r>
            <w:r w:rsidRPr="00316FF7">
              <w:rPr>
                <w:b/>
                <w:bCs/>
                <w:vertAlign w:val="superscript"/>
                <w:lang w:val="en-AU"/>
              </w:rPr>
              <w:t>3</w:t>
            </w:r>
          </w:p>
        </w:tc>
      </w:tr>
      <w:tr w:rsidR="00E94DA5" w:rsidRPr="00316FF7" w14:paraId="6246A928" w14:textId="77777777" w:rsidTr="00E84895">
        <w:trPr>
          <w:cantSplit w:val="0"/>
        </w:trPr>
        <w:tc>
          <w:tcPr>
            <w:tcW w:w="2827" w:type="dxa"/>
          </w:tcPr>
          <w:p w14:paraId="05257C55" w14:textId="77777777" w:rsidR="00E94DA5" w:rsidRPr="00316FF7" w:rsidRDefault="00E94DA5" w:rsidP="00E84895">
            <w:pPr>
              <w:pStyle w:val="C-TableText"/>
              <w:rPr>
                <w:lang w:val="en-AU"/>
              </w:rPr>
            </w:pPr>
            <w:r w:rsidRPr="00316FF7">
              <w:rPr>
                <w:lang w:val="en-AU"/>
              </w:rPr>
              <w:t>Lipoprotein-a (nmol/L)</w:t>
            </w:r>
          </w:p>
        </w:tc>
        <w:tc>
          <w:tcPr>
            <w:tcW w:w="2116" w:type="dxa"/>
          </w:tcPr>
          <w:p w14:paraId="0A1F7F35" w14:textId="60D1A5EB" w:rsidR="00E94DA5" w:rsidRPr="00316FF7" w:rsidRDefault="00E94DA5" w:rsidP="00E94DA5">
            <w:pPr>
              <w:pStyle w:val="C-TableText"/>
              <w:jc w:val="center"/>
              <w:rPr>
                <w:lang w:val="en-AU"/>
              </w:rPr>
            </w:pPr>
            <w:r w:rsidRPr="00316FF7">
              <w:rPr>
                <w:lang w:val="en-AU"/>
              </w:rPr>
              <w:t>0.0 [</w:t>
            </w:r>
            <w:r w:rsidR="007743E5" w:rsidRPr="00316FF7">
              <w:rPr>
                <w:lang w:val="en-AU"/>
              </w:rPr>
              <w:t>-40.0, 36.0</w:t>
            </w:r>
            <w:r w:rsidRPr="00316FF7">
              <w:rPr>
                <w:lang w:val="en-AU"/>
              </w:rPr>
              <w:t>]</w:t>
            </w:r>
          </w:p>
        </w:tc>
        <w:tc>
          <w:tcPr>
            <w:tcW w:w="2116" w:type="dxa"/>
          </w:tcPr>
          <w:p w14:paraId="755FBBD0" w14:textId="65D720A1" w:rsidR="00E94DA5" w:rsidRPr="00316FF7" w:rsidRDefault="00E94DA5" w:rsidP="00E94DA5">
            <w:pPr>
              <w:pStyle w:val="C-TableText"/>
              <w:jc w:val="center"/>
              <w:rPr>
                <w:lang w:val="en-AU"/>
              </w:rPr>
            </w:pPr>
            <w:r w:rsidRPr="00316FF7">
              <w:rPr>
                <w:lang w:val="en-AU"/>
              </w:rPr>
              <w:t>0.0 [</w:t>
            </w:r>
            <w:r w:rsidR="007743E5" w:rsidRPr="00316FF7">
              <w:rPr>
                <w:lang w:val="en-AU"/>
              </w:rPr>
              <w:t>-55.0, 46.0</w:t>
            </w:r>
            <w:r w:rsidRPr="00316FF7">
              <w:rPr>
                <w:lang w:val="en-AU"/>
              </w:rPr>
              <w:t>]</w:t>
            </w:r>
          </w:p>
        </w:tc>
        <w:tc>
          <w:tcPr>
            <w:tcW w:w="2116" w:type="dxa"/>
          </w:tcPr>
          <w:p w14:paraId="74B5172A" w14:textId="090BAEC9" w:rsidR="00E94DA5" w:rsidRPr="00316FF7" w:rsidRDefault="00E94DA5" w:rsidP="00E94DA5">
            <w:pPr>
              <w:pStyle w:val="C-TableText"/>
              <w:jc w:val="center"/>
              <w:rPr>
                <w:lang w:val="en-AU"/>
              </w:rPr>
            </w:pPr>
            <w:r w:rsidRPr="00316FF7">
              <w:rPr>
                <w:lang w:val="en-AU"/>
              </w:rPr>
              <w:t>0.0 [</w:t>
            </w:r>
            <w:r w:rsidR="007743E5" w:rsidRPr="00316FF7">
              <w:rPr>
                <w:lang w:val="en-AU"/>
              </w:rPr>
              <w:t>-57.0, 32.0</w:t>
            </w:r>
            <w:r w:rsidRPr="00316FF7">
              <w:rPr>
                <w:lang w:val="en-AU"/>
              </w:rPr>
              <w:t>]</w:t>
            </w:r>
          </w:p>
        </w:tc>
      </w:tr>
    </w:tbl>
    <w:p w14:paraId="4BD449F5" w14:textId="77777777" w:rsidR="00E94DA5" w:rsidRPr="00316FF7" w:rsidRDefault="00E94DA5" w:rsidP="00E94DA5">
      <w:pPr>
        <w:pStyle w:val="C-Footnote"/>
        <w:rPr>
          <w:lang w:val="en-AU"/>
        </w:rPr>
      </w:pPr>
      <w:r w:rsidRPr="00316FF7">
        <w:rPr>
          <w:lang w:val="en-AU"/>
        </w:rPr>
        <w:t>DRSP = drospirenone; E4 = estetrol; EE = ethinylestradiol; HDL = high-density lipoprotein; LDL = low-density lipoprotein; LNG = levonorgestrel; PP = per protocol</w:t>
      </w:r>
    </w:p>
    <w:p w14:paraId="2A262175" w14:textId="77777777" w:rsidR="00E94DA5" w:rsidRPr="00316FF7" w:rsidRDefault="00E94DA5" w:rsidP="00E94DA5">
      <w:pPr>
        <w:pStyle w:val="C-Footnote"/>
        <w:rPr>
          <w:rFonts w:eastAsia="Calibri"/>
          <w:lang w:val="en-AU"/>
        </w:rPr>
      </w:pPr>
      <w:r w:rsidRPr="00316FF7">
        <w:rPr>
          <w:rFonts w:eastAsia="Calibri"/>
          <w:lang w:val="en-AU"/>
        </w:rPr>
        <w:t xml:space="preserve">* Statistically significant (p &lt; 0.05) change from </w:t>
      </w:r>
      <w:proofErr w:type="gramStart"/>
      <w:r w:rsidRPr="00316FF7">
        <w:rPr>
          <w:rFonts w:eastAsia="Calibri"/>
          <w:lang w:val="en-AU"/>
        </w:rPr>
        <w:t>baseline;</w:t>
      </w:r>
      <w:proofErr w:type="gramEnd"/>
      <w:r w:rsidRPr="00316FF7">
        <w:rPr>
          <w:rFonts w:eastAsia="Calibri"/>
          <w:lang w:val="en-AU"/>
        </w:rPr>
        <w:t xml:space="preserve"> </w:t>
      </w:r>
    </w:p>
    <w:p w14:paraId="13DE5D19" w14:textId="77777777" w:rsidR="00E94DA5" w:rsidRPr="00316FF7" w:rsidRDefault="00E94DA5" w:rsidP="00E94DA5">
      <w:pPr>
        <w:pStyle w:val="C-Footnote"/>
        <w:rPr>
          <w:rFonts w:eastAsia="Calibri"/>
          <w:lang w:val="en-AU"/>
        </w:rPr>
      </w:pPr>
      <w:r w:rsidRPr="00316FF7">
        <w:rPr>
          <w:rFonts w:eastAsia="Calibri"/>
          <w:vertAlign w:val="superscript"/>
          <w:lang w:val="en-AU"/>
        </w:rPr>
        <w:lastRenderedPageBreak/>
        <w:t>1,2,3</w:t>
      </w:r>
      <w:bookmarkStart w:id="2" w:name="_Hlk32827579"/>
      <w:bookmarkEnd w:id="2"/>
      <w:r w:rsidRPr="00316FF7">
        <w:rPr>
          <w:rFonts w:eastAsia="Calibri"/>
          <w:lang w:val="en-AU"/>
        </w:rPr>
        <w:t xml:space="preserve"> Statistically significant (p &lt; 0.05) between treatments: 1 = </w:t>
      </w:r>
      <w:r w:rsidR="00F12FE1" w:rsidRPr="00316FF7">
        <w:rPr>
          <w:rFonts w:eastAsia="Calibri"/>
          <w:lang w:val="en-AU"/>
        </w:rPr>
        <w:t>NEXTSTELLIS</w:t>
      </w:r>
      <w:r w:rsidRPr="00316FF7">
        <w:rPr>
          <w:rFonts w:eastAsia="Calibri"/>
          <w:lang w:val="en-AU"/>
        </w:rPr>
        <w:t xml:space="preserve"> vs EE/LNG; 2 = </w:t>
      </w:r>
      <w:r w:rsidR="00F12FE1" w:rsidRPr="00316FF7">
        <w:rPr>
          <w:rFonts w:eastAsia="Calibri"/>
          <w:lang w:val="en-AU"/>
        </w:rPr>
        <w:t>NEXTSTELLIS</w:t>
      </w:r>
      <w:r w:rsidRPr="00316FF7">
        <w:rPr>
          <w:rFonts w:eastAsia="Calibri"/>
          <w:lang w:val="en-AU"/>
        </w:rPr>
        <w:t xml:space="preserve"> vs EE/DRSP; 3 = EE/LNG vs EE/DRSP</w:t>
      </w:r>
    </w:p>
    <w:p w14:paraId="4698723C" w14:textId="18ECF774" w:rsidR="00E94DA5" w:rsidRPr="00316FF7" w:rsidRDefault="00E94DA5" w:rsidP="00212101">
      <w:pPr>
        <w:pStyle w:val="C-Heading4non-numbered"/>
        <w:rPr>
          <w:b w:val="0"/>
          <w:u w:val="single"/>
          <w:lang w:val="en-AU"/>
        </w:rPr>
      </w:pPr>
      <w:r w:rsidRPr="00316FF7">
        <w:rPr>
          <w:b w:val="0"/>
          <w:u w:val="single"/>
          <w:lang w:val="en-AU"/>
        </w:rPr>
        <w:t xml:space="preserve">Bleeding </w:t>
      </w:r>
      <w:r w:rsidR="00BE29B8" w:rsidRPr="00316FF7">
        <w:rPr>
          <w:b w:val="0"/>
          <w:u w:val="single"/>
          <w:lang w:val="en-AU"/>
        </w:rPr>
        <w:t>Patterns</w:t>
      </w:r>
      <w:r w:rsidRPr="00316FF7">
        <w:rPr>
          <w:b w:val="0"/>
          <w:u w:val="single"/>
          <w:lang w:val="en-AU"/>
        </w:rPr>
        <w:t xml:space="preserve"> </w:t>
      </w:r>
      <w:r w:rsidR="00212101" w:rsidRPr="00316FF7">
        <w:rPr>
          <w:b w:val="0"/>
          <w:u w:val="single"/>
          <w:lang w:val="en-AU"/>
        </w:rPr>
        <w:t xml:space="preserve">and </w:t>
      </w:r>
      <w:r w:rsidRPr="00316FF7">
        <w:rPr>
          <w:b w:val="0"/>
          <w:u w:val="single"/>
          <w:lang w:val="en-AU"/>
        </w:rPr>
        <w:t>Amenorrhea</w:t>
      </w:r>
    </w:p>
    <w:p w14:paraId="61635078" w14:textId="477CFD39" w:rsidR="00E94DA5" w:rsidRPr="00316FF7" w:rsidRDefault="00E94DA5" w:rsidP="00E94DA5">
      <w:pPr>
        <w:pStyle w:val="C-BodyText"/>
        <w:rPr>
          <w:lang w:val="en-AU"/>
        </w:rPr>
      </w:pPr>
      <w:r w:rsidRPr="00316FF7">
        <w:rPr>
          <w:lang w:val="en-AU"/>
        </w:rPr>
        <w:t>In two large prospective studies</w:t>
      </w:r>
      <w:r w:rsidR="00DA194F" w:rsidRPr="00316FF7">
        <w:rPr>
          <w:lang w:val="en-AU"/>
        </w:rPr>
        <w:t xml:space="preserve"> (n = 3,632), </w:t>
      </w:r>
      <w:r w:rsidRPr="00316FF7">
        <w:rPr>
          <w:lang w:val="en-AU"/>
        </w:rPr>
        <w:t xml:space="preserve">one in Europe/Russia (C301) and one in North America (C302) </w:t>
      </w:r>
      <w:r w:rsidR="00C240A7" w:rsidRPr="00316FF7">
        <w:rPr>
          <w:lang w:val="en-AU"/>
        </w:rPr>
        <w:t xml:space="preserve">on the </w:t>
      </w:r>
      <w:r w:rsidR="00DA194F" w:rsidRPr="00316FF7">
        <w:rPr>
          <w:lang w:val="en-AU"/>
        </w:rPr>
        <w:t>us</w:t>
      </w:r>
      <w:r w:rsidR="00C240A7" w:rsidRPr="00316FF7">
        <w:rPr>
          <w:lang w:val="en-AU"/>
        </w:rPr>
        <w:t>e of</w:t>
      </w:r>
      <w:r w:rsidRPr="00316FF7">
        <w:rPr>
          <w:lang w:val="en-AU"/>
        </w:rPr>
        <w:t xml:space="preserve"> </w:t>
      </w:r>
      <w:r w:rsidR="00F12FE1" w:rsidRPr="00316FF7">
        <w:rPr>
          <w:lang w:val="en-AU"/>
        </w:rPr>
        <w:t>NEXTSTELLIS</w:t>
      </w:r>
      <w:r w:rsidRPr="00316FF7">
        <w:rPr>
          <w:lang w:val="en-AU"/>
        </w:rPr>
        <w:t xml:space="preserve"> for the prevention of pregnancy in women 16-50 years of age, the vaginal bleeding experience was recorded every day using a paper diary. </w:t>
      </w:r>
    </w:p>
    <w:p w14:paraId="3A130248" w14:textId="55DDCF0B" w:rsidR="00E94DA5" w:rsidRPr="00316FF7" w:rsidRDefault="00A806E1" w:rsidP="00212101">
      <w:pPr>
        <w:pStyle w:val="C-Heading5non-numbered"/>
        <w:rPr>
          <w:b w:val="0"/>
          <w:i/>
          <w:lang w:val="en-AU"/>
        </w:rPr>
      </w:pPr>
      <w:r w:rsidRPr="00316FF7">
        <w:rPr>
          <w:b w:val="0"/>
          <w:i/>
          <w:lang w:val="en-AU"/>
        </w:rPr>
        <w:t>Unscheduled</w:t>
      </w:r>
      <w:r w:rsidR="00E94DA5" w:rsidRPr="00316FF7">
        <w:rPr>
          <w:b w:val="0"/>
          <w:i/>
          <w:lang w:val="en-AU"/>
        </w:rPr>
        <w:t xml:space="preserve"> Bleeding and Spotting</w:t>
      </w:r>
    </w:p>
    <w:p w14:paraId="064B5336" w14:textId="341D4F3A" w:rsidR="00E94DA5" w:rsidRPr="00316FF7" w:rsidRDefault="00E94DA5" w:rsidP="00E94DA5">
      <w:pPr>
        <w:pStyle w:val="C-BodyText"/>
        <w:rPr>
          <w:lang w:val="en-AU"/>
        </w:rPr>
      </w:pPr>
      <w:r w:rsidRPr="00316FF7">
        <w:rPr>
          <w:lang w:val="en-AU"/>
        </w:rPr>
        <w:t xml:space="preserve">Women using </w:t>
      </w:r>
      <w:r w:rsidR="00F12FE1" w:rsidRPr="00316FF7">
        <w:rPr>
          <w:lang w:val="en-AU"/>
        </w:rPr>
        <w:t>NEXTSTELLIS</w:t>
      </w:r>
      <w:r w:rsidRPr="00316FF7">
        <w:rPr>
          <w:lang w:val="en-AU"/>
        </w:rPr>
        <w:t xml:space="preserve"> may experience </w:t>
      </w:r>
      <w:r w:rsidR="00A806E1" w:rsidRPr="00316FF7">
        <w:rPr>
          <w:lang w:val="en-AU"/>
        </w:rPr>
        <w:t xml:space="preserve">unscheduled </w:t>
      </w:r>
      <w:r w:rsidRPr="00316FF7">
        <w:rPr>
          <w:lang w:val="en-AU"/>
        </w:rPr>
        <w:t>(breakthrough or intracyclic) bleeding and spotting, especially during the first month of use. If bleeding persists or occurs after previously regular cycles, evaluate for causes such as pregnancy or malignancy.</w:t>
      </w:r>
    </w:p>
    <w:p w14:paraId="12C3E3EF" w14:textId="39EAA23E" w:rsidR="00E94DA5" w:rsidRPr="00316FF7" w:rsidRDefault="00A07B24" w:rsidP="00D12290">
      <w:pPr>
        <w:pStyle w:val="C-BodyText"/>
        <w:rPr>
          <w:lang w:val="en-AU"/>
        </w:rPr>
      </w:pPr>
      <w:r w:rsidRPr="00316FF7">
        <w:rPr>
          <w:lang w:val="en-AU"/>
        </w:rPr>
        <w:t>After an initial incidence of 27.1% in Cycle 1 (pooled C301 and C302), t</w:t>
      </w:r>
      <w:r w:rsidR="00E94DA5" w:rsidRPr="00316FF7">
        <w:rPr>
          <w:lang w:val="en-AU"/>
        </w:rPr>
        <w:t xml:space="preserve">he overall incidence of </w:t>
      </w:r>
      <w:r w:rsidR="00A806E1" w:rsidRPr="00316FF7">
        <w:rPr>
          <w:lang w:val="en-AU"/>
        </w:rPr>
        <w:t>unscheduled</w:t>
      </w:r>
      <w:r w:rsidR="00E94DA5" w:rsidRPr="00316FF7">
        <w:rPr>
          <w:lang w:val="en-AU"/>
        </w:rPr>
        <w:t xml:space="preserve"> bleeding and/or spotting ranged between 15% and 20% per cycle. The majority of bleeding and/or spotting episodes concerned spotting-only, implying that in each cycle, approximately 90% of the subjects did not experience </w:t>
      </w:r>
      <w:r w:rsidR="00A806E1" w:rsidRPr="00316FF7">
        <w:rPr>
          <w:lang w:val="en-AU"/>
        </w:rPr>
        <w:t>unscheduled</w:t>
      </w:r>
      <w:r w:rsidR="00E94DA5" w:rsidRPr="00316FF7">
        <w:rPr>
          <w:lang w:val="en-AU"/>
        </w:rPr>
        <w:t xml:space="preserve"> bleeding requiring the use of sanitary protection. </w:t>
      </w:r>
      <w:r w:rsidR="00D12290" w:rsidRPr="00316FF7">
        <w:rPr>
          <w:lang w:val="en-AU"/>
        </w:rPr>
        <w:t xml:space="preserve">From Cycles 2 through 12 the mean number of unscheduled bleeding/spotting days ranged between 0.4 and 0.6 days per cycle; the mean number of bleeding days was 0.2 to 0.3. </w:t>
      </w:r>
      <w:bookmarkStart w:id="3" w:name="_Hlk67409304"/>
      <w:r w:rsidR="00D12290" w:rsidRPr="00316FF7">
        <w:rPr>
          <w:lang w:val="en-AU"/>
        </w:rPr>
        <w:t xml:space="preserve">Incidence of unscheduled bleeding and/or spotting was higher when including only cycles with one missed active pill (18.2% to 31.3%) and became more </w:t>
      </w:r>
      <w:r w:rsidR="005B6184" w:rsidRPr="00316FF7">
        <w:rPr>
          <w:lang w:val="en-AU"/>
        </w:rPr>
        <w:t>irregular</w:t>
      </w:r>
      <w:r w:rsidR="00D12290" w:rsidRPr="00316FF7">
        <w:rPr>
          <w:lang w:val="en-AU"/>
        </w:rPr>
        <w:t xml:space="preserve"> when including only cycles with at least two active missed pills.</w:t>
      </w:r>
    </w:p>
    <w:bookmarkEnd w:id="3"/>
    <w:p w14:paraId="000C0CD6" w14:textId="6DBE0131" w:rsidR="00E94DA5" w:rsidRPr="00316FF7" w:rsidRDefault="00E94DA5" w:rsidP="00212101">
      <w:pPr>
        <w:pStyle w:val="C-Heading5non-numbered"/>
        <w:rPr>
          <w:b w:val="0"/>
          <w:i/>
          <w:lang w:val="en-AU"/>
        </w:rPr>
      </w:pPr>
      <w:r w:rsidRPr="00316FF7">
        <w:rPr>
          <w:b w:val="0"/>
          <w:i/>
          <w:lang w:val="en-AU"/>
        </w:rPr>
        <w:t xml:space="preserve">Scheduled </w:t>
      </w:r>
      <w:r w:rsidR="00212101" w:rsidRPr="00316FF7">
        <w:rPr>
          <w:b w:val="0"/>
          <w:i/>
          <w:lang w:val="en-AU"/>
        </w:rPr>
        <w:t>B</w:t>
      </w:r>
      <w:r w:rsidRPr="00316FF7">
        <w:rPr>
          <w:b w:val="0"/>
          <w:i/>
          <w:lang w:val="en-AU"/>
        </w:rPr>
        <w:t>leeding</w:t>
      </w:r>
    </w:p>
    <w:p w14:paraId="69552C61" w14:textId="77777777" w:rsidR="00E94DA5" w:rsidRPr="00316FF7" w:rsidRDefault="00E94DA5" w:rsidP="00E94DA5">
      <w:pPr>
        <w:pStyle w:val="C-BodyText"/>
        <w:rPr>
          <w:lang w:val="en-AU"/>
        </w:rPr>
      </w:pPr>
      <w:r w:rsidRPr="00316FF7">
        <w:rPr>
          <w:lang w:val="en-AU"/>
        </w:rPr>
        <w:t xml:space="preserve">Women who use </w:t>
      </w:r>
      <w:r w:rsidR="00F12FE1" w:rsidRPr="00316FF7">
        <w:rPr>
          <w:lang w:val="en-AU"/>
        </w:rPr>
        <w:t>NEXTSTELLIS</w:t>
      </w:r>
      <w:r w:rsidRPr="00316FF7">
        <w:rPr>
          <w:lang w:val="en-AU"/>
        </w:rPr>
        <w:t xml:space="preserve"> may experience absence of scheduled (withdrawal) bleeding, even if they are not pregnant. Based on subject diaries from clinical trials, absence of scheduled bleeding occurred in 9.7% to 11.3% of subjects per cycle, implying that 88.7% to 90.3% of the women did have their scheduled withdrawal bleeding in studies (C301 and C302). There were on average 4.9 to 5.6 scheduled bleeding-spotting days in a cycle, consisting of equal numbers of bleeding and spotting days. The median number of bleeding-spotting days in scheduled episodes was 4.0 to 5.0 days.</w:t>
      </w:r>
    </w:p>
    <w:p w14:paraId="03947FC0" w14:textId="77777777" w:rsidR="00E94DA5" w:rsidRPr="00316FF7" w:rsidRDefault="00E94DA5" w:rsidP="00E94DA5">
      <w:pPr>
        <w:pStyle w:val="C-BodyText"/>
        <w:rPr>
          <w:lang w:val="en-AU"/>
        </w:rPr>
      </w:pPr>
      <w:r w:rsidRPr="00316FF7">
        <w:rPr>
          <w:lang w:val="en-AU"/>
        </w:rPr>
        <w:t>If scheduled bleeding does not occur, consider the possibility of pregnancy. If the patient has not adhered to the prescribed dosing schedule (missed one or two active tablets or started taking them on a day later than she should have), consider the possibility of pregnancy at the time of the first missed period and perform appropriate diagnostic measures. If the patient has adhered to the prescribed dosing schedule and misses two consecutive periods, rule out pregnancy.</w:t>
      </w:r>
    </w:p>
    <w:p w14:paraId="72F5A930" w14:textId="05369DBF" w:rsidR="00E94DA5" w:rsidRPr="00316FF7" w:rsidRDefault="00E94DA5" w:rsidP="00E94DA5">
      <w:pPr>
        <w:pStyle w:val="C-BodyText"/>
        <w:rPr>
          <w:lang w:val="en-AU"/>
        </w:rPr>
      </w:pPr>
      <w:r w:rsidRPr="00316FF7">
        <w:rPr>
          <w:lang w:val="en-AU"/>
        </w:rPr>
        <w:t xml:space="preserve">Discontinuation due to bleeding pattern-related events was low from two different large studies (3.4% and 2.6%) </w:t>
      </w:r>
      <w:r w:rsidR="00716F04" w:rsidRPr="00316FF7">
        <w:rPr>
          <w:lang w:val="en-AU"/>
        </w:rPr>
        <w:t xml:space="preserve">(see </w:t>
      </w:r>
      <w:r w:rsidR="00716F04" w:rsidRPr="00316FF7">
        <w:rPr>
          <w:i/>
          <w:lang w:val="en-AU"/>
        </w:rPr>
        <w:t>section 5.1 Pharmacodynamic Properties</w:t>
      </w:r>
      <w:r w:rsidR="3966EDC7" w:rsidRPr="00316FF7">
        <w:rPr>
          <w:i/>
          <w:iCs/>
          <w:lang w:val="en-AU"/>
        </w:rPr>
        <w:t xml:space="preserve"> – Clinical Trials</w:t>
      </w:r>
      <w:r w:rsidR="00716F04" w:rsidRPr="00316FF7">
        <w:rPr>
          <w:lang w:val="en-AU"/>
        </w:rPr>
        <w:t>).</w:t>
      </w:r>
    </w:p>
    <w:p w14:paraId="5568785E" w14:textId="2996F84C" w:rsidR="00E94DA5" w:rsidRPr="00316FF7" w:rsidRDefault="00E94DA5" w:rsidP="00212101">
      <w:pPr>
        <w:pStyle w:val="C-Heading4non-numbered"/>
        <w:rPr>
          <w:b w:val="0"/>
          <w:u w:val="single"/>
          <w:lang w:val="en-AU"/>
        </w:rPr>
      </w:pPr>
      <w:r w:rsidRPr="00316FF7">
        <w:rPr>
          <w:b w:val="0"/>
          <w:u w:val="single"/>
          <w:lang w:val="en-AU"/>
        </w:rPr>
        <w:lastRenderedPageBreak/>
        <w:t>COC Use Before or</w:t>
      </w:r>
      <w:r w:rsidR="008B79B5" w:rsidRPr="00316FF7">
        <w:rPr>
          <w:b w:val="0"/>
          <w:u w:val="single"/>
          <w:lang w:val="en-AU"/>
        </w:rPr>
        <w:t xml:space="preserve"> During Early Pregnancy</w:t>
      </w:r>
    </w:p>
    <w:p w14:paraId="48D33440" w14:textId="372B996E" w:rsidR="00C744CB" w:rsidRPr="00316FF7" w:rsidRDefault="00C744CB" w:rsidP="00E94DA5">
      <w:pPr>
        <w:pStyle w:val="C-BodyText"/>
        <w:rPr>
          <w:lang w:val="en-AU"/>
        </w:rPr>
      </w:pPr>
      <w:r w:rsidRPr="00316FF7">
        <w:rPr>
          <w:lang w:val="en-AU"/>
        </w:rPr>
        <w:t xml:space="preserve">Extensive epidemiological studies have revealed neither an increased risk of birth defects in children born to women who take COCs prior to pregnancy, nor a teratogenic effect when COCs were taken inadvertently during early pregnancy. NEXTSTELLIS is contraindicated during pregnancy. Pregnancy should be ruled out before the start of therapy. Should pregnancy occur during the use of NEXTSTELLIS, the preparation must be discontinued immediately (see </w:t>
      </w:r>
      <w:r w:rsidRPr="00316FF7">
        <w:rPr>
          <w:i/>
          <w:lang w:val="en-AU"/>
        </w:rPr>
        <w:t>section 4.3 Contraindications</w:t>
      </w:r>
      <w:r w:rsidRPr="00316FF7">
        <w:rPr>
          <w:lang w:val="en-AU"/>
        </w:rPr>
        <w:t>).</w:t>
      </w:r>
    </w:p>
    <w:p w14:paraId="2D69ABAF" w14:textId="77777777" w:rsidR="00E94DA5" w:rsidRPr="00316FF7" w:rsidRDefault="00E94DA5" w:rsidP="00212101">
      <w:pPr>
        <w:pStyle w:val="C-Heading4non-numbered"/>
        <w:rPr>
          <w:b w:val="0"/>
          <w:u w:val="single"/>
          <w:lang w:val="en-AU"/>
        </w:rPr>
      </w:pPr>
      <w:r w:rsidRPr="00316FF7">
        <w:rPr>
          <w:b w:val="0"/>
          <w:u w:val="single"/>
          <w:lang w:val="en-AU"/>
        </w:rPr>
        <w:t>Depression</w:t>
      </w:r>
    </w:p>
    <w:p w14:paraId="49EC24C7" w14:textId="6173A575" w:rsidR="00E94DA5" w:rsidRPr="00316FF7" w:rsidRDefault="00E94DA5" w:rsidP="00E94DA5">
      <w:pPr>
        <w:pStyle w:val="C-BodyText"/>
        <w:rPr>
          <w:lang w:val="en-AU"/>
        </w:rPr>
      </w:pPr>
      <w:r w:rsidRPr="00316FF7">
        <w:rPr>
          <w:lang w:val="en-AU"/>
        </w:rPr>
        <w:t xml:space="preserve">Carefully observe women with a history of depression and discontinue </w:t>
      </w:r>
      <w:r w:rsidR="00F12FE1" w:rsidRPr="00316FF7">
        <w:rPr>
          <w:lang w:val="en-AU"/>
        </w:rPr>
        <w:t>NEXTSTELLIS</w:t>
      </w:r>
      <w:r w:rsidRPr="00316FF7">
        <w:rPr>
          <w:lang w:val="en-AU"/>
        </w:rPr>
        <w:t xml:space="preserve"> if depression recurs to a serious degree. Data on the association of COCs with onset of depression or exacerbation of existing depression are limited.</w:t>
      </w:r>
    </w:p>
    <w:p w14:paraId="2C9F6E65" w14:textId="3DD1C37A" w:rsidR="008D5813" w:rsidRPr="00316FF7" w:rsidRDefault="008D5813" w:rsidP="00E94DA5">
      <w:pPr>
        <w:pStyle w:val="C-BodyText"/>
        <w:rPr>
          <w:lang w:val="en-AU"/>
        </w:rPr>
      </w:pPr>
      <w:r w:rsidRPr="00316FF7">
        <w:rPr>
          <w:lang w:val="en-AU"/>
        </w:rPr>
        <w:t>Depressed mood and depression are well-known undesirable effects of hormonal contraceptive use. Depression can be serious and is a well-known risk factor for suicidal behaviour and suicide. Women should be advised to contact their physician in case of mood changes and depressive symptoms, including shortly after initiating the treatment.</w:t>
      </w:r>
    </w:p>
    <w:p w14:paraId="034BB5B9" w14:textId="5A72A9C8" w:rsidR="00E94DA5" w:rsidRPr="00316FF7" w:rsidRDefault="00E94DA5" w:rsidP="00212101">
      <w:pPr>
        <w:pStyle w:val="C-Heading4non-numbered"/>
        <w:rPr>
          <w:b w:val="0"/>
          <w:u w:val="single"/>
          <w:lang w:val="en-AU"/>
        </w:rPr>
      </w:pPr>
      <w:r w:rsidRPr="00316FF7">
        <w:rPr>
          <w:b w:val="0"/>
          <w:u w:val="single"/>
          <w:lang w:val="en-AU"/>
        </w:rPr>
        <w:t xml:space="preserve">Carcinoma of the </w:t>
      </w:r>
      <w:r w:rsidR="008B79B5" w:rsidRPr="00316FF7">
        <w:rPr>
          <w:b w:val="0"/>
          <w:u w:val="single"/>
          <w:lang w:val="en-AU"/>
        </w:rPr>
        <w:t>Breast and Cervix</w:t>
      </w:r>
    </w:p>
    <w:p w14:paraId="0A871C01" w14:textId="257B0CE6" w:rsidR="00E94DA5" w:rsidRPr="00316FF7" w:rsidRDefault="00F12FE1" w:rsidP="00E94DA5">
      <w:pPr>
        <w:pStyle w:val="C-BodyText"/>
        <w:rPr>
          <w:lang w:val="en-AU"/>
        </w:rPr>
      </w:pPr>
      <w:r w:rsidRPr="00316FF7">
        <w:rPr>
          <w:lang w:val="en-AU"/>
        </w:rPr>
        <w:t>NEXTSTELLIS</w:t>
      </w:r>
      <w:r w:rsidR="00E94DA5" w:rsidRPr="00316FF7">
        <w:rPr>
          <w:lang w:val="en-AU"/>
        </w:rPr>
        <w:t xml:space="preserve"> is contraindicated in women who currently have or have had breast cancer because breast cancer can be hormonally sensitive </w:t>
      </w:r>
      <w:r w:rsidR="00806558" w:rsidRPr="00316FF7">
        <w:rPr>
          <w:lang w:val="en-AU"/>
        </w:rPr>
        <w:t xml:space="preserve">(see </w:t>
      </w:r>
      <w:r w:rsidR="00806558" w:rsidRPr="00316FF7">
        <w:rPr>
          <w:i/>
          <w:lang w:val="en-AU"/>
        </w:rPr>
        <w:t>section 4.3 Contraindications</w:t>
      </w:r>
      <w:r w:rsidR="00806558" w:rsidRPr="00316FF7">
        <w:rPr>
          <w:lang w:val="en-AU"/>
        </w:rPr>
        <w:t>)</w:t>
      </w:r>
      <w:r w:rsidR="00E94DA5" w:rsidRPr="00316FF7">
        <w:rPr>
          <w:lang w:val="en-AU"/>
        </w:rPr>
        <w:t xml:space="preserve">. </w:t>
      </w:r>
    </w:p>
    <w:p w14:paraId="7C4A02C4" w14:textId="77777777" w:rsidR="00E94DA5" w:rsidRPr="00316FF7" w:rsidRDefault="00E94DA5" w:rsidP="00E94DA5">
      <w:pPr>
        <w:pStyle w:val="C-BodyText"/>
        <w:rPr>
          <w:lang w:val="en-AU"/>
        </w:rPr>
      </w:pPr>
      <w:r w:rsidRPr="00316FF7">
        <w:rPr>
          <w:lang w:val="en-AU"/>
        </w:rPr>
        <w:t>There is substantial evidence that COCs do not increase the incidence of breast cancer.</w:t>
      </w:r>
      <w:r w:rsidR="007D19C5" w:rsidRPr="00316FF7">
        <w:rPr>
          <w:lang w:val="en-AU"/>
        </w:rPr>
        <w:t xml:space="preserve"> </w:t>
      </w:r>
      <w:r w:rsidRPr="00316FF7">
        <w:rPr>
          <w:lang w:val="en-AU"/>
        </w:rPr>
        <w:t xml:space="preserve">Although some past studies have suggested that COCs might increase the incidence of breast cancer, more recent studies have not confirmed such findings. </w:t>
      </w:r>
    </w:p>
    <w:p w14:paraId="3E591713" w14:textId="77777777" w:rsidR="00E94DA5" w:rsidRPr="00316FF7" w:rsidRDefault="00E94DA5" w:rsidP="00E94DA5">
      <w:pPr>
        <w:pStyle w:val="C-BodyText"/>
        <w:rPr>
          <w:lang w:val="en-AU"/>
        </w:rPr>
      </w:pPr>
      <w:r w:rsidRPr="00316FF7">
        <w:rPr>
          <w:lang w:val="en-AU"/>
        </w:rPr>
        <w:t xml:space="preserve">Some studies suggest that COCs are associated with an increase in the risk of cervical cancer or intraepithelial neoplasia. There is controversy about the extent to which these findings are due to differences in sexual </w:t>
      </w:r>
      <w:r w:rsidR="00D77335" w:rsidRPr="00316FF7">
        <w:rPr>
          <w:lang w:val="en-AU"/>
        </w:rPr>
        <w:t>behaviour</w:t>
      </w:r>
      <w:r w:rsidRPr="00316FF7">
        <w:rPr>
          <w:lang w:val="en-AU"/>
        </w:rPr>
        <w:t xml:space="preserve"> and other factors.</w:t>
      </w:r>
    </w:p>
    <w:p w14:paraId="7AD70499" w14:textId="77777777" w:rsidR="00E94DA5" w:rsidRPr="00316FF7" w:rsidRDefault="00E94DA5" w:rsidP="00212101">
      <w:pPr>
        <w:pStyle w:val="C-Heading4non-numbered"/>
        <w:rPr>
          <w:b w:val="0"/>
          <w:u w:val="single"/>
          <w:lang w:val="en-AU"/>
        </w:rPr>
      </w:pPr>
      <w:r w:rsidRPr="00316FF7">
        <w:rPr>
          <w:b w:val="0"/>
          <w:u w:val="single"/>
          <w:lang w:val="en-AU"/>
        </w:rPr>
        <w:t>Effect on Binding Globulins</w:t>
      </w:r>
    </w:p>
    <w:p w14:paraId="25D8537A" w14:textId="785E4BBD" w:rsidR="00E94DA5" w:rsidRPr="00316FF7" w:rsidRDefault="00E94DA5" w:rsidP="00E94DA5">
      <w:pPr>
        <w:pStyle w:val="C-BodyText"/>
        <w:rPr>
          <w:lang w:val="en-AU"/>
        </w:rPr>
      </w:pPr>
      <w:r w:rsidRPr="00316FF7">
        <w:rPr>
          <w:lang w:val="en-AU"/>
        </w:rPr>
        <w:t xml:space="preserve">The effect of </w:t>
      </w:r>
      <w:r w:rsidR="00F12FE1" w:rsidRPr="00316FF7">
        <w:rPr>
          <w:lang w:val="en-AU"/>
        </w:rPr>
        <w:t>NEXTSTELLIS</w:t>
      </w:r>
      <w:r w:rsidRPr="00316FF7">
        <w:rPr>
          <w:lang w:val="en-AU"/>
        </w:rPr>
        <w:t xml:space="preserve"> (n = 34) was compared to </w:t>
      </w:r>
      <w:r w:rsidR="00B53FF3" w:rsidRPr="00316FF7">
        <w:rPr>
          <w:lang w:val="en-AU"/>
        </w:rPr>
        <w:t xml:space="preserve">ethinylestradiol </w:t>
      </w:r>
      <w:r w:rsidRPr="00316FF7">
        <w:rPr>
          <w:lang w:val="en-AU"/>
        </w:rPr>
        <w:t>30 µg/</w:t>
      </w:r>
      <w:r w:rsidR="001B430F" w:rsidRPr="00316FF7">
        <w:rPr>
          <w:lang w:val="en-AU"/>
        </w:rPr>
        <w:t xml:space="preserve">levonorgestrel </w:t>
      </w:r>
      <w:r w:rsidRPr="00316FF7">
        <w:rPr>
          <w:lang w:val="en-AU"/>
        </w:rPr>
        <w:t xml:space="preserve">150 µg (n = 27) and </w:t>
      </w:r>
      <w:r w:rsidR="00B53FF3" w:rsidRPr="00316FF7">
        <w:rPr>
          <w:lang w:val="en-AU"/>
        </w:rPr>
        <w:t xml:space="preserve">ethinylestradiol </w:t>
      </w:r>
      <w:r w:rsidRPr="00316FF7">
        <w:rPr>
          <w:lang w:val="en-AU"/>
        </w:rPr>
        <w:t>20 µg/</w:t>
      </w:r>
      <w:r w:rsidR="007D346F" w:rsidRPr="00316FF7">
        <w:rPr>
          <w:lang w:val="en-AU"/>
        </w:rPr>
        <w:t xml:space="preserve">drospirenone </w:t>
      </w:r>
      <w:r w:rsidRPr="00316FF7">
        <w:rPr>
          <w:lang w:val="en-AU"/>
        </w:rPr>
        <w:t xml:space="preserve">3 mg (n = 30) for differences in effects on binding globulins in a Phase 2 study. Sex Hormone Binding Globulin (SHBG) was increased in all three treatment groups and most pronounced in users of </w:t>
      </w:r>
      <w:r w:rsidR="00B53FF3" w:rsidRPr="00316FF7">
        <w:rPr>
          <w:lang w:val="en-AU"/>
        </w:rPr>
        <w:t>ethinylestradiol</w:t>
      </w:r>
      <w:r w:rsidRPr="00316FF7">
        <w:rPr>
          <w:lang w:val="en-AU"/>
        </w:rPr>
        <w:t>/</w:t>
      </w:r>
      <w:r w:rsidR="007D346F" w:rsidRPr="00316FF7">
        <w:rPr>
          <w:lang w:val="en-AU"/>
        </w:rPr>
        <w:t xml:space="preserve">drospirenone </w:t>
      </w:r>
      <w:r w:rsidRPr="00316FF7">
        <w:rPr>
          <w:lang w:val="en-AU"/>
        </w:rPr>
        <w:t xml:space="preserve">(+251%). The increases observed in users of </w:t>
      </w:r>
      <w:r w:rsidR="00F12FE1" w:rsidRPr="00316FF7">
        <w:rPr>
          <w:lang w:val="en-AU"/>
        </w:rPr>
        <w:t>NEXTSTELLIS</w:t>
      </w:r>
      <w:r w:rsidRPr="00316FF7">
        <w:rPr>
          <w:lang w:val="en-AU"/>
        </w:rPr>
        <w:t xml:space="preserve"> (+55%) and </w:t>
      </w:r>
      <w:r w:rsidR="00B53FF3" w:rsidRPr="00316FF7">
        <w:rPr>
          <w:lang w:val="en-AU"/>
        </w:rPr>
        <w:t>ethinylestradiol</w:t>
      </w:r>
      <w:r w:rsidRPr="00316FF7">
        <w:rPr>
          <w:lang w:val="en-AU"/>
        </w:rPr>
        <w:t>/</w:t>
      </w:r>
      <w:r w:rsidR="001B430F" w:rsidRPr="00316FF7">
        <w:rPr>
          <w:lang w:val="en-AU"/>
        </w:rPr>
        <w:t xml:space="preserve">levonorgestrel </w:t>
      </w:r>
      <w:r w:rsidRPr="00316FF7">
        <w:rPr>
          <w:lang w:val="en-AU"/>
        </w:rPr>
        <w:t xml:space="preserve">(+74%) were smaller and comparable. Similarly, levels of Corticosteroid Binding Globulin (CBG) and Thyroxin Binding Globulin were found to increase, especially in the </w:t>
      </w:r>
      <w:r w:rsidR="00B53FF3" w:rsidRPr="00316FF7">
        <w:rPr>
          <w:lang w:val="en-AU"/>
        </w:rPr>
        <w:t>ethinylestradiol</w:t>
      </w:r>
      <w:r w:rsidR="00D77335" w:rsidRPr="00316FF7">
        <w:rPr>
          <w:lang w:val="en-AU"/>
        </w:rPr>
        <w:t>-</w:t>
      </w:r>
      <w:r w:rsidRPr="00316FF7">
        <w:rPr>
          <w:lang w:val="en-AU"/>
        </w:rPr>
        <w:t xml:space="preserve">containing COC groups. </w:t>
      </w:r>
      <w:r w:rsidR="00F12FE1" w:rsidRPr="00316FF7">
        <w:rPr>
          <w:lang w:val="en-AU"/>
        </w:rPr>
        <w:t>NEXTSTELLIS</w:t>
      </w:r>
      <w:r w:rsidRPr="00316FF7">
        <w:rPr>
          <w:lang w:val="en-AU"/>
        </w:rPr>
        <w:t xml:space="preserve"> slightly increased the levels of cortisol, but less than observed with both comparators. Thyroid hormones were minimally affected.</w:t>
      </w:r>
    </w:p>
    <w:p w14:paraId="77072664" w14:textId="77777777" w:rsidR="00E94DA5" w:rsidRPr="00316FF7" w:rsidRDefault="00E94DA5" w:rsidP="00212101">
      <w:pPr>
        <w:pStyle w:val="C-Heading4non-numbered"/>
        <w:rPr>
          <w:b w:val="0"/>
          <w:u w:val="single"/>
          <w:lang w:val="en-AU"/>
        </w:rPr>
      </w:pPr>
      <w:r w:rsidRPr="00316FF7">
        <w:rPr>
          <w:b w:val="0"/>
          <w:u w:val="single"/>
          <w:lang w:val="en-AU"/>
        </w:rPr>
        <w:lastRenderedPageBreak/>
        <w:t>Hereditary Angioedema</w:t>
      </w:r>
    </w:p>
    <w:p w14:paraId="6858B792" w14:textId="77777777" w:rsidR="00E94DA5" w:rsidRPr="00316FF7" w:rsidRDefault="00E94DA5" w:rsidP="00E94DA5">
      <w:pPr>
        <w:pStyle w:val="C-BodyText"/>
        <w:rPr>
          <w:lang w:val="en-AU"/>
        </w:rPr>
      </w:pPr>
      <w:r w:rsidRPr="00316FF7">
        <w:rPr>
          <w:lang w:val="en-AU"/>
        </w:rPr>
        <w:t xml:space="preserve">In women with hereditary angioedema, exogenous estrogens may induce or exacerbate symptoms of angioedema. </w:t>
      </w:r>
    </w:p>
    <w:p w14:paraId="2E8755F3" w14:textId="77777777" w:rsidR="00E94DA5" w:rsidRPr="00316FF7" w:rsidRDefault="00E94DA5" w:rsidP="00212101">
      <w:pPr>
        <w:pStyle w:val="C-Heading4non-numbered"/>
        <w:rPr>
          <w:b w:val="0"/>
          <w:u w:val="single"/>
          <w:lang w:val="en-AU"/>
        </w:rPr>
      </w:pPr>
      <w:r w:rsidRPr="00316FF7">
        <w:rPr>
          <w:b w:val="0"/>
          <w:u w:val="single"/>
          <w:lang w:val="en-AU"/>
        </w:rPr>
        <w:t>Chloasma</w:t>
      </w:r>
    </w:p>
    <w:p w14:paraId="18F91310" w14:textId="77777777" w:rsidR="00E94DA5" w:rsidRPr="00316FF7" w:rsidRDefault="00E94DA5" w:rsidP="00E94DA5">
      <w:pPr>
        <w:pStyle w:val="C-BodyText"/>
        <w:rPr>
          <w:lang w:val="en-AU"/>
        </w:rPr>
      </w:pPr>
      <w:r w:rsidRPr="00316FF7">
        <w:rPr>
          <w:lang w:val="en-AU"/>
        </w:rPr>
        <w:t xml:space="preserve">Chloasma may occur with </w:t>
      </w:r>
      <w:r w:rsidR="00F12FE1" w:rsidRPr="00316FF7">
        <w:rPr>
          <w:lang w:val="en-AU"/>
        </w:rPr>
        <w:t>NEXTSTELLIS</w:t>
      </w:r>
      <w:r w:rsidRPr="00316FF7">
        <w:rPr>
          <w:lang w:val="en-AU"/>
        </w:rPr>
        <w:t xml:space="preserve"> use, especially in women with a history of chloasma gravidarum. Advise women with a history of chloasma to avoid exposure to the sun or ultraviolet radiation while using </w:t>
      </w:r>
      <w:r w:rsidR="00F12FE1" w:rsidRPr="00316FF7">
        <w:rPr>
          <w:lang w:val="en-AU"/>
        </w:rPr>
        <w:t>NEXTSTELLIS</w:t>
      </w:r>
      <w:r w:rsidRPr="00316FF7">
        <w:rPr>
          <w:lang w:val="en-AU"/>
        </w:rPr>
        <w:t>.</w:t>
      </w:r>
    </w:p>
    <w:p w14:paraId="265D00BD" w14:textId="77777777" w:rsidR="00B21E19" w:rsidRPr="00316FF7" w:rsidRDefault="00B21E19" w:rsidP="00212101">
      <w:pPr>
        <w:pStyle w:val="C-Heading4non-numbered"/>
        <w:rPr>
          <w:b w:val="0"/>
          <w:u w:val="single"/>
          <w:lang w:val="en-AU"/>
        </w:rPr>
      </w:pPr>
      <w:r w:rsidRPr="00316FF7">
        <w:rPr>
          <w:b w:val="0"/>
          <w:u w:val="single"/>
          <w:lang w:val="en-AU"/>
        </w:rPr>
        <w:t>Race/Ethnicity</w:t>
      </w:r>
    </w:p>
    <w:p w14:paraId="58F227C7" w14:textId="79901BB5" w:rsidR="00B21E19" w:rsidRPr="00316FF7" w:rsidRDefault="00B21E19" w:rsidP="00B21E19">
      <w:pPr>
        <w:pStyle w:val="C-BodyText"/>
        <w:rPr>
          <w:lang w:val="en-AU"/>
        </w:rPr>
      </w:pPr>
      <w:r w:rsidRPr="00316FF7">
        <w:rPr>
          <w:lang w:val="en-AU"/>
        </w:rPr>
        <w:t xml:space="preserve">No clinically significant difference was observed between the pharmacokinetics of </w:t>
      </w:r>
      <w:r w:rsidR="002A0E3F" w:rsidRPr="00316FF7">
        <w:rPr>
          <w:lang w:val="en-AU"/>
        </w:rPr>
        <w:t>E4</w:t>
      </w:r>
      <w:r w:rsidR="009A18D4" w:rsidRPr="00316FF7">
        <w:rPr>
          <w:lang w:val="en-AU"/>
        </w:rPr>
        <w:t xml:space="preserve"> </w:t>
      </w:r>
      <w:r w:rsidRPr="00316FF7">
        <w:rPr>
          <w:lang w:val="en-AU"/>
        </w:rPr>
        <w:t xml:space="preserve">or </w:t>
      </w:r>
      <w:r w:rsidR="00AA167F" w:rsidRPr="00316FF7">
        <w:rPr>
          <w:lang w:val="en-AU"/>
        </w:rPr>
        <w:t>drospirenone</w:t>
      </w:r>
      <w:r w:rsidRPr="00316FF7">
        <w:rPr>
          <w:lang w:val="en-AU"/>
        </w:rPr>
        <w:t xml:space="preserve"> depending on race </w:t>
      </w:r>
      <w:r w:rsidR="00476F88" w:rsidRPr="00316FF7">
        <w:rPr>
          <w:lang w:val="en-AU"/>
        </w:rPr>
        <w:t>(</w:t>
      </w:r>
      <w:r w:rsidRPr="00316FF7">
        <w:rPr>
          <w:lang w:val="en-AU"/>
        </w:rPr>
        <w:t>see</w:t>
      </w:r>
      <w:r w:rsidR="00476F88" w:rsidRPr="00316FF7">
        <w:rPr>
          <w:lang w:val="en-AU"/>
        </w:rPr>
        <w:t xml:space="preserve"> </w:t>
      </w:r>
      <w:r w:rsidR="00476F88" w:rsidRPr="00316FF7">
        <w:rPr>
          <w:i/>
          <w:lang w:val="en-AU"/>
        </w:rPr>
        <w:t>section 5.2 Pharmacokinetic Properties</w:t>
      </w:r>
      <w:r w:rsidR="00476F88" w:rsidRPr="00316FF7">
        <w:rPr>
          <w:lang w:val="en-AU"/>
        </w:rPr>
        <w:t>)</w:t>
      </w:r>
      <w:r w:rsidRPr="00316FF7">
        <w:rPr>
          <w:lang w:val="en-AU"/>
        </w:rPr>
        <w:t xml:space="preserve">. </w:t>
      </w:r>
    </w:p>
    <w:p w14:paraId="5CECE451" w14:textId="77777777" w:rsidR="003C1052" w:rsidRPr="00316FF7" w:rsidRDefault="00B21E19" w:rsidP="00212101">
      <w:pPr>
        <w:pStyle w:val="C-Heading4non-numbered"/>
        <w:rPr>
          <w:b w:val="0"/>
          <w:u w:val="single"/>
          <w:lang w:val="en-AU"/>
        </w:rPr>
      </w:pPr>
      <w:r w:rsidRPr="00316FF7">
        <w:rPr>
          <w:b w:val="0"/>
          <w:u w:val="single"/>
          <w:lang w:val="en-AU"/>
        </w:rPr>
        <w:t>Body Mass Index (BMI)/Body Weight</w:t>
      </w:r>
    </w:p>
    <w:p w14:paraId="06FFEE44" w14:textId="6062B2E9" w:rsidR="00B21E19" w:rsidRPr="00316FF7" w:rsidRDefault="00B21E19" w:rsidP="00B21E19">
      <w:pPr>
        <w:pStyle w:val="C-BodyText"/>
        <w:rPr>
          <w:lang w:val="en-AU"/>
        </w:rPr>
      </w:pPr>
      <w:r w:rsidRPr="00316FF7">
        <w:rPr>
          <w:lang w:val="en-AU"/>
        </w:rPr>
        <w:t xml:space="preserve">The safety and efficacy of </w:t>
      </w:r>
      <w:r w:rsidR="00F12FE1" w:rsidRPr="00316FF7">
        <w:rPr>
          <w:lang w:val="en-AU"/>
        </w:rPr>
        <w:t>NEXTSTELLIS</w:t>
      </w:r>
      <w:r w:rsidRPr="00316FF7">
        <w:rPr>
          <w:lang w:val="en-AU"/>
        </w:rPr>
        <w:t xml:space="preserve"> in women with a BMI ≥ 35 kg/m</w:t>
      </w:r>
      <w:r w:rsidRPr="00316FF7">
        <w:rPr>
          <w:vertAlign w:val="superscript"/>
          <w:lang w:val="en-AU"/>
        </w:rPr>
        <w:t>2</w:t>
      </w:r>
      <w:r w:rsidRPr="00316FF7">
        <w:rPr>
          <w:lang w:val="en-AU"/>
        </w:rPr>
        <w:t xml:space="preserve"> have not been evaluated. In Study C302 </w:t>
      </w:r>
      <w:r w:rsidR="00476F88" w:rsidRPr="00316FF7">
        <w:rPr>
          <w:lang w:val="en-AU"/>
        </w:rPr>
        <w:t>(</w:t>
      </w:r>
      <w:r w:rsidRPr="00316FF7">
        <w:rPr>
          <w:lang w:val="en-AU"/>
        </w:rPr>
        <w:t>see</w:t>
      </w:r>
      <w:r w:rsidR="00476F88" w:rsidRPr="00316FF7">
        <w:rPr>
          <w:lang w:val="en-AU"/>
        </w:rPr>
        <w:t xml:space="preserve"> </w:t>
      </w:r>
      <w:r w:rsidR="00476F88" w:rsidRPr="00316FF7">
        <w:rPr>
          <w:i/>
          <w:lang w:val="en-AU"/>
        </w:rPr>
        <w:t>section 5.1 Pharmacodynamic Properties</w:t>
      </w:r>
      <w:r w:rsidR="52680931" w:rsidRPr="00316FF7">
        <w:rPr>
          <w:i/>
          <w:iCs/>
          <w:lang w:val="en-AU"/>
        </w:rPr>
        <w:t xml:space="preserve"> </w:t>
      </w:r>
      <w:r w:rsidR="56BF8A4F" w:rsidRPr="00316FF7">
        <w:rPr>
          <w:i/>
          <w:iCs/>
          <w:lang w:val="en-AU"/>
        </w:rPr>
        <w:t>–</w:t>
      </w:r>
      <w:r w:rsidR="52680931" w:rsidRPr="00316FF7">
        <w:rPr>
          <w:i/>
          <w:iCs/>
          <w:lang w:val="en-AU"/>
        </w:rPr>
        <w:t xml:space="preserve"> </w:t>
      </w:r>
      <w:r w:rsidR="006358BC" w:rsidRPr="00316FF7">
        <w:rPr>
          <w:i/>
          <w:lang w:val="en-AU"/>
        </w:rPr>
        <w:t>Clinical Trials</w:t>
      </w:r>
      <w:r w:rsidR="00476F88" w:rsidRPr="00316FF7">
        <w:rPr>
          <w:lang w:val="en-AU"/>
        </w:rPr>
        <w:t>)</w:t>
      </w:r>
      <w:r w:rsidRPr="00316FF7">
        <w:rPr>
          <w:lang w:val="en-AU"/>
        </w:rPr>
        <w:t>, 23% of subjects had a BMI between 30 and 35 kg/m</w:t>
      </w:r>
      <w:r w:rsidRPr="00316FF7">
        <w:rPr>
          <w:vertAlign w:val="superscript"/>
          <w:lang w:val="en-AU"/>
        </w:rPr>
        <w:t>2</w:t>
      </w:r>
      <w:r w:rsidRPr="00316FF7">
        <w:rPr>
          <w:lang w:val="en-AU"/>
        </w:rPr>
        <w:t>. There was no difference in safety or efficacy based on stratification by BMI.</w:t>
      </w:r>
    </w:p>
    <w:p w14:paraId="6C2B94B3" w14:textId="1D2FE94D" w:rsidR="008D5813" w:rsidRPr="00316FF7" w:rsidRDefault="008D5813" w:rsidP="008D5813">
      <w:pPr>
        <w:pStyle w:val="C-Heading4non-numbered"/>
        <w:rPr>
          <w:b w:val="0"/>
          <w:u w:val="single"/>
          <w:lang w:val="en-AU"/>
        </w:rPr>
      </w:pPr>
      <w:r w:rsidRPr="00316FF7">
        <w:rPr>
          <w:b w:val="0"/>
          <w:u w:val="single"/>
          <w:lang w:val="en-AU"/>
        </w:rPr>
        <w:t>Other conditions</w:t>
      </w:r>
    </w:p>
    <w:p w14:paraId="45767321" w14:textId="48F0F5FE" w:rsidR="008D5813" w:rsidRPr="00316FF7" w:rsidRDefault="008D5813" w:rsidP="008D5813">
      <w:pPr>
        <w:pStyle w:val="C-BodyText"/>
        <w:rPr>
          <w:lang w:val="en-AU"/>
        </w:rPr>
      </w:pPr>
      <w:r w:rsidRPr="00316FF7">
        <w:rPr>
          <w:lang w:val="en-AU"/>
        </w:rPr>
        <w:t xml:space="preserve">Worsening of Crohn’s disease and ulcerative colitis has been reported </w:t>
      </w:r>
      <w:r w:rsidR="004B53F3" w:rsidRPr="00316FF7">
        <w:rPr>
          <w:lang w:val="en-AU"/>
        </w:rPr>
        <w:t>by women using COCs</w:t>
      </w:r>
      <w:r w:rsidRPr="00316FF7">
        <w:rPr>
          <w:lang w:val="en-AU"/>
        </w:rPr>
        <w:t>.</w:t>
      </w:r>
    </w:p>
    <w:p w14:paraId="005B559D" w14:textId="72AE7852" w:rsidR="00316FF7" w:rsidRPr="00316FF7" w:rsidRDefault="00316FF7" w:rsidP="00316FF7">
      <w:pPr>
        <w:pStyle w:val="C-BodyText"/>
        <w:rPr>
          <w:lang w:val="en-AU"/>
        </w:rPr>
      </w:pPr>
      <w:r w:rsidRPr="00316FF7">
        <w:rPr>
          <w:lang w:val="en-AU"/>
        </w:rPr>
        <w:t xml:space="preserve">The following conditions have been reported to occur or deteriorate with both pregnancy and COC use, but the evidence of an association with COC use is inconclusive: jaundice and/or pruritus related to cholestasis; gallstone formation; porphyria; systemic lupus erythematosus; haemolytic uraemic syndrome; Sydenham’s chorea; herpes </w:t>
      </w:r>
      <w:proofErr w:type="spellStart"/>
      <w:r w:rsidRPr="00316FF7">
        <w:rPr>
          <w:lang w:val="en-AU"/>
        </w:rPr>
        <w:t>gestationis</w:t>
      </w:r>
      <w:proofErr w:type="spellEnd"/>
      <w:r w:rsidRPr="00316FF7">
        <w:rPr>
          <w:lang w:val="en-AU"/>
        </w:rPr>
        <w:t>; otosclerosis-related hearing loss.</w:t>
      </w:r>
    </w:p>
    <w:p w14:paraId="5F19EA83" w14:textId="5A16EF5C" w:rsidR="00316FF7" w:rsidRPr="00316FF7" w:rsidRDefault="00316FF7" w:rsidP="00316FF7">
      <w:pPr>
        <w:pStyle w:val="C-BodyText"/>
        <w:rPr>
          <w:lang w:val="en-AU"/>
        </w:rPr>
      </w:pPr>
      <w:r w:rsidRPr="00316FF7">
        <w:rPr>
          <w:lang w:val="en-AU"/>
        </w:rPr>
        <w:t>Acute or chronic disturbances of liver function may necessitate the discontinuation of C</w:t>
      </w:r>
      <w:r>
        <w:rPr>
          <w:lang w:val="en-AU"/>
        </w:rPr>
        <w:t>O</w:t>
      </w:r>
      <w:r w:rsidRPr="00316FF7">
        <w:rPr>
          <w:lang w:val="en-AU"/>
        </w:rPr>
        <w:t>C use until markers of liver function return to normal. Recurrence of cholestatic jaundice which occurred first during pregnancy or previous use of sex steroids necessitates the discontinuation of C</w:t>
      </w:r>
      <w:r>
        <w:rPr>
          <w:lang w:val="en-AU"/>
        </w:rPr>
        <w:t>O</w:t>
      </w:r>
      <w:r w:rsidRPr="00316FF7">
        <w:rPr>
          <w:lang w:val="en-AU"/>
        </w:rPr>
        <w:t>Cs.</w:t>
      </w:r>
    </w:p>
    <w:p w14:paraId="23645D54" w14:textId="77777777" w:rsidR="00BC3831" w:rsidRPr="00316FF7" w:rsidRDefault="00BC3831" w:rsidP="00DE770A">
      <w:pPr>
        <w:pStyle w:val="C-Heading3non-numbered"/>
        <w:rPr>
          <w:lang w:val="en-AU"/>
        </w:rPr>
      </w:pPr>
      <w:r w:rsidRPr="00316FF7">
        <w:rPr>
          <w:lang w:val="en-AU"/>
        </w:rPr>
        <w:t xml:space="preserve">Use in </w:t>
      </w:r>
      <w:r w:rsidR="00944786" w:rsidRPr="00316FF7">
        <w:rPr>
          <w:lang w:val="en-AU"/>
        </w:rPr>
        <w:t>H</w:t>
      </w:r>
      <w:r w:rsidRPr="00316FF7">
        <w:rPr>
          <w:lang w:val="en-AU"/>
        </w:rPr>
        <w:t xml:space="preserve">epatic </w:t>
      </w:r>
      <w:r w:rsidR="00944786" w:rsidRPr="00316FF7">
        <w:rPr>
          <w:lang w:val="en-AU"/>
        </w:rPr>
        <w:t>I</w:t>
      </w:r>
      <w:r w:rsidRPr="00316FF7">
        <w:rPr>
          <w:lang w:val="en-AU"/>
        </w:rPr>
        <w:t>mpairment</w:t>
      </w:r>
    </w:p>
    <w:p w14:paraId="5C5D22F3" w14:textId="7B770266" w:rsidR="00E92403" w:rsidRPr="00316FF7" w:rsidRDefault="0019515D" w:rsidP="00E92403">
      <w:pPr>
        <w:pStyle w:val="C-BodyText"/>
        <w:rPr>
          <w:lang w:val="en-AU"/>
        </w:rPr>
      </w:pPr>
      <w:r w:rsidRPr="00316FF7">
        <w:rPr>
          <w:lang w:val="en-AU"/>
        </w:rPr>
        <w:t xml:space="preserve">NEXTSTELLIS </w:t>
      </w:r>
      <w:r w:rsidR="00C744CB" w:rsidRPr="00316FF7">
        <w:rPr>
          <w:lang w:val="en-AU"/>
        </w:rPr>
        <w:t xml:space="preserve">is contraindicated in women with severe hepatic disease as long as liver function values have not returned to normal (see </w:t>
      </w:r>
      <w:r w:rsidR="00C744CB" w:rsidRPr="00316FF7">
        <w:rPr>
          <w:i/>
          <w:lang w:val="en-AU"/>
        </w:rPr>
        <w:t>section 4.3 Contraindications</w:t>
      </w:r>
      <w:r w:rsidR="00C744CB" w:rsidRPr="00316FF7">
        <w:rPr>
          <w:lang w:val="en-AU"/>
        </w:rPr>
        <w:t>).</w:t>
      </w:r>
      <w:r w:rsidR="000F2EBD" w:rsidRPr="00316FF7">
        <w:rPr>
          <w:lang w:val="en-AU"/>
        </w:rPr>
        <w:t xml:space="preserve"> </w:t>
      </w:r>
      <w:r w:rsidR="00E92403" w:rsidRPr="00316FF7">
        <w:rPr>
          <w:vanish/>
          <w:lang w:val="en-AU"/>
        </w:rPr>
        <w:t>If relevant, include a precaution regarding use of the medicine in persons with hepatic impairment.</w:t>
      </w:r>
    </w:p>
    <w:p w14:paraId="39C270E1" w14:textId="77777777" w:rsidR="00BC0AAF" w:rsidRPr="00316FF7" w:rsidRDefault="000B49FB" w:rsidP="00212101">
      <w:pPr>
        <w:pStyle w:val="C-Heading4non-numbered"/>
        <w:rPr>
          <w:b w:val="0"/>
          <w:u w:val="single"/>
          <w:lang w:val="en-AU"/>
        </w:rPr>
      </w:pPr>
      <w:r w:rsidRPr="00316FF7">
        <w:rPr>
          <w:b w:val="0"/>
          <w:u w:val="single"/>
          <w:lang w:val="en-AU"/>
        </w:rPr>
        <w:t xml:space="preserve">Liver </w:t>
      </w:r>
      <w:r w:rsidR="00D77335" w:rsidRPr="00316FF7">
        <w:rPr>
          <w:b w:val="0"/>
          <w:u w:val="single"/>
          <w:lang w:val="en-AU"/>
        </w:rPr>
        <w:t>Tumours</w:t>
      </w:r>
    </w:p>
    <w:p w14:paraId="73712E3E" w14:textId="7E8EF226" w:rsidR="000B49FB" w:rsidRPr="00316FF7" w:rsidRDefault="00F12FE1" w:rsidP="000B49FB">
      <w:pPr>
        <w:pStyle w:val="C-BodyText"/>
        <w:rPr>
          <w:lang w:val="en-AU"/>
        </w:rPr>
      </w:pPr>
      <w:r w:rsidRPr="00316FF7">
        <w:rPr>
          <w:lang w:val="en-AU"/>
        </w:rPr>
        <w:t>NEXTSTELLIS</w:t>
      </w:r>
      <w:r w:rsidR="000B49FB" w:rsidRPr="00316FF7">
        <w:rPr>
          <w:lang w:val="en-AU"/>
        </w:rPr>
        <w:t xml:space="preserve"> is contraindicated in women with benign and malignant liver </w:t>
      </w:r>
      <w:r w:rsidR="00D77335" w:rsidRPr="00316FF7">
        <w:rPr>
          <w:lang w:val="en-AU"/>
        </w:rPr>
        <w:t>tumours</w:t>
      </w:r>
      <w:r w:rsidR="000B49FB" w:rsidRPr="00316FF7">
        <w:rPr>
          <w:lang w:val="en-AU"/>
        </w:rPr>
        <w:t xml:space="preserve"> </w:t>
      </w:r>
      <w:r w:rsidR="00806558" w:rsidRPr="00316FF7">
        <w:rPr>
          <w:lang w:val="en-AU"/>
        </w:rPr>
        <w:t xml:space="preserve">(see </w:t>
      </w:r>
      <w:r w:rsidR="00806558" w:rsidRPr="00316FF7">
        <w:rPr>
          <w:i/>
          <w:lang w:val="en-AU"/>
        </w:rPr>
        <w:t>section 4.3 Contraindications</w:t>
      </w:r>
      <w:r w:rsidR="00806558" w:rsidRPr="00316FF7">
        <w:rPr>
          <w:lang w:val="en-AU"/>
        </w:rPr>
        <w:t>)</w:t>
      </w:r>
      <w:r w:rsidR="000B49FB" w:rsidRPr="00316FF7">
        <w:rPr>
          <w:lang w:val="en-AU"/>
        </w:rPr>
        <w:t>.</w:t>
      </w:r>
    </w:p>
    <w:p w14:paraId="129C4714" w14:textId="0B295B85" w:rsidR="00E4731F" w:rsidRPr="00316FF7" w:rsidRDefault="00E4731F" w:rsidP="000B49FB">
      <w:pPr>
        <w:pStyle w:val="C-BodyText"/>
        <w:rPr>
          <w:lang w:val="en-AU"/>
        </w:rPr>
      </w:pPr>
      <w:r w:rsidRPr="00316FF7">
        <w:rPr>
          <w:lang w:val="en-AU"/>
        </w:rPr>
        <w:lastRenderedPageBreak/>
        <w:t>In rare cases, benign liver tumours, and even more rarely, malignant liver tumours, have been reported in users of COCs. In isolated cases, these tumours have led to life</w:t>
      </w:r>
      <w:r w:rsidR="005E103F" w:rsidRPr="00316FF7">
        <w:rPr>
          <w:lang w:val="en-AU"/>
        </w:rPr>
        <w:t>-</w:t>
      </w:r>
      <w:r w:rsidRPr="00316FF7">
        <w:rPr>
          <w:lang w:val="en-AU"/>
        </w:rPr>
        <w:t>threatening intra-abdominal haemorrhages. A liver tumour should be considered in the differential diagnosis when severe upper abdominal pain, liver enlargement or signs of intra-abdominal haemorrhage occur in women taking COCs.</w:t>
      </w:r>
    </w:p>
    <w:p w14:paraId="5807FDCD" w14:textId="77777777" w:rsidR="00BC0AAF" w:rsidRPr="00316FF7" w:rsidRDefault="000B49FB" w:rsidP="00212101">
      <w:pPr>
        <w:pStyle w:val="C-Heading4non-numbered"/>
        <w:rPr>
          <w:b w:val="0"/>
          <w:u w:val="single"/>
          <w:lang w:val="en-AU"/>
        </w:rPr>
      </w:pPr>
      <w:r w:rsidRPr="00316FF7">
        <w:rPr>
          <w:b w:val="0"/>
          <w:u w:val="single"/>
          <w:lang w:val="en-AU"/>
        </w:rPr>
        <w:t>Risk of Liver Enzyme Elevations with Concomitant Hepatitis C Treatment</w:t>
      </w:r>
    </w:p>
    <w:p w14:paraId="27FE9DDA" w14:textId="526A4E1C" w:rsidR="00FA7C7C" w:rsidRPr="00316FF7" w:rsidRDefault="0048659A" w:rsidP="0072411C">
      <w:pPr>
        <w:pStyle w:val="C-BodyText"/>
        <w:rPr>
          <w:lang w:val="en-AU"/>
        </w:rPr>
      </w:pPr>
      <w:r w:rsidRPr="00316FF7">
        <w:rPr>
          <w:lang w:val="en-AU"/>
        </w:rPr>
        <w:t xml:space="preserve">During clinical trials with the Hepatitis C combination drug regimen that contains ombitasvir/paritaprevir/ritonavir, with or without dasabuvir, ALT elevations greater than 5 times the upper limit of normal (ULN), including some cases greater than 20 times the ULN, were significantly more frequent in women using </w:t>
      </w:r>
      <w:r w:rsidR="00413645" w:rsidRPr="00316FF7">
        <w:rPr>
          <w:lang w:val="en-AU"/>
        </w:rPr>
        <w:t>ethinylestradiol</w:t>
      </w:r>
      <w:r w:rsidRPr="00316FF7">
        <w:rPr>
          <w:lang w:val="en-AU"/>
        </w:rPr>
        <w:t xml:space="preserve">-containing medications, such as COCs. Women using medications containing estrogens other than </w:t>
      </w:r>
      <w:r w:rsidR="00413645" w:rsidRPr="00316FF7">
        <w:rPr>
          <w:lang w:val="en-AU"/>
        </w:rPr>
        <w:t xml:space="preserve">ethinylestradiol </w:t>
      </w:r>
      <w:r w:rsidRPr="00316FF7">
        <w:rPr>
          <w:lang w:val="en-AU"/>
        </w:rPr>
        <w:t xml:space="preserve">had a rate of ALT elevation similar to those not receiving any estrogens. </w:t>
      </w:r>
      <w:r w:rsidR="00413645" w:rsidRPr="00316FF7">
        <w:rPr>
          <w:lang w:val="en-AU"/>
        </w:rPr>
        <w:t>NEXTSTELLIS</w:t>
      </w:r>
      <w:r w:rsidRPr="00316FF7">
        <w:rPr>
          <w:lang w:val="en-AU"/>
        </w:rPr>
        <w:t xml:space="preserve"> contains </w:t>
      </w:r>
      <w:r w:rsidR="006849DA" w:rsidRPr="00316FF7">
        <w:rPr>
          <w:lang w:val="en-AU"/>
        </w:rPr>
        <w:t>estetrol monohydrate</w:t>
      </w:r>
      <w:r w:rsidRPr="00316FF7">
        <w:rPr>
          <w:lang w:val="en-AU"/>
        </w:rPr>
        <w:t xml:space="preserve"> rather than </w:t>
      </w:r>
      <w:r w:rsidR="00906367" w:rsidRPr="00316FF7">
        <w:rPr>
          <w:lang w:val="en-AU"/>
        </w:rPr>
        <w:t>ethinylestradiol</w:t>
      </w:r>
      <w:r w:rsidRPr="00316FF7">
        <w:rPr>
          <w:lang w:val="en-AU"/>
        </w:rPr>
        <w:t>, but as no data are available for co-administration with this Hepatitis C combination drug regimen, caution is warranted.</w:t>
      </w:r>
    </w:p>
    <w:p w14:paraId="1F945754" w14:textId="77777777" w:rsidR="00BC3831" w:rsidRPr="00316FF7" w:rsidRDefault="00944786" w:rsidP="00DE770A">
      <w:pPr>
        <w:pStyle w:val="C-Heading3non-numbered"/>
        <w:rPr>
          <w:lang w:val="en-AU"/>
        </w:rPr>
      </w:pPr>
      <w:r w:rsidRPr="00316FF7">
        <w:rPr>
          <w:lang w:val="en-AU"/>
        </w:rPr>
        <w:t>Use in Renal Impairment</w:t>
      </w:r>
    </w:p>
    <w:p w14:paraId="18E6ED29" w14:textId="77777777" w:rsidR="00E92403" w:rsidRPr="00316FF7" w:rsidRDefault="00E92403" w:rsidP="00E92403">
      <w:pPr>
        <w:pStyle w:val="C-BodyText"/>
        <w:rPr>
          <w:vanish/>
          <w:u w:color="FF0000"/>
          <w:lang w:val="en-AU"/>
        </w:rPr>
      </w:pPr>
      <w:r w:rsidRPr="00316FF7">
        <w:rPr>
          <w:vanish/>
          <w:u w:color="FF0000"/>
          <w:lang w:val="en-AU"/>
        </w:rPr>
        <w:t>If relevant, include a precaution regarding use of the medicine in persons with renal impairment.</w:t>
      </w:r>
    </w:p>
    <w:p w14:paraId="6E2507D9" w14:textId="77777777" w:rsidR="00E92403" w:rsidRPr="00316FF7" w:rsidRDefault="00E92403" w:rsidP="00E92403">
      <w:pPr>
        <w:pStyle w:val="C-BodyText"/>
        <w:rPr>
          <w:vanish/>
          <w:u w:color="FF0000"/>
          <w:lang w:val="en-AU"/>
        </w:rPr>
      </w:pPr>
      <w:r w:rsidRPr="00316FF7">
        <w:rPr>
          <w:vanish/>
          <w:u w:color="FF0000"/>
          <w:lang w:val="en-AU"/>
        </w:rPr>
        <w:t>If not relevant, this sub-heading may be deleted fro</w:t>
      </w:r>
      <w:r w:rsidR="003763C5" w:rsidRPr="00316FF7">
        <w:rPr>
          <w:vanish/>
          <w:u w:color="FF0000"/>
          <w:lang w:val="en-AU"/>
        </w:rPr>
        <w:t>m this section of the PI</w:t>
      </w:r>
      <w:r w:rsidRPr="00316FF7">
        <w:rPr>
          <w:vanish/>
          <w:u w:color="FF0000"/>
          <w:lang w:val="en-AU"/>
        </w:rPr>
        <w:t>.</w:t>
      </w:r>
    </w:p>
    <w:p w14:paraId="1DAAF463" w14:textId="7C407F6B" w:rsidR="0097231E" w:rsidRPr="00316FF7" w:rsidRDefault="00F12FE1" w:rsidP="0097231E">
      <w:pPr>
        <w:pStyle w:val="C-BodyText"/>
        <w:rPr>
          <w:lang w:val="en-AU"/>
        </w:rPr>
      </w:pPr>
      <w:r w:rsidRPr="00316FF7">
        <w:rPr>
          <w:lang w:val="en-AU"/>
        </w:rPr>
        <w:t>NEXTSTELLIS</w:t>
      </w:r>
      <w:r w:rsidR="0097231E" w:rsidRPr="00316FF7">
        <w:rPr>
          <w:lang w:val="en-AU"/>
        </w:rPr>
        <w:t xml:space="preserve"> is contraindicated in women with </w:t>
      </w:r>
      <w:r w:rsidR="005F0B9E" w:rsidRPr="00316FF7">
        <w:rPr>
          <w:lang w:val="en-AU"/>
        </w:rPr>
        <w:t xml:space="preserve">severe </w:t>
      </w:r>
      <w:r w:rsidR="0097231E" w:rsidRPr="00316FF7">
        <w:rPr>
          <w:lang w:val="en-AU"/>
        </w:rPr>
        <w:t xml:space="preserve">renal impairment </w:t>
      </w:r>
      <w:r w:rsidR="00806558" w:rsidRPr="00316FF7">
        <w:rPr>
          <w:lang w:val="en-AU"/>
        </w:rPr>
        <w:t>(</w:t>
      </w:r>
      <w:r w:rsidR="0097231E" w:rsidRPr="00316FF7">
        <w:rPr>
          <w:lang w:val="en-AU"/>
        </w:rPr>
        <w:t>see</w:t>
      </w:r>
      <w:r w:rsidR="00806558" w:rsidRPr="00316FF7">
        <w:rPr>
          <w:i/>
          <w:lang w:val="en-AU"/>
        </w:rPr>
        <w:t xml:space="preserve"> section 4.3 Contraindications</w:t>
      </w:r>
      <w:r w:rsidR="00D3355B" w:rsidRPr="00316FF7">
        <w:rPr>
          <w:lang w:val="en-AU"/>
        </w:rPr>
        <w:t>)</w:t>
      </w:r>
      <w:r w:rsidR="0097231E" w:rsidRPr="00316FF7">
        <w:rPr>
          <w:lang w:val="en-AU"/>
        </w:rPr>
        <w:t>.</w:t>
      </w:r>
    </w:p>
    <w:p w14:paraId="426E4AD0" w14:textId="4B8B5307" w:rsidR="00DE770A" w:rsidRPr="00316FF7" w:rsidRDefault="0097231E" w:rsidP="0097231E">
      <w:pPr>
        <w:pStyle w:val="C-BodyText"/>
        <w:rPr>
          <w:lang w:val="en-AU"/>
        </w:rPr>
      </w:pPr>
      <w:r w:rsidRPr="00316FF7">
        <w:rPr>
          <w:lang w:val="en-AU"/>
        </w:rPr>
        <w:t>In subjects with creatinine clearance (</w:t>
      </w:r>
      <w:r w:rsidR="00E37B46" w:rsidRPr="00316FF7">
        <w:rPr>
          <w:lang w:val="en-AU"/>
        </w:rPr>
        <w:t>CrCL</w:t>
      </w:r>
      <w:r w:rsidRPr="00316FF7">
        <w:rPr>
          <w:lang w:val="en-AU"/>
        </w:rPr>
        <w:t xml:space="preserve">) of 50–79 mL/min, serum </w:t>
      </w:r>
      <w:r w:rsidR="00AA167F" w:rsidRPr="00316FF7">
        <w:rPr>
          <w:lang w:val="en-AU"/>
        </w:rPr>
        <w:t>drospirenone</w:t>
      </w:r>
      <w:r w:rsidRPr="00316FF7">
        <w:rPr>
          <w:lang w:val="en-AU"/>
        </w:rPr>
        <w:t xml:space="preserve"> levels were comparable to those in a control group with </w:t>
      </w:r>
      <w:r w:rsidR="00E37B46" w:rsidRPr="00316FF7">
        <w:rPr>
          <w:lang w:val="en-AU"/>
        </w:rPr>
        <w:t>CrCL</w:t>
      </w:r>
      <w:r w:rsidRPr="00316FF7">
        <w:rPr>
          <w:lang w:val="en-AU"/>
        </w:rPr>
        <w:t xml:space="preserve"> ≥ 80 mL/min. In subjects with </w:t>
      </w:r>
      <w:r w:rsidR="00E37B46" w:rsidRPr="00316FF7">
        <w:rPr>
          <w:lang w:val="en-AU"/>
        </w:rPr>
        <w:t>CrCL</w:t>
      </w:r>
      <w:r w:rsidRPr="00316FF7">
        <w:rPr>
          <w:lang w:val="en-AU"/>
        </w:rPr>
        <w:t xml:space="preserve"> of 30–49 mL/min, serum </w:t>
      </w:r>
      <w:r w:rsidR="00AA167F" w:rsidRPr="00316FF7">
        <w:rPr>
          <w:lang w:val="en-AU"/>
        </w:rPr>
        <w:t xml:space="preserve">drospirenone </w:t>
      </w:r>
      <w:r w:rsidRPr="00316FF7">
        <w:rPr>
          <w:lang w:val="en-AU"/>
        </w:rPr>
        <w:t xml:space="preserve">concentrations were on average 37% higher than those in the control group. In addition, there is a potential to develop </w:t>
      </w:r>
      <w:r w:rsidR="00D77335" w:rsidRPr="00316FF7">
        <w:rPr>
          <w:lang w:val="en-AU"/>
        </w:rPr>
        <w:t>hyperkalaemia</w:t>
      </w:r>
      <w:r w:rsidRPr="00316FF7">
        <w:rPr>
          <w:lang w:val="en-AU"/>
        </w:rPr>
        <w:t xml:space="preserve"> in subjects with renal impairment whose serum potassium is in the upper reference range, and who are concomitantly using potassium sparing drugs </w:t>
      </w:r>
      <w:r w:rsidR="00806558" w:rsidRPr="00316FF7">
        <w:rPr>
          <w:lang w:val="en-AU"/>
        </w:rPr>
        <w:t>(</w:t>
      </w:r>
      <w:r w:rsidRPr="00316FF7">
        <w:rPr>
          <w:lang w:val="en-AU"/>
        </w:rPr>
        <w:t>see</w:t>
      </w:r>
      <w:r w:rsidR="00806558" w:rsidRPr="00316FF7">
        <w:rPr>
          <w:lang w:val="en-AU"/>
        </w:rPr>
        <w:t xml:space="preserve"> </w:t>
      </w:r>
      <w:r w:rsidR="00806558" w:rsidRPr="00316FF7">
        <w:rPr>
          <w:i/>
          <w:lang w:val="en-AU"/>
        </w:rPr>
        <w:t>section 4.4 Special Warnings and Precautions for Use</w:t>
      </w:r>
      <w:r w:rsidRPr="00316FF7">
        <w:rPr>
          <w:lang w:val="en-AU"/>
        </w:rPr>
        <w:t>,</w:t>
      </w:r>
      <w:r w:rsidR="00806558" w:rsidRPr="00316FF7">
        <w:rPr>
          <w:lang w:val="en-AU"/>
        </w:rPr>
        <w:t xml:space="preserve"> </w:t>
      </w:r>
      <w:r w:rsidR="00806558" w:rsidRPr="00316FF7">
        <w:rPr>
          <w:i/>
          <w:lang w:val="en-AU"/>
        </w:rPr>
        <w:t>section 4.5 Interactions with Other Medicines and Other Forms of Interactions</w:t>
      </w:r>
      <w:r w:rsidRPr="00316FF7">
        <w:rPr>
          <w:lang w:val="en-AU"/>
        </w:rPr>
        <w:t xml:space="preserve"> and </w:t>
      </w:r>
      <w:r w:rsidR="00D3355B" w:rsidRPr="00316FF7">
        <w:rPr>
          <w:i/>
          <w:lang w:val="en-AU"/>
        </w:rPr>
        <w:t>section 5.2 Pharmacokinetic Properties</w:t>
      </w:r>
      <w:r w:rsidR="00D3355B" w:rsidRPr="00316FF7">
        <w:rPr>
          <w:lang w:val="en-AU"/>
        </w:rPr>
        <w:t>).</w:t>
      </w:r>
    </w:p>
    <w:p w14:paraId="3F60637D" w14:textId="6F72BFC0" w:rsidR="00641F13" w:rsidRPr="00316FF7" w:rsidRDefault="00641F13" w:rsidP="0097231E">
      <w:pPr>
        <w:pStyle w:val="C-BodyText"/>
        <w:rPr>
          <w:lang w:val="en-AU"/>
        </w:rPr>
      </w:pPr>
      <w:r w:rsidRPr="00316FF7">
        <w:rPr>
          <w:lang w:val="en-AU"/>
        </w:rPr>
        <w:t xml:space="preserve">Steady-state serum drospirenone levels in women with mild renal impairment (creatinine clearance </w:t>
      </w:r>
      <w:r w:rsidR="00E37B46" w:rsidRPr="00316FF7">
        <w:rPr>
          <w:lang w:val="en-AU"/>
        </w:rPr>
        <w:t>CrCL</w:t>
      </w:r>
      <w:r w:rsidRPr="00316FF7">
        <w:rPr>
          <w:lang w:val="en-AU"/>
        </w:rPr>
        <w:t>, 50-80 mL/min) were comparable to those of women with normal renal function (</w:t>
      </w:r>
      <w:r w:rsidR="00E37B46" w:rsidRPr="00316FF7">
        <w:rPr>
          <w:lang w:val="en-AU"/>
        </w:rPr>
        <w:t>CrCL</w:t>
      </w:r>
      <w:r w:rsidRPr="00316FF7">
        <w:rPr>
          <w:lang w:val="en-AU"/>
        </w:rPr>
        <w:t>, &gt; 80 mL/min). The serum drospirenone levels were on average 37% higher in women with moderate renal impairment (</w:t>
      </w:r>
      <w:r w:rsidR="00E37B46" w:rsidRPr="00316FF7">
        <w:rPr>
          <w:lang w:val="en-AU"/>
        </w:rPr>
        <w:t>CrCL</w:t>
      </w:r>
      <w:r w:rsidRPr="00316FF7">
        <w:rPr>
          <w:lang w:val="en-AU"/>
        </w:rPr>
        <w:t>, 30-50 mL/min) compared to those in women with normal renal function. Drospirenone treatment was well tolerated by all groups. Drospirenone treatment did not show any clinically significant effect on serum potassium concentration.</w:t>
      </w:r>
    </w:p>
    <w:p w14:paraId="4E03CCBC" w14:textId="77777777" w:rsidR="00BC3831" w:rsidRPr="00316FF7" w:rsidRDefault="00BC3831" w:rsidP="00DE770A">
      <w:pPr>
        <w:pStyle w:val="C-Heading3non-numbered"/>
        <w:rPr>
          <w:lang w:val="en-AU"/>
        </w:rPr>
      </w:pPr>
      <w:r w:rsidRPr="00316FF7">
        <w:rPr>
          <w:lang w:val="en-AU"/>
        </w:rPr>
        <w:t xml:space="preserve">Use </w:t>
      </w:r>
      <w:r w:rsidR="00944786" w:rsidRPr="00316FF7">
        <w:rPr>
          <w:lang w:val="en-AU"/>
        </w:rPr>
        <w:t>in the Elderly</w:t>
      </w:r>
    </w:p>
    <w:p w14:paraId="5579A799" w14:textId="1DE4EB79" w:rsidR="004928DD" w:rsidRPr="00316FF7" w:rsidRDefault="009F73E3" w:rsidP="0097231E">
      <w:pPr>
        <w:pStyle w:val="C-BodyText"/>
        <w:rPr>
          <w:lang w:val="en-AU"/>
        </w:rPr>
      </w:pPr>
      <w:r w:rsidRPr="00316FF7">
        <w:rPr>
          <w:lang w:val="en-AU"/>
        </w:rPr>
        <w:t>NEXTSTELLIS is not indicated after menopause.</w:t>
      </w:r>
    </w:p>
    <w:p w14:paraId="371F75F2" w14:textId="77777777" w:rsidR="00BC3831" w:rsidRPr="00316FF7" w:rsidRDefault="00BC3831" w:rsidP="00DE770A">
      <w:pPr>
        <w:pStyle w:val="C-Heading3non-numbered"/>
        <w:rPr>
          <w:lang w:val="en-AU"/>
        </w:rPr>
      </w:pPr>
      <w:r w:rsidRPr="00316FF7">
        <w:rPr>
          <w:lang w:val="en-AU"/>
        </w:rPr>
        <w:lastRenderedPageBreak/>
        <w:t xml:space="preserve">Paediatric </w:t>
      </w:r>
      <w:r w:rsidR="00944786" w:rsidRPr="00316FF7">
        <w:rPr>
          <w:lang w:val="en-AU"/>
        </w:rPr>
        <w:t>U</w:t>
      </w:r>
      <w:r w:rsidRPr="00316FF7">
        <w:rPr>
          <w:lang w:val="en-AU"/>
        </w:rPr>
        <w:t>se</w:t>
      </w:r>
    </w:p>
    <w:p w14:paraId="11F308D5" w14:textId="27D72684" w:rsidR="004928DD" w:rsidRPr="00316FF7" w:rsidRDefault="0097231E" w:rsidP="004928DD">
      <w:pPr>
        <w:pStyle w:val="C-BodyText"/>
        <w:rPr>
          <w:lang w:val="en-AU"/>
        </w:rPr>
      </w:pPr>
      <w:r w:rsidRPr="00316FF7">
        <w:rPr>
          <w:lang w:val="en-AU"/>
        </w:rPr>
        <w:t xml:space="preserve">Safety and efficacy of </w:t>
      </w:r>
      <w:r w:rsidR="00F12FE1" w:rsidRPr="00316FF7">
        <w:rPr>
          <w:lang w:val="en-AU"/>
        </w:rPr>
        <w:t>NEXTSTELLIS</w:t>
      </w:r>
      <w:r w:rsidRPr="00316FF7">
        <w:rPr>
          <w:lang w:val="en-AU"/>
        </w:rPr>
        <w:t xml:space="preserve"> have been established in women of reproductive potential</w:t>
      </w:r>
      <w:r w:rsidR="00B564EC" w:rsidRPr="00316FF7">
        <w:rPr>
          <w:lang w:val="en-AU"/>
        </w:rPr>
        <w:t>,</w:t>
      </w:r>
      <w:r w:rsidR="00B73E3A" w:rsidRPr="00316FF7">
        <w:rPr>
          <w:lang w:val="en-AU"/>
        </w:rPr>
        <w:t xml:space="preserve"> </w:t>
      </w:r>
      <w:r w:rsidRPr="00316FF7">
        <w:rPr>
          <w:lang w:val="en-AU"/>
        </w:rPr>
        <w:t xml:space="preserve">16-50 years of age. </w:t>
      </w:r>
      <w:r w:rsidR="00020A59" w:rsidRPr="00316FF7">
        <w:rPr>
          <w:lang w:val="en-AU"/>
        </w:rPr>
        <w:t>N</w:t>
      </w:r>
      <w:r w:rsidR="00F12FE1" w:rsidRPr="00316FF7">
        <w:rPr>
          <w:lang w:val="en-AU"/>
        </w:rPr>
        <w:t>EXTSTELLIS</w:t>
      </w:r>
      <w:r w:rsidR="00020A59" w:rsidRPr="00316FF7">
        <w:rPr>
          <w:lang w:val="en-AU"/>
        </w:rPr>
        <w:t xml:space="preserve"> is only indicated after menarche</w:t>
      </w:r>
      <w:r w:rsidRPr="00316FF7">
        <w:rPr>
          <w:lang w:val="en-AU"/>
        </w:rPr>
        <w:t>.</w:t>
      </w:r>
    </w:p>
    <w:p w14:paraId="33A68DAD" w14:textId="77777777" w:rsidR="00BC3831" w:rsidRPr="00316FF7" w:rsidRDefault="00BC3831" w:rsidP="00DE770A">
      <w:pPr>
        <w:pStyle w:val="C-Heading3non-numbered"/>
        <w:rPr>
          <w:lang w:val="en-AU"/>
        </w:rPr>
      </w:pPr>
      <w:r w:rsidRPr="00316FF7">
        <w:rPr>
          <w:lang w:val="en-AU"/>
        </w:rPr>
        <w:t xml:space="preserve">Effects on </w:t>
      </w:r>
      <w:r w:rsidR="00944786" w:rsidRPr="00316FF7">
        <w:rPr>
          <w:lang w:val="en-AU"/>
        </w:rPr>
        <w:t>L</w:t>
      </w:r>
      <w:r w:rsidRPr="00316FF7">
        <w:rPr>
          <w:lang w:val="en-AU"/>
        </w:rPr>
        <w:t xml:space="preserve">aboratory </w:t>
      </w:r>
      <w:r w:rsidR="00944786" w:rsidRPr="00316FF7">
        <w:rPr>
          <w:lang w:val="en-AU"/>
        </w:rPr>
        <w:t>T</w:t>
      </w:r>
      <w:r w:rsidRPr="00316FF7">
        <w:rPr>
          <w:lang w:val="en-AU"/>
        </w:rPr>
        <w:t>ests</w:t>
      </w:r>
    </w:p>
    <w:p w14:paraId="6C90C1DF" w14:textId="35BF519F" w:rsidR="00E94DA5" w:rsidRPr="00316FF7" w:rsidRDefault="00E94DA5" w:rsidP="00E94DA5">
      <w:pPr>
        <w:pStyle w:val="C-BodyText"/>
        <w:rPr>
          <w:lang w:val="en-AU"/>
        </w:rPr>
      </w:pPr>
      <w:proofErr w:type="spellStart"/>
      <w:r w:rsidRPr="00316FF7">
        <w:rPr>
          <w:lang w:val="en-AU"/>
        </w:rPr>
        <w:t>Drospirenone</w:t>
      </w:r>
      <w:proofErr w:type="spellEnd"/>
      <w:r w:rsidRPr="00316FF7">
        <w:rPr>
          <w:lang w:val="en-AU"/>
        </w:rPr>
        <w:t xml:space="preserve"> causes an increase in plasma renin activity and plasma aldosterone induced by its mild anti-mineralocorticoid activity.</w:t>
      </w:r>
    </w:p>
    <w:p w14:paraId="086A7855" w14:textId="330225E7" w:rsidR="004928DD" w:rsidRPr="00316FF7" w:rsidRDefault="00E94DA5" w:rsidP="00E94DA5">
      <w:pPr>
        <w:pStyle w:val="C-BodyText"/>
        <w:rPr>
          <w:lang w:val="en-AU"/>
        </w:rPr>
      </w:pPr>
      <w:r w:rsidRPr="00316FF7">
        <w:rPr>
          <w:lang w:val="en-AU"/>
        </w:rPr>
        <w:t xml:space="preserve">Caution is warranted for co-administration of </w:t>
      </w:r>
      <w:r w:rsidR="00F12FE1" w:rsidRPr="00316FF7">
        <w:rPr>
          <w:lang w:val="en-AU"/>
        </w:rPr>
        <w:t>NEXTSTELLIS</w:t>
      </w:r>
      <w:r w:rsidRPr="00316FF7">
        <w:rPr>
          <w:lang w:val="en-AU"/>
        </w:rPr>
        <w:t xml:space="preserve"> with the Hepatitis C combination drug regimen ombitasvir/paritaprevir/ritonavir with or without dasabuvir </w:t>
      </w:r>
      <w:r w:rsidR="00806558" w:rsidRPr="00316FF7">
        <w:rPr>
          <w:lang w:val="en-AU"/>
        </w:rPr>
        <w:t xml:space="preserve">(see </w:t>
      </w:r>
      <w:r w:rsidR="00806558" w:rsidRPr="00316FF7">
        <w:rPr>
          <w:i/>
          <w:lang w:val="en-AU"/>
        </w:rPr>
        <w:t>section 4.4 Special Warnings and Precautions for Use</w:t>
      </w:r>
      <w:r w:rsidR="00806558" w:rsidRPr="00316FF7">
        <w:rPr>
          <w:lang w:val="en-AU"/>
        </w:rPr>
        <w:t>).</w:t>
      </w:r>
    </w:p>
    <w:p w14:paraId="77971324" w14:textId="27BF30A8" w:rsidR="003400C9" w:rsidRPr="00316FF7" w:rsidRDefault="007F49AA" w:rsidP="006E0396">
      <w:pPr>
        <w:pStyle w:val="C-Heading2"/>
        <w:rPr>
          <w:lang w:val="en-AU"/>
        </w:rPr>
      </w:pPr>
      <w:r w:rsidRPr="00316FF7">
        <w:rPr>
          <w:lang w:val="en-AU"/>
        </w:rPr>
        <w:t xml:space="preserve">Interactions </w:t>
      </w:r>
      <w:r w:rsidR="003B27EC" w:rsidRPr="00316FF7">
        <w:rPr>
          <w:lang w:val="en-AU"/>
        </w:rPr>
        <w:t>w</w:t>
      </w:r>
      <w:r w:rsidRPr="00316FF7">
        <w:rPr>
          <w:lang w:val="en-AU"/>
        </w:rPr>
        <w:t>ith Other Medicines and Other Forms of Interactions</w:t>
      </w:r>
    </w:p>
    <w:p w14:paraId="2C9B5A65" w14:textId="77777777" w:rsidR="006A03EA" w:rsidRPr="00316FF7" w:rsidRDefault="006A03EA" w:rsidP="006A03EA">
      <w:pPr>
        <w:pStyle w:val="C-BodyText"/>
        <w:rPr>
          <w:lang w:val="en-AU"/>
        </w:rPr>
      </w:pPr>
      <w:r w:rsidRPr="00316FF7">
        <w:rPr>
          <w:lang w:val="en-AU"/>
        </w:rPr>
        <w:t>The sections below provide information on substances for which data on drug interactions with COCs are available. There is little information available about the clinical effect of most drug interactions that may affect COCs. However, based on the known pharmacokinetic effects of these drugs, clinical strategies to minimi</w:t>
      </w:r>
      <w:r w:rsidR="00D77335" w:rsidRPr="00316FF7">
        <w:rPr>
          <w:lang w:val="en-AU"/>
        </w:rPr>
        <w:t>s</w:t>
      </w:r>
      <w:r w:rsidRPr="00316FF7">
        <w:rPr>
          <w:lang w:val="en-AU"/>
        </w:rPr>
        <w:t xml:space="preserve">e any potential adverse effect on contraceptive effectiveness or safety are suggested. Consult the approved product </w:t>
      </w:r>
      <w:r w:rsidR="00D77335" w:rsidRPr="00316FF7">
        <w:rPr>
          <w:lang w:val="en-AU"/>
        </w:rPr>
        <w:t>labelling</w:t>
      </w:r>
      <w:r w:rsidRPr="00316FF7">
        <w:rPr>
          <w:lang w:val="en-AU"/>
        </w:rPr>
        <w:t xml:space="preserve"> of all concurrently used drugs to obtain further information about interactions with COCs or the potential for metabolic enzyme or transporter system alterations.</w:t>
      </w:r>
    </w:p>
    <w:p w14:paraId="5EE796C7" w14:textId="77777777" w:rsidR="006A03EA" w:rsidRPr="00316FF7" w:rsidRDefault="006A03EA" w:rsidP="004156F8">
      <w:pPr>
        <w:pStyle w:val="C-Heading3non-numbered"/>
        <w:rPr>
          <w:b w:val="0"/>
          <w:lang w:val="en-AU"/>
        </w:rPr>
      </w:pPr>
      <w:r w:rsidRPr="00316FF7">
        <w:rPr>
          <w:lang w:val="en-AU"/>
        </w:rPr>
        <w:t>Effects of Other Drugs on Hormonal Contraceptives</w:t>
      </w:r>
    </w:p>
    <w:p w14:paraId="75903212" w14:textId="77777777" w:rsidR="006A03EA" w:rsidRPr="00316FF7" w:rsidRDefault="006A03EA" w:rsidP="002458C4">
      <w:pPr>
        <w:pStyle w:val="C-Heading4non-numbered"/>
        <w:tabs>
          <w:tab w:val="clear" w:pos="1080"/>
        </w:tabs>
        <w:ind w:left="0" w:firstLine="0"/>
        <w:rPr>
          <w:b w:val="0"/>
          <w:u w:val="single"/>
          <w:lang w:val="en-AU"/>
        </w:rPr>
      </w:pPr>
      <w:r w:rsidRPr="00316FF7">
        <w:rPr>
          <w:b w:val="0"/>
          <w:u w:val="single"/>
          <w:lang w:val="en-AU"/>
        </w:rPr>
        <w:t>Substances Decreasing the Plasma Concentrations of COCs and Potentially Diminishing the Efficacy of COCs:</w:t>
      </w:r>
    </w:p>
    <w:p w14:paraId="37DDDE51" w14:textId="6C92830B" w:rsidR="00DE770A" w:rsidRPr="00316FF7" w:rsidRDefault="00BE3AEE" w:rsidP="006A03EA">
      <w:pPr>
        <w:pStyle w:val="C-BodyText"/>
        <w:rPr>
          <w:lang w:val="en-AU"/>
        </w:rPr>
      </w:pPr>
      <w:r w:rsidRPr="00316FF7">
        <w:rPr>
          <w:rStyle w:val="C-Hyperlink"/>
          <w:color w:val="auto"/>
          <w:lang w:val="en-AU"/>
        </w:rPr>
        <w:fldChar w:fldCharType="begin"/>
      </w:r>
      <w:r w:rsidRPr="00316FF7">
        <w:rPr>
          <w:rStyle w:val="C-Hyperlink"/>
          <w:color w:val="auto"/>
          <w:lang w:val="en-AU"/>
        </w:rPr>
        <w:instrText xml:space="preserve"> REF _Ref48299270 \h \* MERGEFORMAT </w:instrText>
      </w:r>
      <w:r w:rsidRPr="00316FF7">
        <w:rPr>
          <w:rStyle w:val="C-Hyperlink"/>
          <w:color w:val="auto"/>
          <w:lang w:val="en-AU"/>
        </w:rPr>
      </w:r>
      <w:r w:rsidRPr="00316FF7">
        <w:rPr>
          <w:rStyle w:val="C-Hyperlink"/>
          <w:color w:val="auto"/>
          <w:lang w:val="en-AU"/>
        </w:rPr>
        <w:fldChar w:fldCharType="separate"/>
      </w:r>
      <w:r w:rsidRPr="00316FF7">
        <w:rPr>
          <w:rStyle w:val="C-Hyperlink"/>
          <w:color w:val="auto"/>
          <w:lang w:val="en-AU"/>
        </w:rPr>
        <w:t>Table 4</w:t>
      </w:r>
      <w:r w:rsidRPr="00316FF7">
        <w:rPr>
          <w:rStyle w:val="C-Hyperlink"/>
          <w:color w:val="auto"/>
          <w:lang w:val="en-AU"/>
        </w:rPr>
        <w:fldChar w:fldCharType="end"/>
      </w:r>
      <w:r w:rsidRPr="00316FF7">
        <w:rPr>
          <w:lang w:val="en-AU"/>
        </w:rPr>
        <w:t xml:space="preserve"> </w:t>
      </w:r>
      <w:r w:rsidR="006A03EA" w:rsidRPr="00316FF7">
        <w:rPr>
          <w:lang w:val="en-AU"/>
        </w:rPr>
        <w:t>includes substances that have demonstrated an important drug interaction with COCs.</w:t>
      </w:r>
    </w:p>
    <w:p w14:paraId="7498A293" w14:textId="2216B4BE" w:rsidR="00206CC1" w:rsidRPr="00316FF7" w:rsidRDefault="00206CC1" w:rsidP="00206CC1">
      <w:pPr>
        <w:pStyle w:val="Caption"/>
        <w:rPr>
          <w:lang w:val="en-AU"/>
        </w:rPr>
      </w:pPr>
      <w:bookmarkStart w:id="4" w:name="_Ref48299270"/>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4</w:t>
      </w:r>
      <w:r w:rsidRPr="00316FF7">
        <w:rPr>
          <w:lang w:val="en-AU"/>
        </w:rPr>
        <w:fldChar w:fldCharType="end"/>
      </w:r>
      <w:bookmarkEnd w:id="4"/>
      <w:r w:rsidRPr="00316FF7">
        <w:rPr>
          <w:lang w:val="en-AU"/>
        </w:rPr>
        <w:t>:</w:t>
      </w:r>
      <w:r w:rsidRPr="00316FF7">
        <w:rPr>
          <w:lang w:val="en-AU"/>
        </w:rPr>
        <w:tab/>
        <w:t xml:space="preserve">Significant </w:t>
      </w:r>
      <w:r w:rsidR="004F0EDC" w:rsidRPr="00316FF7">
        <w:rPr>
          <w:lang w:val="en-AU"/>
        </w:rPr>
        <w:t xml:space="preserve">drug interactions involving substances that affect </w:t>
      </w:r>
      <w:r w:rsidRPr="00316FF7">
        <w:rPr>
          <w:lang w:val="en-AU"/>
        </w:rPr>
        <w:t>COCs</w:t>
      </w:r>
    </w:p>
    <w:tbl>
      <w:tblPr>
        <w:tblStyle w:val="C-Table"/>
        <w:tblW w:w="9530" w:type="dxa"/>
        <w:tblLook w:val="04A0" w:firstRow="1" w:lastRow="0" w:firstColumn="1" w:lastColumn="0" w:noHBand="0" w:noVBand="1"/>
      </w:tblPr>
      <w:tblGrid>
        <w:gridCol w:w="1693"/>
        <w:gridCol w:w="7837"/>
      </w:tblGrid>
      <w:tr w:rsidR="006A03EA" w:rsidRPr="00316FF7" w14:paraId="5FD38F91" w14:textId="77777777" w:rsidTr="00DD35FB">
        <w:trPr>
          <w:cantSplit w:val="0"/>
          <w:trHeight w:val="377"/>
          <w:tblHeader/>
        </w:trPr>
        <w:tc>
          <w:tcPr>
            <w:tcW w:w="9530" w:type="dxa"/>
            <w:gridSpan w:val="2"/>
          </w:tcPr>
          <w:p w14:paraId="7287D3C1" w14:textId="77777777" w:rsidR="006A03EA" w:rsidRPr="00316FF7" w:rsidRDefault="006A03EA" w:rsidP="006A03EA">
            <w:pPr>
              <w:pStyle w:val="C-TableHeader"/>
              <w:jc w:val="both"/>
              <w:rPr>
                <w:color w:val="000000" w:themeColor="text1"/>
                <w:lang w:val="en-AU"/>
              </w:rPr>
            </w:pPr>
            <w:r w:rsidRPr="00316FF7">
              <w:rPr>
                <w:rFonts w:eastAsiaTheme="minorEastAsia"/>
                <w:color w:val="000000" w:themeColor="text1"/>
                <w:lang w:val="en-AU"/>
              </w:rPr>
              <w:t xml:space="preserve">Metabolic Enzyme Inducers </w:t>
            </w:r>
            <w:r w:rsidRPr="00316FF7">
              <w:rPr>
                <w:rFonts w:eastAsiaTheme="minorEastAsia"/>
                <w:color w:val="000000" w:themeColor="text1"/>
                <w:lang w:val="en-AU"/>
              </w:rPr>
              <w:tab/>
            </w:r>
          </w:p>
        </w:tc>
      </w:tr>
      <w:tr w:rsidR="006A03EA" w:rsidRPr="00316FF7" w14:paraId="5ED76A94" w14:textId="77777777" w:rsidTr="00DD35FB">
        <w:trPr>
          <w:cantSplit w:val="0"/>
          <w:trHeight w:val="501"/>
        </w:trPr>
        <w:tc>
          <w:tcPr>
            <w:tcW w:w="1693" w:type="dxa"/>
          </w:tcPr>
          <w:p w14:paraId="5237A2A3" w14:textId="77777777" w:rsidR="006A03EA" w:rsidRPr="00316FF7" w:rsidRDefault="006A03EA" w:rsidP="00DD35FB">
            <w:pPr>
              <w:pStyle w:val="C-TableText"/>
              <w:rPr>
                <w:color w:val="000000" w:themeColor="text1"/>
                <w:lang w:val="en-AU"/>
              </w:rPr>
            </w:pPr>
            <w:r w:rsidRPr="00316FF7">
              <w:rPr>
                <w:rFonts w:eastAsiaTheme="minorEastAsia"/>
                <w:color w:val="000000" w:themeColor="text1"/>
                <w:lang w:val="en-AU"/>
              </w:rPr>
              <w:t xml:space="preserve">Clinical effect </w:t>
            </w:r>
            <w:r w:rsidRPr="00316FF7">
              <w:rPr>
                <w:rFonts w:eastAsiaTheme="minorEastAsia"/>
                <w:color w:val="000000" w:themeColor="text1"/>
                <w:lang w:val="en-AU"/>
              </w:rPr>
              <w:tab/>
            </w:r>
          </w:p>
        </w:tc>
        <w:tc>
          <w:tcPr>
            <w:tcW w:w="7837" w:type="dxa"/>
          </w:tcPr>
          <w:p w14:paraId="3B6735CF" w14:textId="2E391ED3" w:rsidR="006A03EA" w:rsidRPr="00316FF7" w:rsidRDefault="006A03EA" w:rsidP="00DD35FB">
            <w:pPr>
              <w:pStyle w:val="C-TableText"/>
              <w:tabs>
                <w:tab w:val="num" w:pos="720"/>
              </w:tabs>
              <w:rPr>
                <w:i/>
                <w:lang w:val="en-AU"/>
              </w:rPr>
            </w:pPr>
            <w:r w:rsidRPr="00316FF7">
              <w:rPr>
                <w:rFonts w:eastAsiaTheme="minorEastAsia"/>
                <w:color w:val="000000" w:themeColor="text1"/>
                <w:lang w:val="en-AU"/>
              </w:rPr>
              <w:t>Concomitant use of COCs with metabolic enzyme inducers may decrease the plasma concentrations of the estrogen and/or progestin component of COCs</w:t>
            </w:r>
            <w:r w:rsidR="00476F88" w:rsidRPr="00316FF7">
              <w:rPr>
                <w:rFonts w:eastAsiaTheme="minorEastAsia"/>
                <w:color w:val="000000" w:themeColor="text1"/>
                <w:lang w:val="en-AU"/>
              </w:rPr>
              <w:t xml:space="preserve"> (</w:t>
            </w:r>
            <w:r w:rsidR="00476F88" w:rsidRPr="00316FF7">
              <w:rPr>
                <w:lang w:val="en-AU"/>
              </w:rPr>
              <w:t xml:space="preserve">see </w:t>
            </w:r>
            <w:r w:rsidR="00476F88" w:rsidRPr="00316FF7">
              <w:rPr>
                <w:i/>
                <w:lang w:val="en-AU"/>
              </w:rPr>
              <w:t>section 5.2 Pharmacokinetic Properties</w:t>
            </w:r>
            <w:r w:rsidR="00476F88" w:rsidRPr="00316FF7">
              <w:rPr>
                <w:rFonts w:eastAsiaTheme="minorEastAsia"/>
                <w:i/>
                <w:lang w:val="en-AU"/>
              </w:rPr>
              <w:t>).</w:t>
            </w:r>
          </w:p>
          <w:p w14:paraId="018823F0" w14:textId="77777777" w:rsidR="006A03EA" w:rsidRPr="00316FF7" w:rsidRDefault="006A03EA" w:rsidP="00DD35FB">
            <w:pPr>
              <w:pStyle w:val="C-TableText"/>
              <w:tabs>
                <w:tab w:val="num" w:pos="720"/>
              </w:tabs>
              <w:rPr>
                <w:color w:val="000000" w:themeColor="text1"/>
                <w:lang w:val="en-AU"/>
              </w:rPr>
            </w:pPr>
            <w:r w:rsidRPr="00316FF7">
              <w:rPr>
                <w:rFonts w:eastAsiaTheme="minorEastAsia"/>
                <w:color w:val="000000" w:themeColor="text1"/>
                <w:lang w:val="en-AU"/>
              </w:rPr>
              <w:t xml:space="preserve">Decreased exposure of the estrogen and/or progestin component of COCs may potentially diminish the effectiveness of COCs and may lead to contraceptive failure or an increase in breakthrough bleeding. </w:t>
            </w:r>
            <w:r w:rsidRPr="00316FF7">
              <w:rPr>
                <w:rFonts w:eastAsiaTheme="minorEastAsia"/>
                <w:color w:val="000000" w:themeColor="text1"/>
                <w:lang w:val="en-AU"/>
              </w:rPr>
              <w:tab/>
            </w:r>
          </w:p>
        </w:tc>
      </w:tr>
      <w:tr w:rsidR="006A03EA" w:rsidRPr="00316FF7" w14:paraId="2D8FD6AC" w14:textId="77777777" w:rsidTr="00DD35FB">
        <w:trPr>
          <w:cantSplit w:val="0"/>
          <w:trHeight w:val="584"/>
        </w:trPr>
        <w:tc>
          <w:tcPr>
            <w:tcW w:w="1693" w:type="dxa"/>
          </w:tcPr>
          <w:p w14:paraId="0920990B" w14:textId="77777777" w:rsidR="006A03EA" w:rsidRPr="00316FF7" w:rsidRDefault="006A03EA" w:rsidP="00DD35FB">
            <w:pPr>
              <w:pStyle w:val="C-TableText"/>
              <w:rPr>
                <w:color w:val="000000" w:themeColor="text1"/>
                <w:lang w:val="en-AU"/>
              </w:rPr>
            </w:pPr>
            <w:r w:rsidRPr="00316FF7">
              <w:rPr>
                <w:rFonts w:eastAsiaTheme="minorEastAsia"/>
                <w:color w:val="000000" w:themeColor="text1"/>
                <w:lang w:val="en-AU"/>
              </w:rPr>
              <w:t xml:space="preserve">Prevention or management </w:t>
            </w:r>
          </w:p>
        </w:tc>
        <w:tc>
          <w:tcPr>
            <w:tcW w:w="7837" w:type="dxa"/>
          </w:tcPr>
          <w:p w14:paraId="429C01CE" w14:textId="30B169F0" w:rsidR="006A03EA" w:rsidRPr="00316FF7" w:rsidRDefault="006A03EA" w:rsidP="00DD35FB">
            <w:pPr>
              <w:pStyle w:val="C-TableText"/>
              <w:tabs>
                <w:tab w:val="num" w:pos="720"/>
              </w:tabs>
              <w:rPr>
                <w:color w:val="000000" w:themeColor="text1"/>
                <w:lang w:val="en-AU"/>
              </w:rPr>
            </w:pPr>
            <w:r w:rsidRPr="00316FF7">
              <w:rPr>
                <w:rFonts w:eastAsiaTheme="minorEastAsia"/>
                <w:color w:val="000000" w:themeColor="text1"/>
                <w:lang w:val="en-AU"/>
              </w:rPr>
              <w:t xml:space="preserve">Counsel women to use a </w:t>
            </w:r>
            <w:r w:rsidR="00AF2129" w:rsidRPr="00316FF7">
              <w:rPr>
                <w:rFonts w:eastAsiaTheme="minorEastAsia"/>
                <w:color w:val="000000" w:themeColor="text1"/>
                <w:lang w:val="en-AU"/>
              </w:rPr>
              <w:t>non-hormonal</w:t>
            </w:r>
            <w:r w:rsidRPr="00316FF7">
              <w:rPr>
                <w:rFonts w:eastAsiaTheme="minorEastAsia"/>
                <w:color w:val="000000" w:themeColor="text1"/>
                <w:lang w:val="en-AU"/>
              </w:rPr>
              <w:t xml:space="preserve"> method of contraception when enzyme inducers are used with COCs.</w:t>
            </w:r>
          </w:p>
          <w:p w14:paraId="75FE0843" w14:textId="0528B4EC" w:rsidR="006A03EA" w:rsidRPr="00316FF7" w:rsidRDefault="006A03EA" w:rsidP="00DD35FB">
            <w:pPr>
              <w:pStyle w:val="C-TableText"/>
              <w:tabs>
                <w:tab w:val="num" w:pos="720"/>
              </w:tabs>
              <w:rPr>
                <w:color w:val="000000" w:themeColor="text1"/>
                <w:lang w:val="en-AU"/>
              </w:rPr>
            </w:pPr>
            <w:r w:rsidRPr="00316FF7">
              <w:rPr>
                <w:rFonts w:eastAsiaTheme="minorEastAsia"/>
                <w:color w:val="000000" w:themeColor="text1"/>
                <w:lang w:val="en-AU"/>
              </w:rPr>
              <w:t xml:space="preserve">Continue </w:t>
            </w:r>
            <w:r w:rsidR="00AF2129" w:rsidRPr="00316FF7">
              <w:rPr>
                <w:rFonts w:eastAsiaTheme="minorEastAsia"/>
                <w:color w:val="000000" w:themeColor="text1"/>
                <w:lang w:val="en-AU"/>
              </w:rPr>
              <w:t>non-hormonal methods of</w:t>
            </w:r>
            <w:r w:rsidRPr="00316FF7">
              <w:rPr>
                <w:rFonts w:eastAsiaTheme="minorEastAsia"/>
                <w:color w:val="000000" w:themeColor="text1"/>
                <w:lang w:val="en-AU"/>
              </w:rPr>
              <w:t xml:space="preserve"> contraception for 28 days after discontinuing the enzyme inducer to maintain contraceptive reliability.</w:t>
            </w:r>
          </w:p>
        </w:tc>
      </w:tr>
      <w:tr w:rsidR="006A03EA" w:rsidRPr="00316FF7" w14:paraId="3F6C6EC7" w14:textId="77777777" w:rsidTr="00DD35FB">
        <w:trPr>
          <w:cantSplit w:val="0"/>
          <w:trHeight w:val="584"/>
        </w:trPr>
        <w:tc>
          <w:tcPr>
            <w:tcW w:w="1693" w:type="dxa"/>
          </w:tcPr>
          <w:p w14:paraId="022B405B" w14:textId="77777777" w:rsidR="006A03EA" w:rsidRPr="00316FF7" w:rsidRDefault="006A03EA" w:rsidP="00DD35FB">
            <w:pPr>
              <w:pStyle w:val="C-TableText"/>
              <w:rPr>
                <w:color w:val="000000" w:themeColor="text1"/>
                <w:lang w:val="en-AU"/>
              </w:rPr>
            </w:pPr>
            <w:r w:rsidRPr="00316FF7">
              <w:rPr>
                <w:rFonts w:eastAsiaTheme="minorEastAsia"/>
                <w:color w:val="000000" w:themeColor="text1"/>
                <w:lang w:val="en-AU"/>
              </w:rPr>
              <w:lastRenderedPageBreak/>
              <w:t xml:space="preserve">Examples </w:t>
            </w:r>
          </w:p>
        </w:tc>
        <w:tc>
          <w:tcPr>
            <w:tcW w:w="7837" w:type="dxa"/>
          </w:tcPr>
          <w:p w14:paraId="50509B8E" w14:textId="77777777" w:rsidR="006A03EA" w:rsidRPr="00316FF7" w:rsidRDefault="006A03EA" w:rsidP="00DD35FB">
            <w:pPr>
              <w:pStyle w:val="C-TableText"/>
              <w:rPr>
                <w:color w:val="000000" w:themeColor="text1"/>
                <w:lang w:val="en-AU"/>
              </w:rPr>
            </w:pPr>
            <w:r w:rsidRPr="00316FF7">
              <w:rPr>
                <w:rFonts w:eastAsiaTheme="minorEastAsia"/>
                <w:color w:val="000000" w:themeColor="text1"/>
                <w:lang w:val="en-AU"/>
              </w:rPr>
              <w:t xml:space="preserve">Aprepitant, barbiturates, bosentan, carbamazepine, efavirenz, felbamate, griseofulvin, oxcarbazepine, phenytoin, rifampin, rifabutin, rufinamide, topiramate, products containing St. John’s </w:t>
            </w:r>
            <w:proofErr w:type="spellStart"/>
            <w:r w:rsidRPr="00316FF7">
              <w:rPr>
                <w:rFonts w:eastAsiaTheme="minorEastAsia"/>
                <w:color w:val="000000" w:themeColor="text1"/>
                <w:lang w:val="en-AU"/>
              </w:rPr>
              <w:t>wort</w:t>
            </w:r>
            <w:r w:rsidRPr="00316FF7">
              <w:rPr>
                <w:rFonts w:eastAsiaTheme="minorEastAsia"/>
                <w:color w:val="000000" w:themeColor="text1"/>
                <w:vertAlign w:val="superscript"/>
                <w:lang w:val="en-AU"/>
              </w:rPr>
              <w:t>a</w:t>
            </w:r>
            <w:proofErr w:type="spellEnd"/>
            <w:r w:rsidRPr="00316FF7">
              <w:rPr>
                <w:rFonts w:eastAsiaTheme="minorEastAsia"/>
                <w:color w:val="000000" w:themeColor="text1"/>
                <w:lang w:val="en-AU"/>
              </w:rPr>
              <w:t xml:space="preserve">, and certain protease inhibitors (see separate section on protease inhibitors below). </w:t>
            </w:r>
            <w:r w:rsidRPr="00316FF7">
              <w:rPr>
                <w:rFonts w:eastAsiaTheme="minorEastAsia"/>
                <w:color w:val="000000" w:themeColor="text1"/>
                <w:lang w:val="en-AU"/>
              </w:rPr>
              <w:tab/>
            </w:r>
          </w:p>
        </w:tc>
      </w:tr>
    </w:tbl>
    <w:p w14:paraId="3DE2B11E" w14:textId="77777777" w:rsidR="006A03EA" w:rsidRPr="00316FF7" w:rsidRDefault="006A03EA" w:rsidP="00430548">
      <w:pPr>
        <w:pStyle w:val="C-Footnote"/>
        <w:rPr>
          <w:lang w:val="en-AU"/>
        </w:rPr>
      </w:pPr>
      <w:proofErr w:type="spellStart"/>
      <w:proofErr w:type="gramStart"/>
      <w:r w:rsidRPr="00316FF7">
        <w:rPr>
          <w:vertAlign w:val="superscript"/>
          <w:lang w:val="en-AU"/>
        </w:rPr>
        <w:t>a</w:t>
      </w:r>
      <w:proofErr w:type="spellEnd"/>
      <w:proofErr w:type="gramEnd"/>
      <w:r w:rsidRPr="00316FF7">
        <w:rPr>
          <w:lang w:val="en-AU"/>
        </w:rPr>
        <w:t xml:space="preserve"> Induction potency of St. John’s wort may vary widely based on preparation.</w:t>
      </w:r>
    </w:p>
    <w:p w14:paraId="3CB1AA29" w14:textId="73D70DEC" w:rsidR="00430548" w:rsidRPr="00316FF7" w:rsidRDefault="006A03EA" w:rsidP="00212101">
      <w:pPr>
        <w:pStyle w:val="C-Heading4non-numbered"/>
        <w:rPr>
          <w:b w:val="0"/>
          <w:u w:val="single"/>
          <w:lang w:val="en-AU"/>
        </w:rPr>
      </w:pPr>
      <w:r w:rsidRPr="00316FF7">
        <w:rPr>
          <w:b w:val="0"/>
          <w:u w:val="single"/>
          <w:lang w:val="en-AU"/>
        </w:rPr>
        <w:t xml:space="preserve">Substances </w:t>
      </w:r>
      <w:r w:rsidR="00212101" w:rsidRPr="00316FF7">
        <w:rPr>
          <w:b w:val="0"/>
          <w:u w:val="single"/>
          <w:lang w:val="en-AU"/>
        </w:rPr>
        <w:t>Increasing the Systemic Exposure of COCs:</w:t>
      </w:r>
    </w:p>
    <w:p w14:paraId="06D9ADB5" w14:textId="70310AA5" w:rsidR="006A03EA" w:rsidRPr="00316FF7" w:rsidRDefault="006A03EA" w:rsidP="006A03EA">
      <w:pPr>
        <w:pStyle w:val="C-BodyText"/>
        <w:rPr>
          <w:lang w:val="en-AU"/>
        </w:rPr>
      </w:pPr>
      <w:r w:rsidRPr="00316FF7">
        <w:rPr>
          <w:lang w:val="en-AU"/>
        </w:rPr>
        <w:t xml:space="preserve">Co-administration of atorvastatin or rosuvastatin and COCs containing </w:t>
      </w:r>
      <w:r w:rsidR="00061051" w:rsidRPr="00316FF7">
        <w:rPr>
          <w:lang w:val="en-AU"/>
        </w:rPr>
        <w:t xml:space="preserve">ethinylestradiol </w:t>
      </w:r>
      <w:r w:rsidRPr="00316FF7">
        <w:rPr>
          <w:lang w:val="en-AU"/>
        </w:rPr>
        <w:t xml:space="preserve">increase systemic exposure of </w:t>
      </w:r>
      <w:r w:rsidR="00061051" w:rsidRPr="00316FF7">
        <w:rPr>
          <w:lang w:val="en-AU"/>
        </w:rPr>
        <w:t xml:space="preserve">ethinylestradiol </w:t>
      </w:r>
      <w:r w:rsidRPr="00316FF7">
        <w:rPr>
          <w:lang w:val="en-AU"/>
        </w:rPr>
        <w:t xml:space="preserve">by approximately 20 to 25 percent. Ascorbic acid and acetaminophen may increase systemic exposure of </w:t>
      </w:r>
      <w:r w:rsidR="00061051" w:rsidRPr="00316FF7">
        <w:rPr>
          <w:lang w:val="en-AU"/>
        </w:rPr>
        <w:t>ethinylestradiol</w:t>
      </w:r>
      <w:r w:rsidRPr="00316FF7">
        <w:rPr>
          <w:lang w:val="en-AU"/>
        </w:rPr>
        <w:t xml:space="preserve">, possibly by inhibition of conjugation. CYP3A inhibitors such as </w:t>
      </w:r>
      <w:r w:rsidR="008D643D" w:rsidRPr="00316FF7">
        <w:rPr>
          <w:lang w:val="en-AU"/>
        </w:rPr>
        <w:t xml:space="preserve">azoles (e.g. </w:t>
      </w:r>
      <w:r w:rsidR="009E0B52" w:rsidRPr="00316FF7">
        <w:rPr>
          <w:lang w:val="en-AU"/>
        </w:rPr>
        <w:t>fluconazole)</w:t>
      </w:r>
      <w:r w:rsidRPr="00316FF7">
        <w:rPr>
          <w:lang w:val="en-AU"/>
        </w:rPr>
        <w:t xml:space="preserve"> </w:t>
      </w:r>
      <w:r w:rsidR="007D3292" w:rsidRPr="00316FF7">
        <w:rPr>
          <w:lang w:val="en-AU"/>
        </w:rPr>
        <w:t xml:space="preserve">or grapefruit juice </w:t>
      </w:r>
      <w:r w:rsidRPr="00316FF7">
        <w:rPr>
          <w:lang w:val="en-AU"/>
        </w:rPr>
        <w:t>may increase systemic exposure of the estrogen and/or progestin component of COCs.</w:t>
      </w:r>
    </w:p>
    <w:p w14:paraId="67E99ED1" w14:textId="13FA52D6" w:rsidR="00430548" w:rsidRPr="00316FF7" w:rsidRDefault="006A03EA" w:rsidP="002458C4">
      <w:pPr>
        <w:pStyle w:val="C-Heading4non-numbered"/>
        <w:tabs>
          <w:tab w:val="clear" w:pos="1080"/>
        </w:tabs>
        <w:ind w:left="0" w:firstLine="0"/>
        <w:rPr>
          <w:b w:val="0"/>
          <w:u w:val="single"/>
          <w:lang w:val="en-AU"/>
        </w:rPr>
      </w:pPr>
      <w:r w:rsidRPr="00316FF7">
        <w:rPr>
          <w:b w:val="0"/>
          <w:u w:val="single"/>
          <w:lang w:val="en-AU"/>
        </w:rPr>
        <w:t xml:space="preserve">Human </w:t>
      </w:r>
      <w:r w:rsidR="00212101" w:rsidRPr="00316FF7">
        <w:rPr>
          <w:b w:val="0"/>
          <w:u w:val="single"/>
          <w:lang w:val="en-AU"/>
        </w:rPr>
        <w:t>Immunodeficiency Virus (</w:t>
      </w:r>
      <w:r w:rsidRPr="00316FF7">
        <w:rPr>
          <w:b w:val="0"/>
          <w:u w:val="single"/>
          <w:lang w:val="en-AU"/>
        </w:rPr>
        <w:t>HIV</w:t>
      </w:r>
      <w:r w:rsidR="00212101" w:rsidRPr="00316FF7">
        <w:rPr>
          <w:b w:val="0"/>
          <w:u w:val="single"/>
          <w:lang w:val="en-AU"/>
        </w:rPr>
        <w:t xml:space="preserve">)/Hepatitis </w:t>
      </w:r>
      <w:r w:rsidRPr="00316FF7">
        <w:rPr>
          <w:b w:val="0"/>
          <w:u w:val="single"/>
          <w:lang w:val="en-AU"/>
        </w:rPr>
        <w:t xml:space="preserve">C </w:t>
      </w:r>
      <w:r w:rsidR="00212101" w:rsidRPr="00316FF7">
        <w:rPr>
          <w:b w:val="0"/>
          <w:u w:val="single"/>
          <w:lang w:val="en-AU"/>
        </w:rPr>
        <w:t>Virus (</w:t>
      </w:r>
      <w:r w:rsidRPr="00316FF7">
        <w:rPr>
          <w:b w:val="0"/>
          <w:u w:val="single"/>
          <w:lang w:val="en-AU"/>
        </w:rPr>
        <w:t>HCV</w:t>
      </w:r>
      <w:r w:rsidR="00212101" w:rsidRPr="00316FF7">
        <w:rPr>
          <w:b w:val="0"/>
          <w:u w:val="single"/>
          <w:lang w:val="en-AU"/>
        </w:rPr>
        <w:t>) Protease Inhibitors and Nonnucleoside Reverse Transcriptase Inhibitors:</w:t>
      </w:r>
    </w:p>
    <w:p w14:paraId="087E9C42" w14:textId="2CF968E1" w:rsidR="006A03EA" w:rsidRPr="00316FF7" w:rsidRDefault="006A03EA" w:rsidP="006A03EA">
      <w:pPr>
        <w:pStyle w:val="C-BodyText"/>
        <w:rPr>
          <w:lang w:val="en-AU"/>
        </w:rPr>
      </w:pPr>
      <w:r w:rsidRPr="00316FF7">
        <w:rPr>
          <w:lang w:val="en-AU"/>
        </w:rPr>
        <w:t>Significant decreases in systemic exposure of the estrogen and/or progestin have been noted when COCs are co-administered with some HIV protease inhibitors (e.g. nelfinavir, ritonavir, darunavir/ritonavir, (fos)amprenavir/ritonavir, lopinavir/ritonavir, and tipranavir/ritonavir), some HCV protease inhibitors (e.g. boceprevir and telaprevir), and some non-nucleoside reverse transcriptase inhibitors (e.g. nevirapine).</w:t>
      </w:r>
    </w:p>
    <w:p w14:paraId="7C3D4BC4" w14:textId="69AAC86D" w:rsidR="006A03EA" w:rsidRPr="00316FF7" w:rsidRDefault="006A03EA" w:rsidP="006A03EA">
      <w:pPr>
        <w:pStyle w:val="C-BodyText"/>
        <w:rPr>
          <w:lang w:val="en-AU"/>
        </w:rPr>
      </w:pPr>
      <w:r w:rsidRPr="00316FF7">
        <w:rPr>
          <w:lang w:val="en-AU"/>
        </w:rPr>
        <w:t>In contrast, significant increases in systemic exposure of the estrogen and/or progestin have been noted when COCs are co-administered with certain other HIV protease inhibitors (e.g. indinavir and atazanavir/ritonavir) and with other non-nucleoside reverse transcriptase inhibitors (e.g. etravirine).</w:t>
      </w:r>
    </w:p>
    <w:p w14:paraId="56909C75" w14:textId="6B85D6C1" w:rsidR="00430548" w:rsidRPr="00316FF7" w:rsidRDefault="00430548" w:rsidP="002E3B3B">
      <w:pPr>
        <w:pStyle w:val="C-Heading3non-numbered"/>
        <w:rPr>
          <w:b w:val="0"/>
          <w:lang w:val="en-AU"/>
        </w:rPr>
      </w:pPr>
      <w:r w:rsidRPr="00316FF7">
        <w:rPr>
          <w:lang w:val="en-AU"/>
        </w:rPr>
        <w:t xml:space="preserve">Effects of </w:t>
      </w:r>
      <w:r w:rsidR="00B34FB1">
        <w:rPr>
          <w:lang w:val="en-AU"/>
        </w:rPr>
        <w:t xml:space="preserve">COCs </w:t>
      </w:r>
      <w:r w:rsidRPr="00316FF7">
        <w:rPr>
          <w:lang w:val="en-AU"/>
        </w:rPr>
        <w:t>on Other Drugs</w:t>
      </w:r>
    </w:p>
    <w:p w14:paraId="04CF10E5" w14:textId="03A2F2B1" w:rsidR="00430548" w:rsidRPr="00316FF7" w:rsidRDefault="00BE3AEE" w:rsidP="00430548">
      <w:pPr>
        <w:pStyle w:val="C-BodyText"/>
        <w:rPr>
          <w:lang w:val="en-AU"/>
        </w:rPr>
      </w:pPr>
      <w:r w:rsidRPr="00316FF7">
        <w:rPr>
          <w:rStyle w:val="C-Hyperlink"/>
          <w:color w:val="auto"/>
          <w:lang w:val="en-AU"/>
        </w:rPr>
        <w:fldChar w:fldCharType="begin"/>
      </w:r>
      <w:r w:rsidRPr="00316FF7">
        <w:rPr>
          <w:rStyle w:val="C-Hyperlink"/>
          <w:color w:val="auto"/>
          <w:lang w:val="en-AU"/>
        </w:rPr>
        <w:instrText xml:space="preserve"> REF _Ref48299283 \h \* MERGEFORMAT </w:instrText>
      </w:r>
      <w:r w:rsidRPr="00316FF7">
        <w:rPr>
          <w:rStyle w:val="C-Hyperlink"/>
          <w:color w:val="auto"/>
          <w:lang w:val="en-AU"/>
        </w:rPr>
      </w:r>
      <w:r w:rsidRPr="00316FF7">
        <w:rPr>
          <w:rStyle w:val="C-Hyperlink"/>
          <w:color w:val="auto"/>
          <w:lang w:val="en-AU"/>
        </w:rPr>
        <w:fldChar w:fldCharType="separate"/>
      </w:r>
      <w:r w:rsidRPr="00316FF7">
        <w:rPr>
          <w:rStyle w:val="C-Hyperlink"/>
          <w:color w:val="auto"/>
          <w:lang w:val="en-AU"/>
        </w:rPr>
        <w:t>Table 5</w:t>
      </w:r>
      <w:r w:rsidRPr="00316FF7">
        <w:rPr>
          <w:rStyle w:val="C-Hyperlink"/>
          <w:color w:val="auto"/>
          <w:lang w:val="en-AU"/>
        </w:rPr>
        <w:fldChar w:fldCharType="end"/>
      </w:r>
      <w:r w:rsidRPr="00316FF7">
        <w:rPr>
          <w:lang w:val="en-AU"/>
        </w:rPr>
        <w:t xml:space="preserve"> </w:t>
      </w:r>
      <w:r w:rsidR="00430548" w:rsidRPr="00316FF7">
        <w:rPr>
          <w:lang w:val="en-AU"/>
        </w:rPr>
        <w:t xml:space="preserve">provides significant drug interaction information for drugs co-administered with </w:t>
      </w:r>
      <w:r w:rsidR="00F12FE1" w:rsidRPr="00316FF7">
        <w:rPr>
          <w:lang w:val="en-AU"/>
        </w:rPr>
        <w:t>NEXTSTELLIS</w:t>
      </w:r>
      <w:r w:rsidR="00430548" w:rsidRPr="00316FF7">
        <w:rPr>
          <w:lang w:val="en-AU"/>
        </w:rPr>
        <w:t>.</w:t>
      </w:r>
    </w:p>
    <w:p w14:paraId="2C94E4C1" w14:textId="2B1E2532" w:rsidR="00206CC1" w:rsidRPr="00316FF7" w:rsidRDefault="00206CC1" w:rsidP="00206CC1">
      <w:pPr>
        <w:pStyle w:val="Caption"/>
        <w:rPr>
          <w:lang w:val="en-AU"/>
        </w:rPr>
      </w:pPr>
      <w:bookmarkStart w:id="5" w:name="_Ref48299283"/>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5</w:t>
      </w:r>
      <w:r w:rsidRPr="00316FF7">
        <w:rPr>
          <w:lang w:val="en-AU"/>
        </w:rPr>
        <w:fldChar w:fldCharType="end"/>
      </w:r>
      <w:bookmarkEnd w:id="5"/>
      <w:r w:rsidRPr="00316FF7">
        <w:rPr>
          <w:lang w:val="en-AU"/>
        </w:rPr>
        <w:t>:</w:t>
      </w:r>
      <w:r w:rsidRPr="00316FF7">
        <w:rPr>
          <w:lang w:val="en-AU"/>
        </w:rPr>
        <w:tab/>
        <w:t xml:space="preserve">Significant </w:t>
      </w:r>
      <w:r w:rsidR="004F0EDC" w:rsidRPr="00316FF7">
        <w:rPr>
          <w:lang w:val="en-AU"/>
        </w:rPr>
        <w:t>drug interaction information for drugs co-administered with</w:t>
      </w:r>
      <w:r w:rsidRPr="00316FF7">
        <w:rPr>
          <w:lang w:val="en-AU"/>
        </w:rPr>
        <w:t xml:space="preserve"> COCs</w:t>
      </w:r>
    </w:p>
    <w:tbl>
      <w:tblPr>
        <w:tblStyle w:val="C-Table"/>
        <w:tblW w:w="9530" w:type="dxa"/>
        <w:tblLook w:val="04A0" w:firstRow="1" w:lastRow="0" w:firstColumn="1" w:lastColumn="0" w:noHBand="0" w:noVBand="1"/>
      </w:tblPr>
      <w:tblGrid>
        <w:gridCol w:w="2260"/>
        <w:gridCol w:w="7270"/>
      </w:tblGrid>
      <w:tr w:rsidR="00430548" w:rsidRPr="00316FF7" w14:paraId="1417EA37" w14:textId="77777777" w:rsidTr="00022687">
        <w:trPr>
          <w:cantSplit w:val="0"/>
          <w:tblHeader/>
        </w:trPr>
        <w:tc>
          <w:tcPr>
            <w:tcW w:w="9530" w:type="dxa"/>
            <w:gridSpan w:val="2"/>
          </w:tcPr>
          <w:p w14:paraId="0AFFD841" w14:textId="77777777" w:rsidR="00430548" w:rsidRPr="00316FF7" w:rsidRDefault="00430548" w:rsidP="00022687">
            <w:pPr>
              <w:pStyle w:val="C-TableHeader"/>
              <w:rPr>
                <w:color w:val="000000" w:themeColor="text1"/>
                <w:lang w:val="en-AU"/>
              </w:rPr>
            </w:pPr>
            <w:r w:rsidRPr="00316FF7">
              <w:rPr>
                <w:rFonts w:eastAsiaTheme="minorEastAsia"/>
                <w:color w:val="000000" w:themeColor="text1"/>
                <w:lang w:val="en-AU"/>
              </w:rPr>
              <w:t xml:space="preserve">Lamotrigine </w:t>
            </w:r>
            <w:r w:rsidRPr="00316FF7">
              <w:rPr>
                <w:rFonts w:eastAsiaTheme="minorEastAsia"/>
                <w:color w:val="000000" w:themeColor="text1"/>
                <w:lang w:val="en-AU"/>
              </w:rPr>
              <w:tab/>
            </w:r>
            <w:r w:rsidRPr="00316FF7">
              <w:rPr>
                <w:rFonts w:eastAsiaTheme="minorEastAsia"/>
                <w:color w:val="000000" w:themeColor="text1"/>
                <w:lang w:val="en-AU"/>
              </w:rPr>
              <w:tab/>
            </w:r>
          </w:p>
        </w:tc>
      </w:tr>
      <w:tr w:rsidR="00430548" w:rsidRPr="00316FF7" w14:paraId="606E7A02" w14:textId="77777777" w:rsidTr="00022687">
        <w:trPr>
          <w:cantSplit w:val="0"/>
          <w:trHeight w:val="501"/>
        </w:trPr>
        <w:tc>
          <w:tcPr>
            <w:tcW w:w="2260" w:type="dxa"/>
          </w:tcPr>
          <w:p w14:paraId="74810716" w14:textId="77777777" w:rsidR="00430548" w:rsidRPr="00316FF7" w:rsidRDefault="00430548" w:rsidP="00022687">
            <w:pPr>
              <w:pStyle w:val="C-TableText"/>
              <w:rPr>
                <w:color w:val="000000" w:themeColor="text1"/>
                <w:lang w:val="en-AU"/>
              </w:rPr>
            </w:pPr>
            <w:r w:rsidRPr="00316FF7">
              <w:rPr>
                <w:rFonts w:eastAsiaTheme="minorEastAsia"/>
                <w:color w:val="000000" w:themeColor="text1"/>
                <w:lang w:val="en-AU"/>
              </w:rPr>
              <w:t xml:space="preserve">Clinical effect </w:t>
            </w:r>
            <w:r w:rsidRPr="00316FF7">
              <w:rPr>
                <w:rFonts w:eastAsiaTheme="minorEastAsia"/>
                <w:color w:val="000000" w:themeColor="text1"/>
                <w:lang w:val="en-AU"/>
              </w:rPr>
              <w:tab/>
            </w:r>
          </w:p>
        </w:tc>
        <w:tc>
          <w:tcPr>
            <w:tcW w:w="7270" w:type="dxa"/>
          </w:tcPr>
          <w:p w14:paraId="14F9BF4C" w14:textId="22B95642" w:rsidR="00430548" w:rsidRPr="00316FF7" w:rsidRDefault="00430548" w:rsidP="00EB12C0">
            <w:pPr>
              <w:pStyle w:val="C-TableText"/>
              <w:numPr>
                <w:ilvl w:val="0"/>
                <w:numId w:val="28"/>
              </w:numPr>
              <w:rPr>
                <w:lang w:val="en-AU"/>
              </w:rPr>
            </w:pPr>
            <w:r w:rsidRPr="00316FF7">
              <w:rPr>
                <w:rFonts w:eastAsiaTheme="minorEastAsia"/>
                <w:color w:val="000000" w:themeColor="text1"/>
                <w:lang w:val="en-AU"/>
              </w:rPr>
              <w:t>Concomitant use of COCs with lamotrigine may significantly decrease systemic exposure of lamotrigine due to induction of lamotrigine glucuronidation</w:t>
            </w:r>
            <w:r w:rsidR="00476F88" w:rsidRPr="00316FF7">
              <w:rPr>
                <w:rFonts w:eastAsiaTheme="minorEastAsia"/>
                <w:color w:val="000000" w:themeColor="text1"/>
                <w:lang w:val="en-AU"/>
              </w:rPr>
              <w:t xml:space="preserve"> (</w:t>
            </w:r>
            <w:r w:rsidR="00476F88" w:rsidRPr="00316FF7">
              <w:rPr>
                <w:lang w:val="en-AU"/>
              </w:rPr>
              <w:t xml:space="preserve">see </w:t>
            </w:r>
            <w:r w:rsidR="00476F88" w:rsidRPr="00316FF7">
              <w:rPr>
                <w:i/>
                <w:lang w:val="en-AU"/>
              </w:rPr>
              <w:t>section 5.2 Pharmacokinetic Properties</w:t>
            </w:r>
            <w:r w:rsidR="00476F88" w:rsidRPr="00316FF7">
              <w:rPr>
                <w:rFonts w:eastAsiaTheme="minorEastAsia"/>
                <w:i/>
                <w:lang w:val="en-AU"/>
              </w:rPr>
              <w:t>).</w:t>
            </w:r>
          </w:p>
          <w:p w14:paraId="4C2C7417" w14:textId="77777777" w:rsidR="00430548" w:rsidRPr="00316FF7" w:rsidRDefault="00430548" w:rsidP="00EB12C0">
            <w:pPr>
              <w:pStyle w:val="C-TableText"/>
              <w:numPr>
                <w:ilvl w:val="0"/>
                <w:numId w:val="28"/>
              </w:numPr>
              <w:rPr>
                <w:color w:val="000000" w:themeColor="text1"/>
                <w:lang w:val="en-AU"/>
              </w:rPr>
            </w:pPr>
            <w:r w:rsidRPr="00316FF7">
              <w:rPr>
                <w:rFonts w:eastAsiaTheme="minorEastAsia"/>
                <w:color w:val="000000" w:themeColor="text1"/>
                <w:lang w:val="en-AU"/>
              </w:rPr>
              <w:t xml:space="preserve">Decreased systemic exposure of lamotrigine may reduce seizure control. </w:t>
            </w:r>
          </w:p>
        </w:tc>
      </w:tr>
      <w:tr w:rsidR="00430548" w:rsidRPr="00316FF7" w14:paraId="013F8725" w14:textId="77777777" w:rsidTr="00022687">
        <w:trPr>
          <w:cantSplit w:val="0"/>
          <w:trHeight w:val="584"/>
        </w:trPr>
        <w:tc>
          <w:tcPr>
            <w:tcW w:w="2260" w:type="dxa"/>
          </w:tcPr>
          <w:p w14:paraId="094B8EE6" w14:textId="77777777" w:rsidR="00430548" w:rsidRPr="00316FF7" w:rsidRDefault="00430548" w:rsidP="00022687">
            <w:pPr>
              <w:pStyle w:val="C-TableText"/>
              <w:rPr>
                <w:color w:val="000000" w:themeColor="text1"/>
                <w:lang w:val="en-AU"/>
              </w:rPr>
            </w:pPr>
            <w:r w:rsidRPr="00316FF7">
              <w:rPr>
                <w:rFonts w:eastAsiaTheme="minorEastAsia"/>
                <w:color w:val="000000" w:themeColor="text1"/>
                <w:lang w:val="en-AU"/>
              </w:rPr>
              <w:t xml:space="preserve">Prevention or management </w:t>
            </w:r>
          </w:p>
        </w:tc>
        <w:tc>
          <w:tcPr>
            <w:tcW w:w="7270" w:type="dxa"/>
          </w:tcPr>
          <w:p w14:paraId="32B5BDCF" w14:textId="77777777" w:rsidR="00430548" w:rsidRPr="00316FF7" w:rsidRDefault="00430548" w:rsidP="00EB12C0">
            <w:pPr>
              <w:pStyle w:val="C-TableText"/>
              <w:numPr>
                <w:ilvl w:val="0"/>
                <w:numId w:val="28"/>
              </w:numPr>
              <w:rPr>
                <w:color w:val="000000" w:themeColor="text1"/>
                <w:lang w:val="en-AU"/>
              </w:rPr>
            </w:pPr>
            <w:r w:rsidRPr="00316FF7">
              <w:rPr>
                <w:rFonts w:eastAsiaTheme="minorEastAsia"/>
                <w:color w:val="000000" w:themeColor="text1"/>
                <w:lang w:val="en-AU"/>
              </w:rPr>
              <w:t xml:space="preserve">Dose adjustment may be necessary. Consult the approved product </w:t>
            </w:r>
            <w:r w:rsidR="00D77335" w:rsidRPr="00316FF7">
              <w:rPr>
                <w:rFonts w:eastAsiaTheme="minorEastAsia"/>
                <w:color w:val="000000" w:themeColor="text1"/>
                <w:lang w:val="en-AU"/>
              </w:rPr>
              <w:t>labelling</w:t>
            </w:r>
            <w:r w:rsidRPr="00316FF7">
              <w:rPr>
                <w:rFonts w:eastAsiaTheme="minorEastAsia"/>
                <w:color w:val="000000" w:themeColor="text1"/>
                <w:lang w:val="en-AU"/>
              </w:rPr>
              <w:t xml:space="preserve"> for lamotrigine. </w:t>
            </w:r>
          </w:p>
        </w:tc>
      </w:tr>
      <w:tr w:rsidR="00430548" w:rsidRPr="00316FF7" w14:paraId="3E4EC80A" w14:textId="77777777" w:rsidTr="00022687">
        <w:trPr>
          <w:cantSplit w:val="0"/>
          <w:trHeight w:val="402"/>
        </w:trPr>
        <w:tc>
          <w:tcPr>
            <w:tcW w:w="9530" w:type="dxa"/>
            <w:gridSpan w:val="2"/>
          </w:tcPr>
          <w:p w14:paraId="7D303ADA" w14:textId="77777777" w:rsidR="00430548" w:rsidRPr="00316FF7" w:rsidRDefault="00430548" w:rsidP="00022687">
            <w:pPr>
              <w:pStyle w:val="C-TableText"/>
              <w:rPr>
                <w:b/>
                <w:color w:val="000000" w:themeColor="text1"/>
                <w:lang w:val="en-AU"/>
              </w:rPr>
            </w:pPr>
            <w:r w:rsidRPr="00316FF7">
              <w:rPr>
                <w:rFonts w:eastAsiaTheme="minorEastAsia"/>
                <w:b/>
                <w:color w:val="000000" w:themeColor="text1"/>
                <w:lang w:val="en-AU"/>
              </w:rPr>
              <w:lastRenderedPageBreak/>
              <w:t xml:space="preserve">Thyroid Hormone Replacement Therapy or Corticosteroid Replacement Therapy </w:t>
            </w:r>
            <w:r w:rsidRPr="00316FF7">
              <w:rPr>
                <w:rFonts w:eastAsiaTheme="minorEastAsia"/>
                <w:b/>
                <w:color w:val="000000" w:themeColor="text1"/>
                <w:lang w:val="en-AU"/>
              </w:rPr>
              <w:tab/>
            </w:r>
          </w:p>
        </w:tc>
      </w:tr>
      <w:tr w:rsidR="00430548" w:rsidRPr="00316FF7" w14:paraId="0DB73897" w14:textId="77777777" w:rsidTr="00022687">
        <w:trPr>
          <w:cantSplit w:val="0"/>
          <w:trHeight w:val="367"/>
        </w:trPr>
        <w:tc>
          <w:tcPr>
            <w:tcW w:w="2260" w:type="dxa"/>
          </w:tcPr>
          <w:p w14:paraId="6F5CFCF9" w14:textId="77777777" w:rsidR="00430548" w:rsidRPr="00316FF7" w:rsidRDefault="00430548" w:rsidP="00022687">
            <w:pPr>
              <w:pStyle w:val="C-TableText"/>
              <w:rPr>
                <w:color w:val="000000" w:themeColor="text1"/>
                <w:lang w:val="en-AU"/>
              </w:rPr>
            </w:pPr>
            <w:r w:rsidRPr="00316FF7">
              <w:rPr>
                <w:rFonts w:eastAsiaTheme="minorEastAsia"/>
                <w:color w:val="000000" w:themeColor="text1"/>
                <w:lang w:val="en-AU"/>
              </w:rPr>
              <w:t xml:space="preserve">Clinical effect </w:t>
            </w:r>
            <w:r w:rsidRPr="00316FF7">
              <w:rPr>
                <w:rFonts w:eastAsiaTheme="minorEastAsia"/>
                <w:color w:val="000000" w:themeColor="text1"/>
                <w:lang w:val="en-AU"/>
              </w:rPr>
              <w:tab/>
            </w:r>
          </w:p>
        </w:tc>
        <w:tc>
          <w:tcPr>
            <w:tcW w:w="7270" w:type="dxa"/>
          </w:tcPr>
          <w:p w14:paraId="5D61D863" w14:textId="3138FFA2" w:rsidR="00430548" w:rsidRPr="00316FF7" w:rsidRDefault="00F12FE1" w:rsidP="00EB12C0">
            <w:pPr>
              <w:pStyle w:val="C-TableText"/>
              <w:numPr>
                <w:ilvl w:val="0"/>
                <w:numId w:val="28"/>
              </w:numPr>
              <w:rPr>
                <w:lang w:val="en-AU"/>
              </w:rPr>
            </w:pPr>
            <w:r w:rsidRPr="00316FF7">
              <w:rPr>
                <w:color w:val="000000" w:themeColor="text1"/>
                <w:lang w:val="en-AU"/>
              </w:rPr>
              <w:t>NEXTSTELLIS</w:t>
            </w:r>
            <w:r w:rsidR="00430548" w:rsidRPr="00316FF7">
              <w:rPr>
                <w:color w:val="000000" w:themeColor="text1"/>
                <w:lang w:val="en-AU"/>
              </w:rPr>
              <w:t xml:space="preserve"> did not have a significant impact on </w:t>
            </w:r>
            <w:r w:rsidR="00430548" w:rsidRPr="00316FF7">
              <w:rPr>
                <w:rFonts w:eastAsiaTheme="minorEastAsia"/>
                <w:color w:val="000000" w:themeColor="text1"/>
                <w:lang w:val="en-AU"/>
              </w:rPr>
              <w:t>systemic exposure of thyroid-binding and CBG</w:t>
            </w:r>
            <w:r w:rsidR="00806558" w:rsidRPr="00316FF7">
              <w:rPr>
                <w:rFonts w:eastAsiaTheme="minorEastAsia"/>
                <w:color w:val="000000" w:themeColor="text1"/>
                <w:lang w:val="en-AU"/>
              </w:rPr>
              <w:t xml:space="preserve"> (see </w:t>
            </w:r>
            <w:r w:rsidR="00806558" w:rsidRPr="00316FF7">
              <w:rPr>
                <w:i/>
                <w:lang w:val="en-AU"/>
              </w:rPr>
              <w:t>section 4.4 Special Warnings and Precautions for Use</w:t>
            </w:r>
            <w:r w:rsidR="00806558" w:rsidRPr="00316FF7">
              <w:rPr>
                <w:rFonts w:eastAsiaTheme="minorEastAsia"/>
                <w:i/>
                <w:lang w:val="en-AU"/>
              </w:rPr>
              <w:t>).</w:t>
            </w:r>
          </w:p>
        </w:tc>
      </w:tr>
      <w:tr w:rsidR="00430548" w:rsidRPr="00316FF7" w14:paraId="09548B21" w14:textId="77777777" w:rsidTr="00022687">
        <w:trPr>
          <w:cantSplit w:val="0"/>
          <w:trHeight w:val="281"/>
        </w:trPr>
        <w:tc>
          <w:tcPr>
            <w:tcW w:w="9530" w:type="dxa"/>
            <w:gridSpan w:val="2"/>
          </w:tcPr>
          <w:p w14:paraId="4902BE8A" w14:textId="77777777" w:rsidR="00430548" w:rsidRPr="00316FF7" w:rsidRDefault="00430548" w:rsidP="00022687">
            <w:pPr>
              <w:pStyle w:val="C-TableText"/>
              <w:rPr>
                <w:b/>
                <w:color w:val="000000" w:themeColor="text1"/>
                <w:lang w:val="en-AU"/>
              </w:rPr>
            </w:pPr>
            <w:r w:rsidRPr="00316FF7">
              <w:rPr>
                <w:rFonts w:eastAsiaTheme="minorEastAsia"/>
                <w:b/>
                <w:color w:val="000000" w:themeColor="text1"/>
                <w:lang w:val="en-AU"/>
              </w:rPr>
              <w:t>Other Drugs</w:t>
            </w:r>
          </w:p>
        </w:tc>
      </w:tr>
      <w:tr w:rsidR="00430548" w:rsidRPr="00316FF7" w14:paraId="11F65D8C" w14:textId="77777777" w:rsidTr="00022687">
        <w:trPr>
          <w:cantSplit w:val="0"/>
          <w:trHeight w:val="3269"/>
        </w:trPr>
        <w:tc>
          <w:tcPr>
            <w:tcW w:w="2260" w:type="dxa"/>
          </w:tcPr>
          <w:p w14:paraId="0B6A200C" w14:textId="77777777" w:rsidR="00430548" w:rsidRPr="00316FF7" w:rsidRDefault="00430548" w:rsidP="00022687">
            <w:pPr>
              <w:pStyle w:val="C-TableText"/>
              <w:rPr>
                <w:color w:val="000000" w:themeColor="text1"/>
                <w:lang w:val="en-AU"/>
              </w:rPr>
            </w:pPr>
            <w:r w:rsidRPr="00316FF7">
              <w:rPr>
                <w:rFonts w:eastAsiaTheme="minorEastAsia"/>
                <w:color w:val="000000" w:themeColor="text1"/>
                <w:lang w:val="en-AU"/>
              </w:rPr>
              <w:t xml:space="preserve">Clinical effect </w:t>
            </w:r>
            <w:r w:rsidRPr="00316FF7">
              <w:rPr>
                <w:rFonts w:eastAsiaTheme="minorEastAsia"/>
                <w:color w:val="000000" w:themeColor="text1"/>
                <w:lang w:val="en-AU"/>
              </w:rPr>
              <w:tab/>
            </w:r>
          </w:p>
        </w:tc>
        <w:tc>
          <w:tcPr>
            <w:tcW w:w="7270" w:type="dxa"/>
          </w:tcPr>
          <w:p w14:paraId="015C2289" w14:textId="77777777" w:rsidR="00430548" w:rsidRPr="00316FF7" w:rsidRDefault="00430548" w:rsidP="00EB12C0">
            <w:pPr>
              <w:pStyle w:val="C-TableText"/>
              <w:numPr>
                <w:ilvl w:val="0"/>
                <w:numId w:val="28"/>
              </w:numPr>
              <w:rPr>
                <w:color w:val="000000" w:themeColor="text1"/>
                <w:lang w:val="en-AU"/>
              </w:rPr>
            </w:pPr>
            <w:r w:rsidRPr="00316FF7">
              <w:rPr>
                <w:rFonts w:eastAsiaTheme="minorEastAsia"/>
                <w:color w:val="000000" w:themeColor="text1"/>
                <w:lang w:val="en-AU"/>
              </w:rPr>
              <w:t xml:space="preserve">Concomitant use of COCs may decrease systemic exposure of acetaminophen, morphine, salicylic acid, and temazepam. </w:t>
            </w:r>
          </w:p>
          <w:p w14:paraId="46A5A1C2" w14:textId="57D7DE07" w:rsidR="00430548" w:rsidRPr="00316FF7" w:rsidRDefault="00430548" w:rsidP="00EB12C0">
            <w:pPr>
              <w:pStyle w:val="C-TableText"/>
              <w:numPr>
                <w:ilvl w:val="0"/>
                <w:numId w:val="28"/>
              </w:numPr>
              <w:rPr>
                <w:color w:val="000000" w:themeColor="text1"/>
                <w:lang w:val="en-AU"/>
              </w:rPr>
            </w:pPr>
            <w:r w:rsidRPr="00316FF7">
              <w:rPr>
                <w:rFonts w:eastAsiaTheme="minorEastAsia"/>
                <w:color w:val="000000" w:themeColor="text1"/>
                <w:lang w:val="en-AU"/>
              </w:rPr>
              <w:t xml:space="preserve">Concomitant use with estrogen-containing COCs may increase systemic exposure of other drugs (e.g. cyclosporine, prednisolone, theophylline, tizanidine, and voriconazole). </w:t>
            </w:r>
          </w:p>
          <w:p w14:paraId="5B3B6DF6" w14:textId="304523E3" w:rsidR="00430548" w:rsidRPr="00316FF7" w:rsidRDefault="00430548" w:rsidP="00EB12C0">
            <w:pPr>
              <w:pStyle w:val="C-TableText"/>
              <w:numPr>
                <w:ilvl w:val="0"/>
                <w:numId w:val="28"/>
              </w:numPr>
              <w:rPr>
                <w:lang w:val="en-AU"/>
              </w:rPr>
            </w:pPr>
            <w:r w:rsidRPr="00316FF7">
              <w:rPr>
                <w:rFonts w:eastAsiaTheme="minorEastAsia"/>
                <w:color w:val="000000" w:themeColor="text1"/>
                <w:lang w:val="en-AU"/>
              </w:rPr>
              <w:t xml:space="preserve">There is a potential for an increase in serum potassium concentration in women taking </w:t>
            </w:r>
            <w:r w:rsidR="00F12FE1" w:rsidRPr="00316FF7">
              <w:rPr>
                <w:color w:val="000000" w:themeColor="text1"/>
                <w:lang w:val="en-AU"/>
              </w:rPr>
              <w:t>NEXTSTELLIS</w:t>
            </w:r>
            <w:r w:rsidRPr="00316FF7">
              <w:rPr>
                <w:color w:val="000000" w:themeColor="text1"/>
                <w:lang w:val="en-AU"/>
              </w:rPr>
              <w:t xml:space="preserve"> </w:t>
            </w:r>
            <w:r w:rsidRPr="00316FF7">
              <w:rPr>
                <w:rFonts w:eastAsiaTheme="minorEastAsia"/>
                <w:color w:val="000000" w:themeColor="text1"/>
                <w:lang w:val="en-AU"/>
              </w:rPr>
              <w:t>with other drugs that may increase serum potassium concentration (for example, ACE inhibitors, angiotensin-II receptor antagonists, potassium-sparing diuretics, potassium supplementation, heparin, aldosterone antagonists, and NSAIDS</w:t>
            </w:r>
            <w:r w:rsidR="00806558" w:rsidRPr="00316FF7">
              <w:rPr>
                <w:rFonts w:eastAsiaTheme="minorEastAsia"/>
                <w:color w:val="000000" w:themeColor="text1"/>
                <w:lang w:val="en-AU"/>
              </w:rPr>
              <w:t xml:space="preserve"> (see </w:t>
            </w:r>
            <w:r w:rsidR="00806558" w:rsidRPr="00316FF7">
              <w:rPr>
                <w:i/>
                <w:lang w:val="en-AU"/>
              </w:rPr>
              <w:t>section 4.4 Special Warnings and Precautions for Use</w:t>
            </w:r>
            <w:r w:rsidR="00806558" w:rsidRPr="00316FF7">
              <w:rPr>
                <w:lang w:val="en-AU"/>
              </w:rPr>
              <w:t>).</w:t>
            </w:r>
          </w:p>
        </w:tc>
      </w:tr>
      <w:tr w:rsidR="00430548" w:rsidRPr="00316FF7" w14:paraId="0164F8BB" w14:textId="77777777" w:rsidTr="00022687">
        <w:trPr>
          <w:cantSplit w:val="0"/>
          <w:trHeight w:val="584"/>
        </w:trPr>
        <w:tc>
          <w:tcPr>
            <w:tcW w:w="2260" w:type="dxa"/>
          </w:tcPr>
          <w:p w14:paraId="336F7BE8" w14:textId="77777777" w:rsidR="00430548" w:rsidRPr="00316FF7" w:rsidRDefault="00430548" w:rsidP="00022687">
            <w:pPr>
              <w:pStyle w:val="C-TableText"/>
              <w:rPr>
                <w:color w:val="000000" w:themeColor="text1"/>
                <w:lang w:val="en-AU"/>
              </w:rPr>
            </w:pPr>
            <w:r w:rsidRPr="00316FF7">
              <w:rPr>
                <w:rFonts w:eastAsiaTheme="minorEastAsia"/>
                <w:color w:val="000000" w:themeColor="text1"/>
                <w:lang w:val="en-AU"/>
              </w:rPr>
              <w:t xml:space="preserve">Prevention or management </w:t>
            </w:r>
            <w:r w:rsidRPr="00316FF7">
              <w:rPr>
                <w:rFonts w:eastAsiaTheme="minorEastAsia"/>
                <w:color w:val="000000" w:themeColor="text1"/>
                <w:lang w:val="en-AU"/>
              </w:rPr>
              <w:tab/>
            </w:r>
          </w:p>
        </w:tc>
        <w:tc>
          <w:tcPr>
            <w:tcW w:w="7270" w:type="dxa"/>
          </w:tcPr>
          <w:p w14:paraId="56F14806" w14:textId="77777777" w:rsidR="00430548" w:rsidRPr="00316FF7" w:rsidRDefault="00430548" w:rsidP="00EB12C0">
            <w:pPr>
              <w:pStyle w:val="C-TableText"/>
              <w:numPr>
                <w:ilvl w:val="0"/>
                <w:numId w:val="28"/>
              </w:numPr>
              <w:rPr>
                <w:color w:val="000000" w:themeColor="text1"/>
                <w:lang w:val="en-AU"/>
              </w:rPr>
            </w:pPr>
            <w:r w:rsidRPr="00316FF7">
              <w:rPr>
                <w:rFonts w:eastAsiaTheme="minorEastAsia"/>
                <w:color w:val="000000" w:themeColor="text1"/>
                <w:lang w:val="en-AU"/>
              </w:rPr>
              <w:t xml:space="preserve">The dosage of drugs that can be affected by this interaction may need to be increased. Consult the approved product </w:t>
            </w:r>
            <w:r w:rsidR="00D77335" w:rsidRPr="00316FF7">
              <w:rPr>
                <w:rFonts w:eastAsiaTheme="minorEastAsia"/>
                <w:color w:val="000000" w:themeColor="text1"/>
                <w:lang w:val="en-AU"/>
              </w:rPr>
              <w:t>labelling</w:t>
            </w:r>
            <w:r w:rsidRPr="00316FF7">
              <w:rPr>
                <w:rFonts w:eastAsiaTheme="minorEastAsia"/>
                <w:color w:val="000000" w:themeColor="text1"/>
                <w:lang w:val="en-AU"/>
              </w:rPr>
              <w:t xml:space="preserve"> for the concomitantly used drug.</w:t>
            </w:r>
          </w:p>
        </w:tc>
      </w:tr>
    </w:tbl>
    <w:p w14:paraId="2EE5DA70" w14:textId="39822C13" w:rsidR="008E7D00" w:rsidRPr="00316FF7" w:rsidRDefault="00485B1D" w:rsidP="00485B1D">
      <w:pPr>
        <w:pStyle w:val="C-BodyText"/>
        <w:rPr>
          <w:lang w:val="en-AU"/>
        </w:rPr>
      </w:pPr>
      <w:r w:rsidRPr="00485B1D">
        <w:rPr>
          <w:i/>
          <w:iCs/>
          <w:lang w:val="en-AU"/>
        </w:rPr>
        <w:t xml:space="preserve">In vitro </w:t>
      </w:r>
      <w:r w:rsidRPr="00485B1D">
        <w:rPr>
          <w:lang w:val="en-AU"/>
        </w:rPr>
        <w:t>studies indicated that E4 does not</w:t>
      </w:r>
      <w:r>
        <w:rPr>
          <w:lang w:val="en-AU"/>
        </w:rPr>
        <w:t xml:space="preserve"> </w:t>
      </w:r>
      <w:r w:rsidRPr="00485B1D">
        <w:rPr>
          <w:lang w:val="en-AU"/>
        </w:rPr>
        <w:t>inhibit CYPs, UGTs or major drug transporters at clinically relevant concentrations. E4 did not</w:t>
      </w:r>
      <w:r>
        <w:rPr>
          <w:lang w:val="en-AU"/>
        </w:rPr>
        <w:t xml:space="preserve"> </w:t>
      </w:r>
      <w:r w:rsidRPr="00485B1D">
        <w:rPr>
          <w:lang w:val="en-AU"/>
        </w:rPr>
        <w:t>cause notable induction of CYP1A2, 2B6 or 3A4 in cultured human hepatocytes. Accordingly,</w:t>
      </w:r>
      <w:r>
        <w:rPr>
          <w:lang w:val="en-AU"/>
        </w:rPr>
        <w:t xml:space="preserve"> </w:t>
      </w:r>
      <w:r w:rsidRPr="00485B1D">
        <w:rPr>
          <w:lang w:val="en-AU"/>
        </w:rPr>
        <w:t>pharmacokinetic interactions caused by the E4 component of NEXTSTELLIS are not expected.</w:t>
      </w:r>
      <w:r>
        <w:rPr>
          <w:lang w:val="en-AU"/>
        </w:rPr>
        <w:t xml:space="preserve"> </w:t>
      </w:r>
      <w:r w:rsidRPr="00485B1D">
        <w:rPr>
          <w:lang w:val="en-AU"/>
        </w:rPr>
        <w:t xml:space="preserve">E4 was identified as a substrate of P-glycoprotein and </w:t>
      </w:r>
      <w:r w:rsidR="00D23423" w:rsidRPr="00D23423">
        <w:rPr>
          <w:lang w:val="en-AU"/>
        </w:rPr>
        <w:t>breast cancer resistance protein</w:t>
      </w:r>
      <w:r w:rsidRPr="00485B1D">
        <w:rPr>
          <w:lang w:val="en-AU"/>
        </w:rPr>
        <w:t>.</w:t>
      </w:r>
      <w:r w:rsidR="00C12254">
        <w:rPr>
          <w:lang w:val="en-AU"/>
        </w:rPr>
        <w:t xml:space="preserve"> See </w:t>
      </w:r>
      <w:r w:rsidR="00C12254" w:rsidRPr="00C12254">
        <w:rPr>
          <w:i/>
          <w:iCs/>
          <w:lang w:val="en-AU"/>
        </w:rPr>
        <w:t>section 5.2 Pharmacokinetic Properties – Metabolism</w:t>
      </w:r>
      <w:r w:rsidR="001F1747">
        <w:rPr>
          <w:i/>
          <w:iCs/>
          <w:lang w:val="en-AU"/>
        </w:rPr>
        <w:t>,</w:t>
      </w:r>
      <w:r w:rsidR="00C12254">
        <w:rPr>
          <w:lang w:val="en-AU"/>
        </w:rPr>
        <w:t xml:space="preserve"> and </w:t>
      </w:r>
      <w:r w:rsidR="00C12254" w:rsidRPr="00C12254">
        <w:rPr>
          <w:i/>
          <w:iCs/>
          <w:lang w:val="en-AU"/>
        </w:rPr>
        <w:t>section 5.2 Pharmacokinetic Properties – Excretion</w:t>
      </w:r>
      <w:r w:rsidR="00C12254">
        <w:rPr>
          <w:lang w:val="en-AU"/>
        </w:rPr>
        <w:t>.</w:t>
      </w:r>
    </w:p>
    <w:p w14:paraId="316BA76B" w14:textId="77777777" w:rsidR="00430548" w:rsidRPr="00316FF7" w:rsidRDefault="00430548" w:rsidP="002E3B3B">
      <w:pPr>
        <w:pStyle w:val="C-Heading3non-numbered"/>
        <w:rPr>
          <w:b w:val="0"/>
          <w:lang w:val="en-AU"/>
        </w:rPr>
      </w:pPr>
      <w:r w:rsidRPr="00316FF7">
        <w:rPr>
          <w:lang w:val="en-AU"/>
        </w:rPr>
        <w:t>Effect on Laboratory Tests</w:t>
      </w:r>
    </w:p>
    <w:p w14:paraId="0A02946B" w14:textId="77777777" w:rsidR="00430548" w:rsidRPr="00316FF7" w:rsidRDefault="00430548" w:rsidP="00430548">
      <w:pPr>
        <w:pStyle w:val="C-BodyText"/>
        <w:rPr>
          <w:lang w:val="en-AU"/>
        </w:rPr>
      </w:pPr>
      <w:r w:rsidRPr="00316FF7">
        <w:rPr>
          <w:lang w:val="en-AU"/>
        </w:rPr>
        <w:t>The use of COCs may influence the results of certain laboratory tests, such as coagulation factors, lipids, glucose tolerance, and binding proteins.</w:t>
      </w:r>
    </w:p>
    <w:p w14:paraId="20049537" w14:textId="77777777" w:rsidR="00B845D7" w:rsidRPr="00316FF7" w:rsidRDefault="007F49AA" w:rsidP="006E0396">
      <w:pPr>
        <w:pStyle w:val="C-Heading2"/>
        <w:rPr>
          <w:lang w:val="en-AU"/>
        </w:rPr>
      </w:pPr>
      <w:r w:rsidRPr="00316FF7">
        <w:rPr>
          <w:lang w:val="en-AU"/>
        </w:rPr>
        <w:t>Fertility, Pregnancy and Lactation</w:t>
      </w:r>
    </w:p>
    <w:p w14:paraId="6ADD33FC" w14:textId="77777777" w:rsidR="00B845D7" w:rsidRPr="00316FF7" w:rsidRDefault="00BC3831" w:rsidP="00DE770A">
      <w:pPr>
        <w:pStyle w:val="C-Heading3non-numbered"/>
        <w:rPr>
          <w:lang w:val="en-AU"/>
        </w:rPr>
      </w:pPr>
      <w:r w:rsidRPr="00316FF7">
        <w:rPr>
          <w:lang w:val="en-AU"/>
        </w:rPr>
        <w:t>Effects o</w:t>
      </w:r>
      <w:r w:rsidR="00D769C7" w:rsidRPr="00316FF7">
        <w:rPr>
          <w:lang w:val="en-AU"/>
        </w:rPr>
        <w:t>n</w:t>
      </w:r>
      <w:r w:rsidRPr="00316FF7">
        <w:rPr>
          <w:lang w:val="en-AU"/>
        </w:rPr>
        <w:t xml:space="preserve"> </w:t>
      </w:r>
      <w:r w:rsidR="00944786" w:rsidRPr="00316FF7">
        <w:rPr>
          <w:lang w:val="en-AU"/>
        </w:rPr>
        <w:t>F</w:t>
      </w:r>
      <w:r w:rsidRPr="00316FF7">
        <w:rPr>
          <w:lang w:val="en-AU"/>
        </w:rPr>
        <w:t>ertility</w:t>
      </w:r>
    </w:p>
    <w:p w14:paraId="466985D9" w14:textId="21D8B9A4" w:rsidR="008D3E24" w:rsidRPr="00316FF7" w:rsidRDefault="00110431" w:rsidP="008D3E24">
      <w:pPr>
        <w:pStyle w:val="C-BodyText"/>
        <w:rPr>
          <w:color w:val="FF0000"/>
          <w:lang w:val="en-AU"/>
        </w:rPr>
      </w:pPr>
      <w:r w:rsidRPr="00110431">
        <w:rPr>
          <w:lang w:val="en-AU"/>
        </w:rPr>
        <w:t xml:space="preserve">NEXTSTELLIS acts as a contraceptive. </w:t>
      </w:r>
      <w:r w:rsidR="004600E1" w:rsidRPr="00316FF7">
        <w:rPr>
          <w:vanish/>
          <w:lang w:val="en-AU"/>
        </w:rPr>
        <w:t xml:space="preserve">See </w:t>
      </w:r>
      <w:proofErr w:type="spellStart"/>
      <w:r>
        <w:rPr>
          <w:lang w:val="en-AU"/>
        </w:rPr>
        <w:t>S</w:t>
      </w:r>
      <w:r w:rsidR="00CC3AD3" w:rsidRPr="00316FF7">
        <w:rPr>
          <w:lang w:val="en-AU"/>
        </w:rPr>
        <w:t>ee</w:t>
      </w:r>
      <w:proofErr w:type="spellEnd"/>
      <w:r w:rsidR="00CC3AD3" w:rsidRPr="00316FF7">
        <w:rPr>
          <w:i/>
          <w:lang w:val="en-AU"/>
        </w:rPr>
        <w:t xml:space="preserve"> </w:t>
      </w:r>
      <w:r w:rsidR="006D7E71" w:rsidRPr="00316FF7">
        <w:rPr>
          <w:i/>
          <w:lang w:val="en-AU"/>
        </w:rPr>
        <w:t>s</w:t>
      </w:r>
      <w:r w:rsidR="004600E1" w:rsidRPr="00316FF7">
        <w:rPr>
          <w:i/>
          <w:lang w:val="en-AU"/>
        </w:rPr>
        <w:t>ection 5.1 Pharmacodynamic Properties</w:t>
      </w:r>
      <w:r w:rsidR="533388A7" w:rsidRPr="00316FF7">
        <w:rPr>
          <w:i/>
          <w:iCs/>
          <w:lang w:val="en-AU"/>
        </w:rPr>
        <w:t xml:space="preserve"> – Clinical Trials</w:t>
      </w:r>
      <w:r w:rsidR="004600E1" w:rsidRPr="00316FF7">
        <w:rPr>
          <w:lang w:val="en-AU"/>
        </w:rPr>
        <w:t>.</w:t>
      </w:r>
    </w:p>
    <w:p w14:paraId="5940A28F" w14:textId="0D3D7071" w:rsidR="00BC3831" w:rsidRDefault="00BC3831" w:rsidP="00DE770A">
      <w:pPr>
        <w:pStyle w:val="C-Heading3non-numbered"/>
        <w:rPr>
          <w:lang w:val="en-AU"/>
        </w:rPr>
      </w:pPr>
      <w:r w:rsidRPr="00316FF7">
        <w:rPr>
          <w:lang w:val="en-AU"/>
        </w:rPr>
        <w:lastRenderedPageBreak/>
        <w:t xml:space="preserve">Use in </w:t>
      </w:r>
      <w:r w:rsidR="00944786" w:rsidRPr="00316FF7">
        <w:rPr>
          <w:lang w:val="en-AU"/>
        </w:rPr>
        <w:t>P</w:t>
      </w:r>
      <w:r w:rsidRPr="00316FF7">
        <w:rPr>
          <w:lang w:val="en-AU"/>
        </w:rPr>
        <w:t>regnancy</w:t>
      </w:r>
    </w:p>
    <w:p w14:paraId="090F69C2" w14:textId="7E62249E" w:rsidR="00FF3BCF" w:rsidRPr="00FF3BCF" w:rsidRDefault="00FF3BCF" w:rsidP="00FF3BCF">
      <w:pPr>
        <w:pStyle w:val="C-Heading3non-numbered"/>
        <w:rPr>
          <w:lang w:val="en-AU"/>
        </w:rPr>
      </w:pPr>
      <w:r>
        <w:rPr>
          <w:lang w:val="en-AU"/>
        </w:rPr>
        <w:t>Category B</w:t>
      </w:r>
      <w:r w:rsidR="0048194B">
        <w:rPr>
          <w:lang w:val="en-AU"/>
        </w:rPr>
        <w:t>3</w:t>
      </w:r>
    </w:p>
    <w:p w14:paraId="3748367A" w14:textId="6EE41A89" w:rsidR="00430548" w:rsidRPr="00316FF7" w:rsidRDefault="00430548" w:rsidP="00430548">
      <w:pPr>
        <w:pStyle w:val="C-BodyText"/>
        <w:rPr>
          <w:lang w:val="en-AU"/>
        </w:rPr>
      </w:pPr>
      <w:r w:rsidRPr="00316FF7">
        <w:rPr>
          <w:lang w:val="en-AU"/>
        </w:rPr>
        <w:t xml:space="preserve">Discontinue </w:t>
      </w:r>
      <w:r w:rsidR="00F12FE1" w:rsidRPr="00316FF7">
        <w:rPr>
          <w:lang w:val="en-AU"/>
        </w:rPr>
        <w:t>NEXTSTELLIS</w:t>
      </w:r>
      <w:r w:rsidRPr="00316FF7">
        <w:rPr>
          <w:lang w:val="en-AU"/>
        </w:rPr>
        <w:t xml:space="preserve"> if pregnancy occurs</w:t>
      </w:r>
      <w:r w:rsidR="00647B25" w:rsidRPr="00316FF7">
        <w:rPr>
          <w:lang w:val="en-AU"/>
        </w:rPr>
        <w:t xml:space="preserve"> as</w:t>
      </w:r>
      <w:r w:rsidRPr="00316FF7">
        <w:rPr>
          <w:lang w:val="en-AU"/>
        </w:rPr>
        <w:t xml:space="preserve"> there is no reason to use hormonal contraceptives during pregnancy </w:t>
      </w:r>
      <w:r w:rsidR="00806558" w:rsidRPr="00316FF7">
        <w:rPr>
          <w:lang w:val="en-AU"/>
        </w:rPr>
        <w:t xml:space="preserve">(see </w:t>
      </w:r>
      <w:r w:rsidR="00806558" w:rsidRPr="00316FF7">
        <w:rPr>
          <w:i/>
          <w:lang w:val="en-AU"/>
        </w:rPr>
        <w:t>section 4.3 Contraindications</w:t>
      </w:r>
      <w:r w:rsidR="00806558" w:rsidRPr="00316FF7">
        <w:rPr>
          <w:lang w:val="en-AU"/>
        </w:rPr>
        <w:t>)</w:t>
      </w:r>
      <w:r w:rsidRPr="00316FF7">
        <w:rPr>
          <w:lang w:val="en-AU"/>
        </w:rPr>
        <w:t>. Epidemiologic studies and meta-analyses have not found an increased risk of genital or nongenital birth defects following exposure to COCs before conception or during early pregnancy.</w:t>
      </w:r>
    </w:p>
    <w:p w14:paraId="60EF1426" w14:textId="21903559" w:rsidR="0010115C" w:rsidRDefault="0048194B" w:rsidP="0048194B">
      <w:pPr>
        <w:pStyle w:val="C-BodyText"/>
        <w:rPr>
          <w:lang w:val="en-AU"/>
        </w:rPr>
      </w:pPr>
      <w:r w:rsidRPr="0048194B">
        <w:rPr>
          <w:lang w:val="en-AU"/>
        </w:rPr>
        <w:t>Placental transfer of E4, drospirenone and/or their metabolites is expected. Animal studies</w:t>
      </w:r>
      <w:r>
        <w:rPr>
          <w:lang w:val="en-AU"/>
        </w:rPr>
        <w:t xml:space="preserve"> </w:t>
      </w:r>
      <w:r w:rsidRPr="0048194B">
        <w:rPr>
          <w:lang w:val="en-AU"/>
        </w:rPr>
        <w:t>revealed severe adverse effects on embryofetal development with the individual components</w:t>
      </w:r>
      <w:r>
        <w:rPr>
          <w:lang w:val="en-AU"/>
        </w:rPr>
        <w:t xml:space="preserve"> </w:t>
      </w:r>
      <w:r w:rsidRPr="0048194B">
        <w:rPr>
          <w:lang w:val="en-AU"/>
        </w:rPr>
        <w:t>of NEXTSTELLIS</w:t>
      </w:r>
      <w:r w:rsidR="0010115C">
        <w:rPr>
          <w:lang w:val="en-AU"/>
        </w:rPr>
        <w:t xml:space="preserve">, </w:t>
      </w:r>
      <w:r w:rsidR="0010115C" w:rsidRPr="0010115C">
        <w:rPr>
          <w:lang w:val="en-AU"/>
        </w:rPr>
        <w:t>which are expected after hormonal exposure in those species</w:t>
      </w:r>
      <w:r w:rsidRPr="0048194B">
        <w:rPr>
          <w:lang w:val="en-AU"/>
        </w:rPr>
        <w:t>.</w:t>
      </w:r>
      <w:r>
        <w:rPr>
          <w:lang w:val="en-AU"/>
        </w:rPr>
        <w:t xml:space="preserve"> </w:t>
      </w:r>
    </w:p>
    <w:p w14:paraId="3531BC9D" w14:textId="0786E254" w:rsidR="0048194B" w:rsidRPr="0048194B" w:rsidRDefault="0048194B" w:rsidP="0048194B">
      <w:pPr>
        <w:pStyle w:val="C-BodyText"/>
        <w:rPr>
          <w:lang w:val="en-AU"/>
        </w:rPr>
      </w:pPr>
      <w:r w:rsidRPr="0048194B">
        <w:rPr>
          <w:lang w:val="en-AU"/>
        </w:rPr>
        <w:t>Embryofetal lethality was observed with oral administration of E4 to pregnant rats and</w:t>
      </w:r>
      <w:r>
        <w:rPr>
          <w:lang w:val="en-AU"/>
        </w:rPr>
        <w:t xml:space="preserve"> </w:t>
      </w:r>
      <w:r w:rsidRPr="0048194B">
        <w:rPr>
          <w:lang w:val="en-AU"/>
        </w:rPr>
        <w:t>rabbits. This occurred at doses yielding systemic exposure levels below or only marginally</w:t>
      </w:r>
      <w:r>
        <w:rPr>
          <w:lang w:val="en-AU"/>
        </w:rPr>
        <w:t xml:space="preserve"> </w:t>
      </w:r>
      <w:r w:rsidRPr="0048194B">
        <w:rPr>
          <w:lang w:val="en-AU"/>
        </w:rPr>
        <w:t>above that of patients. E4 also increased fetal skeletal abnormalities and reduced fetal weight</w:t>
      </w:r>
      <w:r>
        <w:rPr>
          <w:lang w:val="en-AU"/>
        </w:rPr>
        <w:t xml:space="preserve"> </w:t>
      </w:r>
      <w:r w:rsidRPr="0048194B">
        <w:rPr>
          <w:lang w:val="en-AU"/>
        </w:rPr>
        <w:t>in rats, and impaired ossification in rabbits, occurring in conjunction with maternotoxicity</w:t>
      </w:r>
      <w:r w:rsidR="0010115C">
        <w:rPr>
          <w:lang w:val="en-AU"/>
        </w:rPr>
        <w:t xml:space="preserve">, </w:t>
      </w:r>
      <w:r w:rsidR="0010115C" w:rsidRPr="0010115C">
        <w:rPr>
          <w:lang w:val="en-AU"/>
        </w:rPr>
        <w:t xml:space="preserve">consistent with </w:t>
      </w:r>
      <w:r w:rsidR="00662034">
        <w:rPr>
          <w:lang w:val="en-AU"/>
        </w:rPr>
        <w:t xml:space="preserve">the </w:t>
      </w:r>
      <w:r w:rsidR="0010115C" w:rsidRPr="0010115C">
        <w:rPr>
          <w:lang w:val="en-AU"/>
        </w:rPr>
        <w:t>drug’s estrogenic activity</w:t>
      </w:r>
      <w:r w:rsidRPr="0048194B">
        <w:rPr>
          <w:lang w:val="en-AU"/>
        </w:rPr>
        <w:t>.</w:t>
      </w:r>
      <w:r>
        <w:rPr>
          <w:lang w:val="en-AU"/>
        </w:rPr>
        <w:t xml:space="preserve"> </w:t>
      </w:r>
      <w:r w:rsidRPr="0048194B">
        <w:rPr>
          <w:lang w:val="en-AU"/>
        </w:rPr>
        <w:t>While E4 is a native estrogen present during pregnancy, NEXTSTELLIS therapy is seen to</w:t>
      </w:r>
      <w:r>
        <w:rPr>
          <w:lang w:val="en-AU"/>
        </w:rPr>
        <w:t xml:space="preserve"> </w:t>
      </w:r>
      <w:r w:rsidRPr="0048194B">
        <w:rPr>
          <w:lang w:val="en-AU"/>
        </w:rPr>
        <w:t xml:space="preserve">result in </w:t>
      </w:r>
      <w:r w:rsidR="007A4A1E">
        <w:rPr>
          <w:lang w:val="en-AU"/>
        </w:rPr>
        <w:t>maternal systemic exposure</w:t>
      </w:r>
      <w:r w:rsidRPr="0048194B">
        <w:rPr>
          <w:lang w:val="en-AU"/>
        </w:rPr>
        <w:t xml:space="preserve"> beyond physiological levels, particularly during early</w:t>
      </w:r>
      <w:r>
        <w:rPr>
          <w:lang w:val="en-AU"/>
        </w:rPr>
        <w:t xml:space="preserve"> </w:t>
      </w:r>
      <w:r w:rsidRPr="0048194B">
        <w:rPr>
          <w:lang w:val="en-AU"/>
        </w:rPr>
        <w:t>gestation.</w:t>
      </w:r>
    </w:p>
    <w:p w14:paraId="16D49224" w14:textId="398CEF73" w:rsidR="00CF3742" w:rsidRPr="00316FF7" w:rsidRDefault="0048194B" w:rsidP="0048194B">
      <w:pPr>
        <w:pStyle w:val="C-BodyText"/>
        <w:rPr>
          <w:lang w:val="en-AU"/>
        </w:rPr>
      </w:pPr>
      <w:r w:rsidRPr="0048194B">
        <w:rPr>
          <w:lang w:val="en-AU"/>
        </w:rPr>
        <w:t>Administration of drospirenone in combination with ethinylestradiol in rats was also shown</w:t>
      </w:r>
      <w:r>
        <w:rPr>
          <w:lang w:val="en-AU"/>
        </w:rPr>
        <w:t xml:space="preserve"> </w:t>
      </w:r>
      <w:r w:rsidRPr="0048194B">
        <w:rPr>
          <w:lang w:val="en-AU"/>
        </w:rPr>
        <w:t>to cause embryolethality. There was no indication of treatment-related malformations with</w:t>
      </w:r>
      <w:r>
        <w:rPr>
          <w:lang w:val="en-AU"/>
        </w:rPr>
        <w:t xml:space="preserve"> </w:t>
      </w:r>
      <w:r w:rsidRPr="0048194B">
        <w:rPr>
          <w:lang w:val="en-AU"/>
        </w:rPr>
        <w:t>drospirenone in rats or rabbits. Feminisation of male fetuses was observed in rats with</w:t>
      </w:r>
      <w:r>
        <w:rPr>
          <w:lang w:val="en-AU"/>
        </w:rPr>
        <w:t xml:space="preserve"> </w:t>
      </w:r>
      <w:r w:rsidRPr="0048194B">
        <w:rPr>
          <w:lang w:val="en-AU"/>
        </w:rPr>
        <w:t>administration of drospirenone in the last third of pregnancy, consistent with drug’s</w:t>
      </w:r>
      <w:r>
        <w:rPr>
          <w:lang w:val="en-AU"/>
        </w:rPr>
        <w:t xml:space="preserve"> </w:t>
      </w:r>
      <w:r w:rsidRPr="0048194B">
        <w:rPr>
          <w:lang w:val="en-AU"/>
        </w:rPr>
        <w:t>recognised anti-androgenic activity, and seen at doses yielding systemic exposure 8</w:t>
      </w:r>
      <w:r>
        <w:rPr>
          <w:lang w:val="en-AU"/>
        </w:rPr>
        <w:t>-</w:t>
      </w:r>
      <w:r w:rsidRPr="0048194B">
        <w:rPr>
          <w:lang w:val="en-AU"/>
        </w:rPr>
        <w:t>13 fold</w:t>
      </w:r>
      <w:r>
        <w:rPr>
          <w:lang w:val="en-AU"/>
        </w:rPr>
        <w:t xml:space="preserve"> </w:t>
      </w:r>
      <w:r w:rsidRPr="0048194B">
        <w:rPr>
          <w:lang w:val="en-AU"/>
        </w:rPr>
        <w:t>that anticipated clinically (based on AUC).</w:t>
      </w:r>
    </w:p>
    <w:p w14:paraId="34BD74F9" w14:textId="77777777" w:rsidR="00BC3831" w:rsidRPr="00316FF7" w:rsidRDefault="00BC3831" w:rsidP="00DE770A">
      <w:pPr>
        <w:pStyle w:val="C-Heading3non-numbered"/>
        <w:rPr>
          <w:lang w:val="en-AU"/>
        </w:rPr>
      </w:pPr>
      <w:r w:rsidRPr="00316FF7">
        <w:rPr>
          <w:lang w:val="en-AU"/>
        </w:rPr>
        <w:t xml:space="preserve">Use in </w:t>
      </w:r>
      <w:r w:rsidR="00944786" w:rsidRPr="00316FF7">
        <w:rPr>
          <w:lang w:val="en-AU"/>
        </w:rPr>
        <w:t>L</w:t>
      </w:r>
      <w:r w:rsidRPr="00316FF7">
        <w:rPr>
          <w:lang w:val="en-AU"/>
        </w:rPr>
        <w:t>actation</w:t>
      </w:r>
    </w:p>
    <w:p w14:paraId="41257477" w14:textId="5BB1E494" w:rsidR="00430548" w:rsidRPr="00316FF7" w:rsidRDefault="00281647" w:rsidP="00281647">
      <w:pPr>
        <w:pStyle w:val="C-Heading4non-numbered"/>
        <w:rPr>
          <w:u w:val="single"/>
          <w:lang w:val="en-AU"/>
        </w:rPr>
      </w:pPr>
      <w:r w:rsidRPr="00316FF7">
        <w:rPr>
          <w:b w:val="0"/>
          <w:u w:val="single"/>
          <w:lang w:val="en-AU"/>
        </w:rPr>
        <w:t>Risk S</w:t>
      </w:r>
      <w:r w:rsidR="00430548" w:rsidRPr="00316FF7">
        <w:rPr>
          <w:b w:val="0"/>
          <w:u w:val="single"/>
          <w:lang w:val="en-AU"/>
        </w:rPr>
        <w:t>ummary</w:t>
      </w:r>
    </w:p>
    <w:p w14:paraId="54F1C44F" w14:textId="342DEB4F" w:rsidR="00430548" w:rsidRPr="00316FF7" w:rsidRDefault="00430548" w:rsidP="00430548">
      <w:pPr>
        <w:pStyle w:val="C-BodyText"/>
        <w:rPr>
          <w:lang w:val="en-AU"/>
        </w:rPr>
      </w:pPr>
      <w:r w:rsidRPr="00316FF7">
        <w:rPr>
          <w:lang w:val="en-AU"/>
        </w:rPr>
        <w:t xml:space="preserve">Contraceptive hormones and/or metabolites are present in human milk. COCs can reduce milk production in breast-feeding women. This reduction can occur at any time but is less likely to occur once breast-feeding is well established. When possible, advise the nursing woman to use other methods of contraception until she discontinues breast-feeding </w:t>
      </w:r>
      <w:r w:rsidR="00D3355B" w:rsidRPr="00316FF7">
        <w:rPr>
          <w:lang w:val="en-AU"/>
        </w:rPr>
        <w:t xml:space="preserve">(see </w:t>
      </w:r>
      <w:r w:rsidR="00D3355B" w:rsidRPr="00316FF7">
        <w:rPr>
          <w:i/>
          <w:lang w:val="en-AU"/>
        </w:rPr>
        <w:t>section 4.2 Dose and Method of Administration</w:t>
      </w:r>
      <w:r w:rsidR="00D3355B" w:rsidRPr="00316FF7">
        <w:rPr>
          <w:lang w:val="en-AU"/>
        </w:rPr>
        <w:t>)</w:t>
      </w:r>
      <w:r w:rsidRPr="00316FF7">
        <w:rPr>
          <w:lang w:val="en-AU"/>
        </w:rPr>
        <w:t xml:space="preserve">. The developmental and health benefits of breast-feeding should be considered along with the mother’s clinical need for </w:t>
      </w:r>
      <w:r w:rsidR="00F12FE1" w:rsidRPr="00316FF7">
        <w:rPr>
          <w:lang w:val="en-AU"/>
        </w:rPr>
        <w:t>NEXTSTELLIS</w:t>
      </w:r>
      <w:r w:rsidRPr="00316FF7">
        <w:rPr>
          <w:lang w:val="en-AU"/>
        </w:rPr>
        <w:t xml:space="preserve"> and any potential adverse effects on the breast-fed child from </w:t>
      </w:r>
      <w:r w:rsidR="00F12FE1" w:rsidRPr="00316FF7">
        <w:rPr>
          <w:lang w:val="en-AU"/>
        </w:rPr>
        <w:t>NEXTSTELLIS</w:t>
      </w:r>
      <w:r w:rsidRPr="00316FF7">
        <w:rPr>
          <w:lang w:val="en-AU"/>
        </w:rPr>
        <w:t xml:space="preserve"> or from the underlying maternal condition.</w:t>
      </w:r>
    </w:p>
    <w:p w14:paraId="5A04E4B0" w14:textId="3515AF9B" w:rsidR="008D3E24" w:rsidRPr="00316FF7" w:rsidRDefault="00430548" w:rsidP="00430548">
      <w:pPr>
        <w:pStyle w:val="C-BodyText"/>
        <w:rPr>
          <w:lang w:val="en-AU"/>
        </w:rPr>
      </w:pPr>
      <w:r w:rsidRPr="00316FF7">
        <w:rPr>
          <w:lang w:val="en-AU"/>
        </w:rPr>
        <w:t xml:space="preserve">After oral administration of </w:t>
      </w:r>
      <w:r w:rsidR="00061051" w:rsidRPr="00316FF7">
        <w:rPr>
          <w:lang w:val="en-AU"/>
        </w:rPr>
        <w:t xml:space="preserve">ethinylestradiol </w:t>
      </w:r>
      <w:r w:rsidRPr="00316FF7">
        <w:rPr>
          <w:lang w:val="en-AU"/>
        </w:rPr>
        <w:t>30 µg/</w:t>
      </w:r>
      <w:r w:rsidR="007D346F" w:rsidRPr="00316FF7">
        <w:rPr>
          <w:lang w:val="en-AU"/>
        </w:rPr>
        <w:t xml:space="preserve">drospirenone </w:t>
      </w:r>
      <w:r w:rsidRPr="00316FF7">
        <w:rPr>
          <w:lang w:val="en-AU"/>
        </w:rPr>
        <w:t xml:space="preserve">3 mg, about 0.02% of the </w:t>
      </w:r>
      <w:r w:rsidR="00AA167F" w:rsidRPr="00316FF7">
        <w:rPr>
          <w:lang w:val="en-AU"/>
        </w:rPr>
        <w:t xml:space="preserve">drospirenone </w:t>
      </w:r>
      <w:r w:rsidRPr="00316FF7">
        <w:rPr>
          <w:lang w:val="en-AU"/>
        </w:rPr>
        <w:t xml:space="preserve">dose was excreted into the breast milk of postpartum women within 24 hours. This results in a potential maximal daily dose of less than 1 µg </w:t>
      </w:r>
      <w:r w:rsidR="00AA167F" w:rsidRPr="00316FF7">
        <w:rPr>
          <w:lang w:val="en-AU"/>
        </w:rPr>
        <w:t xml:space="preserve">drospirenone </w:t>
      </w:r>
      <w:r w:rsidRPr="00316FF7">
        <w:rPr>
          <w:lang w:val="en-AU"/>
        </w:rPr>
        <w:t xml:space="preserve">in an infant. </w:t>
      </w:r>
    </w:p>
    <w:p w14:paraId="08C6138D" w14:textId="77777777" w:rsidR="00B845D7" w:rsidRPr="00316FF7" w:rsidRDefault="007F49AA" w:rsidP="006E0396">
      <w:pPr>
        <w:pStyle w:val="C-Heading2"/>
        <w:rPr>
          <w:lang w:val="en-AU"/>
        </w:rPr>
      </w:pPr>
      <w:r w:rsidRPr="00316FF7">
        <w:rPr>
          <w:lang w:val="en-AU"/>
        </w:rPr>
        <w:lastRenderedPageBreak/>
        <w:t>Effects on Ability to Drive and Use Machines</w:t>
      </w:r>
    </w:p>
    <w:p w14:paraId="69C81819" w14:textId="0CC116FE" w:rsidR="00DE770A" w:rsidRPr="00316FF7" w:rsidRDefault="00F12FE1" w:rsidP="00DE770A">
      <w:pPr>
        <w:pStyle w:val="C-BodyText"/>
        <w:rPr>
          <w:lang w:val="en-AU"/>
        </w:rPr>
      </w:pPr>
      <w:r w:rsidRPr="00316FF7">
        <w:rPr>
          <w:lang w:val="en-AU"/>
        </w:rPr>
        <w:t>NEXTSTELLIS has no influence on ability to drive and use machines.</w:t>
      </w:r>
    </w:p>
    <w:p w14:paraId="3C516693" w14:textId="77777777" w:rsidR="00B845D7" w:rsidRPr="00316FF7" w:rsidRDefault="007F49AA" w:rsidP="006E0396">
      <w:pPr>
        <w:pStyle w:val="C-Heading2"/>
        <w:rPr>
          <w:lang w:val="en-AU"/>
        </w:rPr>
      </w:pPr>
      <w:r w:rsidRPr="00316FF7">
        <w:rPr>
          <w:lang w:val="en-AU"/>
        </w:rPr>
        <w:t>Adverse Effects (Undesirable Effects)</w:t>
      </w:r>
    </w:p>
    <w:p w14:paraId="50F5B4CB" w14:textId="2459A43F" w:rsidR="00885710" w:rsidRPr="00316FF7" w:rsidRDefault="0010257B" w:rsidP="00885710">
      <w:pPr>
        <w:pStyle w:val="C-BodyText"/>
        <w:rPr>
          <w:lang w:val="en-AU"/>
        </w:rPr>
      </w:pPr>
      <w:r w:rsidRPr="00316FF7">
        <w:rPr>
          <w:lang w:val="en-AU"/>
        </w:rPr>
        <w:t xml:space="preserve">The </w:t>
      </w:r>
      <w:r w:rsidR="00885710" w:rsidRPr="00316FF7">
        <w:rPr>
          <w:lang w:val="en-AU"/>
        </w:rPr>
        <w:t xml:space="preserve">following clinically significant adverse reactions with the use of COCs are discussed in </w:t>
      </w:r>
      <w:r w:rsidR="00885710" w:rsidRPr="00316FF7">
        <w:rPr>
          <w:i/>
          <w:lang w:val="en-AU"/>
        </w:rPr>
        <w:t>section 4.4 Special Warnings and Precautions for Use</w:t>
      </w:r>
      <w:r w:rsidR="00885710" w:rsidRPr="00316FF7">
        <w:rPr>
          <w:lang w:val="en-AU"/>
        </w:rPr>
        <w:t>:</w:t>
      </w:r>
    </w:p>
    <w:p w14:paraId="7D25ABE8" w14:textId="6207BCBC" w:rsidR="00885710" w:rsidRPr="00316FF7" w:rsidRDefault="00885710" w:rsidP="00EB12C0">
      <w:pPr>
        <w:pStyle w:val="C-BodyText"/>
        <w:numPr>
          <w:ilvl w:val="0"/>
          <w:numId w:val="27"/>
        </w:numPr>
        <w:rPr>
          <w:lang w:val="en-AU"/>
        </w:rPr>
      </w:pPr>
      <w:r w:rsidRPr="00316FF7">
        <w:rPr>
          <w:lang w:val="en-AU"/>
        </w:rPr>
        <w:t>Serious cardiovascular events</w:t>
      </w:r>
    </w:p>
    <w:p w14:paraId="2940CD28" w14:textId="5DE066F7" w:rsidR="00885710" w:rsidRPr="00316FF7" w:rsidRDefault="00885710" w:rsidP="00EB12C0">
      <w:pPr>
        <w:pStyle w:val="C-BodyText"/>
        <w:numPr>
          <w:ilvl w:val="0"/>
          <w:numId w:val="27"/>
        </w:numPr>
        <w:rPr>
          <w:lang w:val="en-AU"/>
        </w:rPr>
      </w:pPr>
      <w:r w:rsidRPr="00316FF7">
        <w:rPr>
          <w:lang w:val="en-AU"/>
        </w:rPr>
        <w:t>Vascular events</w:t>
      </w:r>
    </w:p>
    <w:p w14:paraId="360B4455" w14:textId="04DAF670" w:rsidR="00885710" w:rsidRPr="00316FF7" w:rsidRDefault="00885710" w:rsidP="00EB12C0">
      <w:pPr>
        <w:pStyle w:val="C-BodyText"/>
        <w:numPr>
          <w:ilvl w:val="0"/>
          <w:numId w:val="27"/>
        </w:numPr>
        <w:rPr>
          <w:lang w:val="en-AU"/>
        </w:rPr>
      </w:pPr>
      <w:r w:rsidRPr="00316FF7">
        <w:rPr>
          <w:lang w:val="en-AU"/>
        </w:rPr>
        <w:t>Hyperkalaemia</w:t>
      </w:r>
    </w:p>
    <w:p w14:paraId="694951AF" w14:textId="5F2CDEF5" w:rsidR="00885710" w:rsidRPr="00316FF7" w:rsidRDefault="00885710" w:rsidP="00EB12C0">
      <w:pPr>
        <w:pStyle w:val="C-BodyText"/>
        <w:numPr>
          <w:ilvl w:val="0"/>
          <w:numId w:val="27"/>
        </w:numPr>
        <w:rPr>
          <w:lang w:val="en-AU"/>
        </w:rPr>
      </w:pPr>
      <w:r w:rsidRPr="00316FF7">
        <w:rPr>
          <w:lang w:val="en-AU"/>
        </w:rPr>
        <w:t>Liver disease</w:t>
      </w:r>
    </w:p>
    <w:p w14:paraId="3CCF9A7D" w14:textId="577246A7" w:rsidR="00885710" w:rsidRPr="00316FF7" w:rsidRDefault="00885710" w:rsidP="00EB12C0">
      <w:pPr>
        <w:pStyle w:val="C-BodyText"/>
        <w:numPr>
          <w:ilvl w:val="0"/>
          <w:numId w:val="27"/>
        </w:numPr>
        <w:rPr>
          <w:lang w:val="en-AU"/>
        </w:rPr>
      </w:pPr>
      <w:r w:rsidRPr="00316FF7">
        <w:rPr>
          <w:lang w:val="en-AU"/>
        </w:rPr>
        <w:t>Headache</w:t>
      </w:r>
    </w:p>
    <w:p w14:paraId="0819DD7C" w14:textId="560D52DA" w:rsidR="0010257B" w:rsidRPr="00316FF7" w:rsidRDefault="00885710" w:rsidP="00EB12C0">
      <w:pPr>
        <w:pStyle w:val="C-BodyText"/>
        <w:numPr>
          <w:ilvl w:val="0"/>
          <w:numId w:val="27"/>
        </w:numPr>
        <w:rPr>
          <w:lang w:val="en-AU"/>
        </w:rPr>
      </w:pPr>
      <w:r w:rsidRPr="00316FF7">
        <w:rPr>
          <w:lang w:val="en-AU"/>
        </w:rPr>
        <w:t>Irregular uterine bleeding</w:t>
      </w:r>
    </w:p>
    <w:p w14:paraId="16309344" w14:textId="4E89AA0F" w:rsidR="006A03EA" w:rsidRPr="00316FF7" w:rsidRDefault="006A03EA" w:rsidP="00ED6564">
      <w:pPr>
        <w:pStyle w:val="C-Heading3non-numbered"/>
        <w:rPr>
          <w:b w:val="0"/>
          <w:lang w:val="en-AU"/>
        </w:rPr>
      </w:pPr>
      <w:r w:rsidRPr="00316FF7">
        <w:rPr>
          <w:lang w:val="en-AU"/>
        </w:rPr>
        <w:t>Clinical Trial</w:t>
      </w:r>
      <w:r w:rsidR="00D1751B" w:rsidRPr="00316FF7">
        <w:rPr>
          <w:lang w:val="en-AU"/>
        </w:rPr>
        <w:t>s Experience</w:t>
      </w:r>
    </w:p>
    <w:p w14:paraId="608E5DC2" w14:textId="6BBEB6AC" w:rsidR="006A03EA" w:rsidRPr="00316FF7" w:rsidRDefault="006A03EA" w:rsidP="006A03EA">
      <w:pPr>
        <w:pStyle w:val="C-BodyText"/>
        <w:rPr>
          <w:lang w:val="en-AU"/>
        </w:rPr>
      </w:pPr>
      <w:r w:rsidRPr="00316FF7">
        <w:rPr>
          <w:lang w:val="en-AU"/>
        </w:rPr>
        <w:t xml:space="preserve">Because clinical trials are conducted under widely varying conditions, adverse reaction rates observed in the clinical trials of one product cannot be directly compared to rates in the clinical trials of another product and may not reflect the rates observed in practice. </w:t>
      </w:r>
      <w:r w:rsidR="007C105D" w:rsidRPr="00316FF7">
        <w:rPr>
          <w:lang w:val="en-AU"/>
        </w:rPr>
        <w:t>In the second column of the table below, t</w:t>
      </w:r>
      <w:r w:rsidRPr="00316FF7">
        <w:rPr>
          <w:lang w:val="en-AU"/>
        </w:rPr>
        <w:t xml:space="preserve">he data provided reflect the experience with the use of </w:t>
      </w:r>
      <w:r w:rsidR="00F12FE1" w:rsidRPr="00316FF7">
        <w:rPr>
          <w:lang w:val="en-AU"/>
        </w:rPr>
        <w:t>NEXTSTELLIS</w:t>
      </w:r>
      <w:r w:rsidRPr="00316FF7">
        <w:rPr>
          <w:lang w:val="en-AU"/>
        </w:rPr>
        <w:t xml:space="preserve"> in two large prospective </w:t>
      </w:r>
      <w:r w:rsidR="00170E96">
        <w:rPr>
          <w:lang w:val="en-AU"/>
        </w:rPr>
        <w:t>P</w:t>
      </w:r>
      <w:r w:rsidR="004B53F3" w:rsidRPr="00316FF7">
        <w:rPr>
          <w:lang w:val="en-AU"/>
        </w:rPr>
        <w:t xml:space="preserve">hase 3 </w:t>
      </w:r>
      <w:r w:rsidRPr="00316FF7">
        <w:rPr>
          <w:lang w:val="en-AU"/>
        </w:rPr>
        <w:t>studies, one in Europe/Russia (C301) and one in North America (C302) (</w:t>
      </w:r>
      <w:r w:rsidR="00F552F4" w:rsidRPr="00316FF7">
        <w:rPr>
          <w:lang w:val="en-AU"/>
        </w:rPr>
        <w:t>n</w:t>
      </w:r>
      <w:r w:rsidRPr="00316FF7">
        <w:rPr>
          <w:lang w:val="en-AU"/>
        </w:rPr>
        <w:t xml:space="preserve"> = 3,632)</w:t>
      </w:r>
      <w:r w:rsidR="003E486B" w:rsidRPr="00316FF7">
        <w:rPr>
          <w:lang w:val="en-AU"/>
        </w:rPr>
        <w:t>,</w:t>
      </w:r>
      <w:r w:rsidRPr="00316FF7">
        <w:rPr>
          <w:lang w:val="en-AU"/>
        </w:rPr>
        <w:t xml:space="preserve"> </w:t>
      </w:r>
      <w:r w:rsidR="004B53F3" w:rsidRPr="00316FF7">
        <w:rPr>
          <w:lang w:val="en-AU"/>
        </w:rPr>
        <w:t>assessing</w:t>
      </w:r>
      <w:r w:rsidRPr="00316FF7">
        <w:rPr>
          <w:lang w:val="en-AU"/>
        </w:rPr>
        <w:t xml:space="preserve"> the prevention of pregnancy in women 16-50 years of age.</w:t>
      </w:r>
      <w:r w:rsidR="007C105D" w:rsidRPr="00316FF7">
        <w:rPr>
          <w:lang w:val="en-AU"/>
        </w:rPr>
        <w:t xml:space="preserve"> </w:t>
      </w:r>
      <w:r w:rsidRPr="00316FF7">
        <w:rPr>
          <w:lang w:val="en-AU"/>
        </w:rPr>
        <w:t xml:space="preserve">The mean time of </w:t>
      </w:r>
      <w:r w:rsidR="00F12FE1" w:rsidRPr="00316FF7">
        <w:rPr>
          <w:lang w:val="en-AU"/>
        </w:rPr>
        <w:t>NEXTSTELLIS</w:t>
      </w:r>
      <w:r w:rsidRPr="00316FF7">
        <w:rPr>
          <w:lang w:val="en-AU"/>
        </w:rPr>
        <w:t xml:space="preserve"> exposure was 317 and 257 days for the respective studies. </w:t>
      </w:r>
      <w:r w:rsidR="00D5766D" w:rsidRPr="00316FF7">
        <w:rPr>
          <w:lang w:val="en-AU"/>
        </w:rPr>
        <w:t>The third column reflect</w:t>
      </w:r>
      <w:r w:rsidR="004B53F3" w:rsidRPr="00316FF7">
        <w:rPr>
          <w:lang w:val="en-AU"/>
        </w:rPr>
        <w:t>s</w:t>
      </w:r>
      <w:r w:rsidR="00D5766D" w:rsidRPr="00316FF7">
        <w:rPr>
          <w:lang w:val="en-AU"/>
        </w:rPr>
        <w:t xml:space="preserve"> the </w:t>
      </w:r>
      <w:r w:rsidR="004B53F3" w:rsidRPr="00316FF7">
        <w:rPr>
          <w:lang w:val="en-AU"/>
        </w:rPr>
        <w:t xml:space="preserve">overall experience in 3 </w:t>
      </w:r>
      <w:r w:rsidR="00170E96">
        <w:rPr>
          <w:lang w:val="en-AU"/>
        </w:rPr>
        <w:t>P</w:t>
      </w:r>
      <w:r w:rsidR="004B53F3" w:rsidRPr="00316FF7">
        <w:rPr>
          <w:lang w:val="en-AU"/>
        </w:rPr>
        <w:t>hase 2</w:t>
      </w:r>
      <w:r w:rsidR="003979A2" w:rsidRPr="00316FF7">
        <w:rPr>
          <w:lang w:val="en-AU"/>
        </w:rPr>
        <w:t xml:space="preserve"> European</w:t>
      </w:r>
      <w:r w:rsidR="004B53F3" w:rsidRPr="00316FF7">
        <w:rPr>
          <w:lang w:val="en-AU"/>
        </w:rPr>
        <w:t xml:space="preserve"> studies and the large prospective </w:t>
      </w:r>
      <w:r w:rsidR="00170E96">
        <w:rPr>
          <w:lang w:val="en-AU"/>
        </w:rPr>
        <w:t>P</w:t>
      </w:r>
      <w:r w:rsidR="004B53F3" w:rsidRPr="00316FF7">
        <w:rPr>
          <w:lang w:val="en-AU"/>
        </w:rPr>
        <w:t>hase 3 studies</w:t>
      </w:r>
      <w:r w:rsidR="00D5766D" w:rsidRPr="00316FF7">
        <w:rPr>
          <w:lang w:val="en-AU"/>
        </w:rPr>
        <w:t xml:space="preserve"> (C201, C202 and ES-C02</w:t>
      </w:r>
      <w:r w:rsidR="003979A2" w:rsidRPr="00316FF7">
        <w:rPr>
          <w:lang w:val="en-AU"/>
        </w:rPr>
        <w:t xml:space="preserve"> pooled with C302 and C301)</w:t>
      </w:r>
      <w:r w:rsidR="00D5766D" w:rsidRPr="00316FF7">
        <w:rPr>
          <w:lang w:val="en-AU"/>
        </w:rPr>
        <w:t xml:space="preserve"> (n = 3,790). </w:t>
      </w:r>
      <w:r w:rsidRPr="00316FF7">
        <w:rPr>
          <w:lang w:val="en-AU"/>
        </w:rPr>
        <w:t>The study population was 27 years of age on average, with a mean BMI of 25 kg/m</w:t>
      </w:r>
      <w:r w:rsidRPr="00316FF7">
        <w:rPr>
          <w:vertAlign w:val="superscript"/>
          <w:lang w:val="en-AU"/>
        </w:rPr>
        <w:t>2</w:t>
      </w:r>
      <w:r w:rsidRPr="00316FF7">
        <w:rPr>
          <w:lang w:val="en-AU"/>
        </w:rPr>
        <w:t>. The racial distribution was 83% White; 11% Black; 3% Asian; and 3% Other.</w:t>
      </w:r>
      <w:r w:rsidR="00F311EA" w:rsidRPr="00316FF7">
        <w:rPr>
          <w:lang w:val="en-AU"/>
        </w:rPr>
        <w:t xml:space="preserve"> </w:t>
      </w:r>
      <w:r w:rsidR="00D5766D" w:rsidRPr="00316FF7">
        <w:rPr>
          <w:lang w:val="en-AU"/>
        </w:rPr>
        <w:t xml:space="preserve">The mean time of NEXTSTELLIS exposure for all the pooled </w:t>
      </w:r>
      <w:r w:rsidR="00170E96">
        <w:rPr>
          <w:lang w:val="en-AU"/>
        </w:rPr>
        <w:t>P</w:t>
      </w:r>
      <w:r w:rsidR="00D5766D" w:rsidRPr="00316FF7">
        <w:rPr>
          <w:lang w:val="en-AU"/>
        </w:rPr>
        <w:t>hase 2 and 3 studies was 280 days.</w:t>
      </w:r>
    </w:p>
    <w:p w14:paraId="6CE6C780" w14:textId="0E72E4C4" w:rsidR="00206CC1" w:rsidRPr="00316FF7" w:rsidRDefault="00206CC1" w:rsidP="00206CC1">
      <w:pPr>
        <w:pStyle w:val="Caption"/>
        <w:rPr>
          <w:lang w:val="en-AU"/>
        </w:rPr>
      </w:pPr>
      <w:r w:rsidRPr="00316FF7">
        <w:rPr>
          <w:lang w:val="en-AU"/>
        </w:rPr>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6</w:t>
      </w:r>
      <w:r w:rsidRPr="00316FF7">
        <w:rPr>
          <w:lang w:val="en-AU"/>
        </w:rPr>
        <w:fldChar w:fldCharType="end"/>
      </w:r>
      <w:r w:rsidRPr="00316FF7">
        <w:rPr>
          <w:lang w:val="en-AU"/>
        </w:rPr>
        <w:t>:</w:t>
      </w:r>
      <w:r w:rsidRPr="00316FF7">
        <w:rPr>
          <w:lang w:val="en-AU"/>
        </w:rPr>
        <w:tab/>
        <w:t xml:space="preserve">Adverse </w:t>
      </w:r>
      <w:r w:rsidR="004F0EDC" w:rsidRPr="00316FF7">
        <w:rPr>
          <w:lang w:val="en-AU"/>
        </w:rPr>
        <w:t xml:space="preserve">reactions occurring </w:t>
      </w:r>
      <w:r w:rsidRPr="00316FF7">
        <w:rPr>
          <w:lang w:val="en-AU"/>
        </w:rPr>
        <w:t xml:space="preserve">in &gt; 1% of </w:t>
      </w:r>
      <w:r w:rsidR="004F0EDC" w:rsidRPr="00316FF7">
        <w:rPr>
          <w:lang w:val="en-AU"/>
        </w:rPr>
        <w:t xml:space="preserve">women receiving </w:t>
      </w:r>
      <w:r w:rsidRPr="00316FF7">
        <w:rPr>
          <w:lang w:val="en-AU"/>
        </w:rPr>
        <w:t xml:space="preserve">NEXTSTELLIS in </w:t>
      </w:r>
      <w:r w:rsidR="004F0EDC" w:rsidRPr="00316FF7">
        <w:rPr>
          <w:lang w:val="en-AU"/>
        </w:rPr>
        <w:t xml:space="preserve">pooled </w:t>
      </w:r>
      <w:r w:rsidR="00801302" w:rsidRPr="00316FF7">
        <w:rPr>
          <w:lang w:val="en-AU"/>
        </w:rPr>
        <w:t xml:space="preserve">Phase 2 and 3 </w:t>
      </w:r>
      <w:r w:rsidR="004F0EDC" w:rsidRPr="00316FF7">
        <w:rPr>
          <w:lang w:val="en-AU"/>
        </w:rPr>
        <w:t>studies</w:t>
      </w:r>
    </w:p>
    <w:tbl>
      <w:tblPr>
        <w:tblStyle w:val="C-Table"/>
        <w:tblW w:w="9490" w:type="dxa"/>
        <w:tblLook w:val="04A0" w:firstRow="1" w:lastRow="0" w:firstColumn="1" w:lastColumn="0" w:noHBand="0" w:noVBand="1"/>
      </w:tblPr>
      <w:tblGrid>
        <w:gridCol w:w="2686"/>
        <w:gridCol w:w="3402"/>
        <w:gridCol w:w="3402"/>
      </w:tblGrid>
      <w:tr w:rsidR="00AA69AC" w:rsidRPr="00316FF7" w14:paraId="29CDE632" w14:textId="7B68D4E2" w:rsidTr="00F311EA">
        <w:trPr>
          <w:cantSplit w:val="0"/>
          <w:trHeight w:val="363"/>
          <w:tblHeader/>
        </w:trPr>
        <w:tc>
          <w:tcPr>
            <w:tcW w:w="2686" w:type="dxa"/>
          </w:tcPr>
          <w:p w14:paraId="04971EE1" w14:textId="77777777" w:rsidR="00AA69AC" w:rsidRPr="00316FF7" w:rsidRDefault="00AA69AC" w:rsidP="006A03EA">
            <w:pPr>
              <w:pStyle w:val="C-TableHeader"/>
              <w:jc w:val="both"/>
              <w:rPr>
                <w:lang w:val="en-AU"/>
              </w:rPr>
            </w:pPr>
            <w:r w:rsidRPr="00316FF7">
              <w:rPr>
                <w:lang w:val="en-AU"/>
              </w:rPr>
              <w:t xml:space="preserve">Adverse Reaction </w:t>
            </w:r>
          </w:p>
        </w:tc>
        <w:tc>
          <w:tcPr>
            <w:tcW w:w="3402" w:type="dxa"/>
          </w:tcPr>
          <w:p w14:paraId="348855C9" w14:textId="223E4AA0" w:rsidR="00AA69AC" w:rsidRPr="00316FF7" w:rsidRDefault="00AA69AC" w:rsidP="006A03EA">
            <w:pPr>
              <w:pStyle w:val="C-TableHeader"/>
              <w:jc w:val="center"/>
              <w:rPr>
                <w:lang w:val="en-AU"/>
              </w:rPr>
            </w:pPr>
            <w:r w:rsidRPr="00316FF7">
              <w:rPr>
                <w:lang w:val="en-AU"/>
              </w:rPr>
              <w:t>Total</w:t>
            </w:r>
          </w:p>
          <w:p w14:paraId="4AC1A960" w14:textId="255BF43A" w:rsidR="008D4C43" w:rsidRPr="00316FF7" w:rsidRDefault="008E46C8" w:rsidP="00F311EA">
            <w:pPr>
              <w:pStyle w:val="C-TableText"/>
              <w:jc w:val="center"/>
              <w:rPr>
                <w:b/>
                <w:bCs/>
                <w:lang w:val="en-AU"/>
              </w:rPr>
            </w:pPr>
            <w:r w:rsidRPr="00316FF7">
              <w:rPr>
                <w:b/>
                <w:bCs/>
                <w:lang w:val="en-AU"/>
              </w:rPr>
              <w:t xml:space="preserve">Pooled </w:t>
            </w:r>
            <w:r w:rsidR="008D4C43" w:rsidRPr="00316FF7">
              <w:rPr>
                <w:b/>
                <w:bCs/>
                <w:lang w:val="en-AU"/>
              </w:rPr>
              <w:t>Phase 3 studies</w:t>
            </w:r>
          </w:p>
          <w:p w14:paraId="6D4FD4C3" w14:textId="1F08F2EC" w:rsidR="00AA69AC" w:rsidRPr="00316FF7" w:rsidRDefault="00AA69AC" w:rsidP="006A03EA">
            <w:pPr>
              <w:pStyle w:val="C-TableHeader"/>
              <w:jc w:val="center"/>
              <w:rPr>
                <w:lang w:val="en-AU"/>
              </w:rPr>
            </w:pPr>
            <w:r w:rsidRPr="00316FF7">
              <w:rPr>
                <w:lang w:val="en-AU"/>
              </w:rPr>
              <w:t>n = 3,632</w:t>
            </w:r>
          </w:p>
          <w:p w14:paraId="2AA22764" w14:textId="014122EA" w:rsidR="00AA69AC" w:rsidRPr="00316FF7" w:rsidRDefault="00AA69AC" w:rsidP="006A03EA">
            <w:pPr>
              <w:pStyle w:val="C-TableHeader"/>
              <w:jc w:val="center"/>
              <w:rPr>
                <w:lang w:val="en-AU"/>
              </w:rPr>
            </w:pPr>
            <w:r w:rsidRPr="00316FF7">
              <w:rPr>
                <w:lang w:val="en-AU"/>
              </w:rPr>
              <w:t>(%)</w:t>
            </w:r>
          </w:p>
        </w:tc>
        <w:tc>
          <w:tcPr>
            <w:tcW w:w="3402" w:type="dxa"/>
          </w:tcPr>
          <w:p w14:paraId="5FECE87C" w14:textId="7B4554BD" w:rsidR="00AA69AC" w:rsidRPr="00316FF7" w:rsidRDefault="00F311EA" w:rsidP="00AA69AC">
            <w:pPr>
              <w:pStyle w:val="C-TableHeader"/>
              <w:jc w:val="center"/>
              <w:rPr>
                <w:lang w:val="en-AU"/>
              </w:rPr>
            </w:pPr>
            <w:r w:rsidRPr="00316FF7">
              <w:rPr>
                <w:lang w:val="en-AU"/>
              </w:rPr>
              <w:t>Total</w:t>
            </w:r>
          </w:p>
          <w:p w14:paraId="1C6A825F" w14:textId="3A823027" w:rsidR="00F311EA" w:rsidRPr="00316FF7" w:rsidRDefault="00F311EA" w:rsidP="00AA69AC">
            <w:pPr>
              <w:pStyle w:val="C-TableHeader"/>
              <w:jc w:val="center"/>
              <w:rPr>
                <w:lang w:val="en-AU"/>
              </w:rPr>
            </w:pPr>
            <w:r w:rsidRPr="00316FF7">
              <w:rPr>
                <w:lang w:val="en-AU"/>
              </w:rPr>
              <w:t>Pooled Phase 2 and 3 Studies</w:t>
            </w:r>
          </w:p>
          <w:p w14:paraId="1E9FCE44" w14:textId="4FC0397E" w:rsidR="00AA69AC" w:rsidRPr="00316FF7" w:rsidRDefault="00AA69AC" w:rsidP="00AA69AC">
            <w:pPr>
              <w:pStyle w:val="C-TableHeader"/>
              <w:jc w:val="center"/>
              <w:rPr>
                <w:lang w:val="en-AU"/>
              </w:rPr>
            </w:pPr>
            <w:r w:rsidRPr="00316FF7">
              <w:rPr>
                <w:lang w:val="en-AU"/>
              </w:rPr>
              <w:t>n = 3,790</w:t>
            </w:r>
          </w:p>
          <w:p w14:paraId="7FBBE406" w14:textId="73B8CBC9" w:rsidR="00AA69AC" w:rsidRPr="00316FF7" w:rsidRDefault="00AA69AC" w:rsidP="00AA69AC">
            <w:pPr>
              <w:pStyle w:val="C-TableHeader"/>
              <w:jc w:val="center"/>
              <w:rPr>
                <w:lang w:val="en-AU"/>
              </w:rPr>
            </w:pPr>
            <w:r w:rsidRPr="00316FF7">
              <w:rPr>
                <w:lang w:val="en-AU"/>
              </w:rPr>
              <w:t>(%)</w:t>
            </w:r>
          </w:p>
        </w:tc>
      </w:tr>
      <w:tr w:rsidR="00AA69AC" w:rsidRPr="00316FF7" w14:paraId="6F3D1071" w14:textId="6627B92E" w:rsidTr="00F311EA">
        <w:trPr>
          <w:cantSplit w:val="0"/>
          <w:trHeight w:val="130"/>
        </w:trPr>
        <w:tc>
          <w:tcPr>
            <w:tcW w:w="2686" w:type="dxa"/>
          </w:tcPr>
          <w:p w14:paraId="5B04CED9" w14:textId="414E2828" w:rsidR="00AA69AC" w:rsidRPr="00316FF7" w:rsidRDefault="00AA69AC" w:rsidP="008A2D84">
            <w:pPr>
              <w:pStyle w:val="C-TableText"/>
              <w:rPr>
                <w:lang w:val="en-AU"/>
              </w:rPr>
            </w:pPr>
            <w:r w:rsidRPr="00316FF7">
              <w:rPr>
                <w:lang w:val="en-AU"/>
              </w:rPr>
              <w:t xml:space="preserve">Any </w:t>
            </w:r>
            <w:r w:rsidR="00F77FAF" w:rsidRPr="00316FF7">
              <w:rPr>
                <w:lang w:val="en-AU"/>
              </w:rPr>
              <w:t xml:space="preserve">treatment-related </w:t>
            </w:r>
            <w:r w:rsidRPr="00316FF7">
              <w:rPr>
                <w:lang w:val="en-AU"/>
              </w:rPr>
              <w:t xml:space="preserve">adverse reaction </w:t>
            </w:r>
          </w:p>
        </w:tc>
        <w:tc>
          <w:tcPr>
            <w:tcW w:w="3402" w:type="dxa"/>
          </w:tcPr>
          <w:p w14:paraId="62804DFF" w14:textId="538A5E19" w:rsidR="00AA69AC" w:rsidRPr="00316FF7" w:rsidRDefault="00AA69AC" w:rsidP="006A03EA">
            <w:pPr>
              <w:pStyle w:val="C-TableText"/>
              <w:jc w:val="center"/>
              <w:rPr>
                <w:lang w:val="en-AU"/>
              </w:rPr>
            </w:pPr>
            <w:r w:rsidRPr="00316FF7">
              <w:rPr>
                <w:lang w:val="en-AU"/>
              </w:rPr>
              <w:t>986 (27</w:t>
            </w:r>
            <w:r w:rsidR="00F77FAF" w:rsidRPr="00316FF7">
              <w:rPr>
                <w:lang w:val="en-AU"/>
              </w:rPr>
              <w:t>.1</w:t>
            </w:r>
            <w:r w:rsidRPr="00316FF7">
              <w:rPr>
                <w:lang w:val="en-AU"/>
              </w:rPr>
              <w:t>)</w:t>
            </w:r>
          </w:p>
        </w:tc>
        <w:tc>
          <w:tcPr>
            <w:tcW w:w="3402" w:type="dxa"/>
          </w:tcPr>
          <w:p w14:paraId="1CF8156C" w14:textId="7DFE3421" w:rsidR="00AA69AC" w:rsidRPr="00316FF7" w:rsidRDefault="00AA69AC" w:rsidP="006A03EA">
            <w:pPr>
              <w:pStyle w:val="C-TableText"/>
              <w:jc w:val="center"/>
              <w:rPr>
                <w:lang w:val="en-AU"/>
              </w:rPr>
            </w:pPr>
            <w:r w:rsidRPr="00316FF7">
              <w:rPr>
                <w:lang w:val="en-AU"/>
              </w:rPr>
              <w:t>1056 (2</w:t>
            </w:r>
            <w:r w:rsidR="00ED689E" w:rsidRPr="00316FF7">
              <w:rPr>
                <w:lang w:val="en-AU"/>
              </w:rPr>
              <w:t>7</w:t>
            </w:r>
            <w:r w:rsidRPr="00316FF7">
              <w:rPr>
                <w:lang w:val="en-AU"/>
              </w:rPr>
              <w:t>.9)</w:t>
            </w:r>
          </w:p>
        </w:tc>
      </w:tr>
      <w:tr w:rsidR="00AA69AC" w:rsidRPr="00316FF7" w14:paraId="020B9AC5" w14:textId="493FC114" w:rsidTr="00F311EA">
        <w:trPr>
          <w:cantSplit w:val="0"/>
          <w:trHeight w:val="130"/>
        </w:trPr>
        <w:tc>
          <w:tcPr>
            <w:tcW w:w="2686" w:type="dxa"/>
          </w:tcPr>
          <w:p w14:paraId="32EDC882" w14:textId="77777777" w:rsidR="00AA69AC" w:rsidRPr="00316FF7" w:rsidRDefault="00AA69AC" w:rsidP="006A03EA">
            <w:pPr>
              <w:pStyle w:val="C-TableText"/>
              <w:jc w:val="both"/>
              <w:rPr>
                <w:lang w:val="en-AU"/>
              </w:rPr>
            </w:pPr>
            <w:r w:rsidRPr="00316FF7">
              <w:rPr>
                <w:lang w:val="en-AU"/>
              </w:rPr>
              <w:t xml:space="preserve">Metrorrhagia </w:t>
            </w:r>
          </w:p>
        </w:tc>
        <w:tc>
          <w:tcPr>
            <w:tcW w:w="3402" w:type="dxa"/>
          </w:tcPr>
          <w:p w14:paraId="6731F186" w14:textId="68BEE57A" w:rsidR="00AA69AC" w:rsidRPr="00316FF7" w:rsidRDefault="003E08A1" w:rsidP="006A03EA">
            <w:pPr>
              <w:pStyle w:val="C-TableText"/>
              <w:jc w:val="center"/>
              <w:rPr>
                <w:lang w:val="en-AU"/>
              </w:rPr>
            </w:pPr>
            <w:r w:rsidRPr="00316FF7">
              <w:rPr>
                <w:lang w:val="en-AU"/>
              </w:rPr>
              <w:t>160 (4.4)</w:t>
            </w:r>
          </w:p>
        </w:tc>
        <w:tc>
          <w:tcPr>
            <w:tcW w:w="3402" w:type="dxa"/>
          </w:tcPr>
          <w:p w14:paraId="2DDF0278" w14:textId="0DC7269D" w:rsidR="00AA69AC" w:rsidRPr="00316FF7" w:rsidRDefault="00AA69AC" w:rsidP="006A03EA">
            <w:pPr>
              <w:pStyle w:val="C-TableText"/>
              <w:jc w:val="center"/>
              <w:rPr>
                <w:lang w:val="en-AU"/>
              </w:rPr>
            </w:pPr>
            <w:r w:rsidRPr="00316FF7">
              <w:rPr>
                <w:lang w:val="en-AU"/>
              </w:rPr>
              <w:t>162 (4.3)</w:t>
            </w:r>
          </w:p>
        </w:tc>
      </w:tr>
      <w:tr w:rsidR="00AA69AC" w:rsidRPr="00316FF7" w14:paraId="42D448C1" w14:textId="5F6E8624" w:rsidTr="00F311EA">
        <w:trPr>
          <w:cantSplit w:val="0"/>
          <w:trHeight w:val="130"/>
        </w:trPr>
        <w:tc>
          <w:tcPr>
            <w:tcW w:w="2686" w:type="dxa"/>
          </w:tcPr>
          <w:p w14:paraId="123D1910" w14:textId="77777777" w:rsidR="00AA69AC" w:rsidRPr="00316FF7" w:rsidRDefault="00AA69AC" w:rsidP="006A03EA">
            <w:pPr>
              <w:pStyle w:val="C-TableText"/>
              <w:jc w:val="both"/>
              <w:rPr>
                <w:lang w:val="en-AU"/>
              </w:rPr>
            </w:pPr>
            <w:r w:rsidRPr="00316FF7">
              <w:rPr>
                <w:lang w:val="en-AU"/>
              </w:rPr>
              <w:t xml:space="preserve">Acne </w:t>
            </w:r>
          </w:p>
        </w:tc>
        <w:tc>
          <w:tcPr>
            <w:tcW w:w="3402" w:type="dxa"/>
          </w:tcPr>
          <w:p w14:paraId="4CF735B5" w14:textId="7E7674F3" w:rsidR="00AA69AC" w:rsidRPr="00316FF7" w:rsidRDefault="00046DAD" w:rsidP="006A03EA">
            <w:pPr>
              <w:pStyle w:val="C-TableText"/>
              <w:jc w:val="center"/>
              <w:rPr>
                <w:lang w:val="en-AU"/>
              </w:rPr>
            </w:pPr>
            <w:r w:rsidRPr="00316FF7">
              <w:rPr>
                <w:lang w:val="en-AU"/>
              </w:rPr>
              <w:t>112 (3.1)</w:t>
            </w:r>
          </w:p>
        </w:tc>
        <w:tc>
          <w:tcPr>
            <w:tcW w:w="3402" w:type="dxa"/>
          </w:tcPr>
          <w:p w14:paraId="2E1CF709" w14:textId="0C240E99" w:rsidR="00AA69AC" w:rsidRPr="00316FF7" w:rsidRDefault="00AA69AC" w:rsidP="006A03EA">
            <w:pPr>
              <w:pStyle w:val="C-TableText"/>
              <w:jc w:val="center"/>
              <w:rPr>
                <w:lang w:val="en-AU"/>
              </w:rPr>
            </w:pPr>
            <w:r w:rsidRPr="00316FF7">
              <w:rPr>
                <w:lang w:val="en-AU"/>
              </w:rPr>
              <w:t>122 (3.2)</w:t>
            </w:r>
          </w:p>
        </w:tc>
      </w:tr>
      <w:tr w:rsidR="00215376" w:rsidRPr="00316FF7" w14:paraId="5929BB35" w14:textId="77777777" w:rsidTr="003301C7">
        <w:trPr>
          <w:cantSplit w:val="0"/>
          <w:trHeight w:val="130"/>
        </w:trPr>
        <w:tc>
          <w:tcPr>
            <w:tcW w:w="2686" w:type="dxa"/>
          </w:tcPr>
          <w:p w14:paraId="6E01A936" w14:textId="77777777" w:rsidR="00215376" w:rsidRPr="00316FF7" w:rsidRDefault="00215376" w:rsidP="003301C7">
            <w:pPr>
              <w:pStyle w:val="C-TableText"/>
              <w:jc w:val="both"/>
              <w:rPr>
                <w:lang w:val="en-AU"/>
              </w:rPr>
            </w:pPr>
            <w:r w:rsidRPr="00316FF7">
              <w:rPr>
                <w:lang w:val="en-AU"/>
              </w:rPr>
              <w:lastRenderedPageBreak/>
              <w:t xml:space="preserve">Headache </w:t>
            </w:r>
          </w:p>
        </w:tc>
        <w:tc>
          <w:tcPr>
            <w:tcW w:w="3402" w:type="dxa"/>
          </w:tcPr>
          <w:p w14:paraId="50C561B2" w14:textId="77777777" w:rsidR="00215376" w:rsidRPr="00316FF7" w:rsidRDefault="00215376" w:rsidP="003301C7">
            <w:pPr>
              <w:pStyle w:val="C-TableText"/>
              <w:jc w:val="center"/>
              <w:rPr>
                <w:lang w:val="en-AU"/>
              </w:rPr>
            </w:pPr>
            <w:r w:rsidRPr="00316FF7">
              <w:rPr>
                <w:lang w:val="en-AU"/>
              </w:rPr>
              <w:t>109 (3.0)</w:t>
            </w:r>
          </w:p>
        </w:tc>
        <w:tc>
          <w:tcPr>
            <w:tcW w:w="3402" w:type="dxa"/>
          </w:tcPr>
          <w:p w14:paraId="3F41C4DA" w14:textId="77777777" w:rsidR="00215376" w:rsidRPr="00316FF7" w:rsidRDefault="00215376" w:rsidP="003301C7">
            <w:pPr>
              <w:pStyle w:val="C-TableText"/>
              <w:jc w:val="center"/>
              <w:rPr>
                <w:lang w:val="en-AU"/>
              </w:rPr>
            </w:pPr>
            <w:r w:rsidRPr="00316FF7">
              <w:rPr>
                <w:lang w:val="en-AU"/>
              </w:rPr>
              <w:t>123 (3.2)</w:t>
            </w:r>
          </w:p>
        </w:tc>
      </w:tr>
      <w:tr w:rsidR="00AA69AC" w:rsidRPr="00316FF7" w14:paraId="4CB856E4" w14:textId="283DD396" w:rsidTr="00F311EA">
        <w:trPr>
          <w:cantSplit w:val="0"/>
          <w:trHeight w:val="130"/>
        </w:trPr>
        <w:tc>
          <w:tcPr>
            <w:tcW w:w="2686" w:type="dxa"/>
          </w:tcPr>
          <w:p w14:paraId="64F7F272" w14:textId="77777777" w:rsidR="00AA69AC" w:rsidRPr="00316FF7" w:rsidRDefault="00AA69AC" w:rsidP="006A03EA">
            <w:pPr>
              <w:pStyle w:val="C-TableText"/>
              <w:jc w:val="both"/>
              <w:rPr>
                <w:lang w:val="en-AU"/>
              </w:rPr>
            </w:pPr>
            <w:r w:rsidRPr="00316FF7">
              <w:rPr>
                <w:lang w:val="en-AU"/>
              </w:rPr>
              <w:t xml:space="preserve">Vaginal haemorrhage </w:t>
            </w:r>
          </w:p>
        </w:tc>
        <w:tc>
          <w:tcPr>
            <w:tcW w:w="3402" w:type="dxa"/>
          </w:tcPr>
          <w:p w14:paraId="171CF38E" w14:textId="2171833E" w:rsidR="00AA69AC" w:rsidRPr="00316FF7" w:rsidRDefault="00046DAD" w:rsidP="006A03EA">
            <w:pPr>
              <w:pStyle w:val="C-TableText"/>
              <w:jc w:val="center"/>
              <w:rPr>
                <w:lang w:val="en-AU"/>
              </w:rPr>
            </w:pPr>
            <w:r w:rsidRPr="00316FF7">
              <w:rPr>
                <w:lang w:val="en-AU"/>
              </w:rPr>
              <w:t>103 (2.8)</w:t>
            </w:r>
          </w:p>
        </w:tc>
        <w:tc>
          <w:tcPr>
            <w:tcW w:w="3402" w:type="dxa"/>
          </w:tcPr>
          <w:p w14:paraId="66EAE79F" w14:textId="34FAF88A" w:rsidR="00AA69AC" w:rsidRPr="00316FF7" w:rsidRDefault="00AA69AC" w:rsidP="006A03EA">
            <w:pPr>
              <w:pStyle w:val="C-TableText"/>
              <w:jc w:val="center"/>
              <w:rPr>
                <w:lang w:val="en-AU"/>
              </w:rPr>
            </w:pPr>
            <w:r w:rsidRPr="00316FF7">
              <w:rPr>
                <w:lang w:val="en-AU"/>
              </w:rPr>
              <w:t>103 (2.7)</w:t>
            </w:r>
          </w:p>
        </w:tc>
      </w:tr>
      <w:tr w:rsidR="00AA69AC" w:rsidRPr="00316FF7" w14:paraId="11721E49" w14:textId="5CC4BF90" w:rsidTr="00F311EA">
        <w:trPr>
          <w:cantSplit w:val="0"/>
          <w:trHeight w:val="130"/>
        </w:trPr>
        <w:tc>
          <w:tcPr>
            <w:tcW w:w="2686" w:type="dxa"/>
          </w:tcPr>
          <w:p w14:paraId="56EA4D88" w14:textId="77777777" w:rsidR="00AA69AC" w:rsidRPr="00316FF7" w:rsidRDefault="00AA69AC" w:rsidP="006A03EA">
            <w:pPr>
              <w:pStyle w:val="C-TableText"/>
              <w:jc w:val="both"/>
              <w:rPr>
                <w:lang w:val="en-AU"/>
              </w:rPr>
            </w:pPr>
            <w:r w:rsidRPr="00316FF7">
              <w:rPr>
                <w:lang w:val="en-AU"/>
              </w:rPr>
              <w:t xml:space="preserve">Dysmenorrhea </w:t>
            </w:r>
          </w:p>
        </w:tc>
        <w:tc>
          <w:tcPr>
            <w:tcW w:w="3402" w:type="dxa"/>
          </w:tcPr>
          <w:p w14:paraId="75AD390A" w14:textId="1AC4A9D5" w:rsidR="00AA69AC" w:rsidRPr="00316FF7" w:rsidRDefault="00046DAD" w:rsidP="006A03EA">
            <w:pPr>
              <w:pStyle w:val="C-TableText"/>
              <w:jc w:val="center"/>
              <w:rPr>
                <w:lang w:val="en-AU"/>
              </w:rPr>
            </w:pPr>
            <w:r w:rsidRPr="00316FF7">
              <w:rPr>
                <w:lang w:val="en-AU"/>
              </w:rPr>
              <w:t>85 (2.3)</w:t>
            </w:r>
          </w:p>
        </w:tc>
        <w:tc>
          <w:tcPr>
            <w:tcW w:w="3402" w:type="dxa"/>
          </w:tcPr>
          <w:p w14:paraId="02F5DA5F" w14:textId="03899BA4" w:rsidR="00AA69AC" w:rsidRPr="00316FF7" w:rsidRDefault="00AA69AC" w:rsidP="006A03EA">
            <w:pPr>
              <w:pStyle w:val="C-TableText"/>
              <w:jc w:val="center"/>
              <w:rPr>
                <w:lang w:val="en-AU"/>
              </w:rPr>
            </w:pPr>
            <w:r w:rsidRPr="00316FF7">
              <w:rPr>
                <w:lang w:val="en-AU"/>
              </w:rPr>
              <w:t>92 (2.4)</w:t>
            </w:r>
          </w:p>
        </w:tc>
      </w:tr>
      <w:tr w:rsidR="00AA69AC" w:rsidRPr="00316FF7" w14:paraId="76E3FA87" w14:textId="2CC726EF" w:rsidTr="00F311EA">
        <w:trPr>
          <w:cantSplit w:val="0"/>
          <w:trHeight w:val="130"/>
        </w:trPr>
        <w:tc>
          <w:tcPr>
            <w:tcW w:w="2686" w:type="dxa"/>
          </w:tcPr>
          <w:p w14:paraId="62008E7D" w14:textId="77777777" w:rsidR="00AA69AC" w:rsidRPr="00316FF7" w:rsidRDefault="00AA69AC" w:rsidP="006A03EA">
            <w:pPr>
              <w:pStyle w:val="C-TableText"/>
              <w:jc w:val="both"/>
              <w:rPr>
                <w:lang w:val="en-AU"/>
              </w:rPr>
            </w:pPr>
            <w:r w:rsidRPr="00316FF7">
              <w:rPr>
                <w:lang w:val="en-AU"/>
              </w:rPr>
              <w:t xml:space="preserve">Weight increased </w:t>
            </w:r>
          </w:p>
        </w:tc>
        <w:tc>
          <w:tcPr>
            <w:tcW w:w="3402" w:type="dxa"/>
          </w:tcPr>
          <w:p w14:paraId="4A67458C" w14:textId="05B40EB9" w:rsidR="00AA69AC" w:rsidRPr="00316FF7" w:rsidRDefault="00215376" w:rsidP="006A03EA">
            <w:pPr>
              <w:pStyle w:val="C-TableText"/>
              <w:jc w:val="center"/>
              <w:rPr>
                <w:lang w:val="en-AU"/>
              </w:rPr>
            </w:pPr>
            <w:r w:rsidRPr="00316FF7">
              <w:rPr>
                <w:lang w:val="en-AU"/>
              </w:rPr>
              <w:t>74 (2.0)</w:t>
            </w:r>
          </w:p>
        </w:tc>
        <w:tc>
          <w:tcPr>
            <w:tcW w:w="3402" w:type="dxa"/>
          </w:tcPr>
          <w:p w14:paraId="6F2D700C" w14:textId="537E7651" w:rsidR="00AA69AC" w:rsidRPr="00316FF7" w:rsidRDefault="00AA69AC" w:rsidP="006A03EA">
            <w:pPr>
              <w:pStyle w:val="C-TableText"/>
              <w:jc w:val="center"/>
              <w:rPr>
                <w:lang w:val="en-AU"/>
              </w:rPr>
            </w:pPr>
            <w:r w:rsidRPr="00316FF7">
              <w:rPr>
                <w:lang w:val="en-AU"/>
              </w:rPr>
              <w:t>75 (2.0)</w:t>
            </w:r>
          </w:p>
        </w:tc>
      </w:tr>
      <w:tr w:rsidR="008A2D84" w:rsidRPr="00316FF7" w14:paraId="13EE608C" w14:textId="77777777" w:rsidTr="003301C7">
        <w:trPr>
          <w:cantSplit w:val="0"/>
          <w:trHeight w:val="130"/>
        </w:trPr>
        <w:tc>
          <w:tcPr>
            <w:tcW w:w="2686" w:type="dxa"/>
          </w:tcPr>
          <w:p w14:paraId="58DD2B37" w14:textId="77777777" w:rsidR="008A2D84" w:rsidRPr="00316FF7" w:rsidRDefault="008A2D84" w:rsidP="003301C7">
            <w:pPr>
              <w:pStyle w:val="C-TableText"/>
              <w:jc w:val="both"/>
              <w:rPr>
                <w:lang w:val="en-AU"/>
              </w:rPr>
            </w:pPr>
            <w:r w:rsidRPr="00316FF7">
              <w:rPr>
                <w:lang w:val="en-AU"/>
              </w:rPr>
              <w:t xml:space="preserve">Breast tenderness </w:t>
            </w:r>
          </w:p>
        </w:tc>
        <w:tc>
          <w:tcPr>
            <w:tcW w:w="3402" w:type="dxa"/>
          </w:tcPr>
          <w:p w14:paraId="37CFC55B" w14:textId="77777777" w:rsidR="008A2D84" w:rsidRPr="00316FF7" w:rsidRDefault="008A2D84" w:rsidP="003301C7">
            <w:pPr>
              <w:pStyle w:val="C-TableText"/>
              <w:jc w:val="center"/>
              <w:rPr>
                <w:lang w:val="en-AU"/>
              </w:rPr>
            </w:pPr>
            <w:r w:rsidRPr="00316FF7">
              <w:rPr>
                <w:lang w:val="en-AU"/>
              </w:rPr>
              <w:t>64 (1.8)</w:t>
            </w:r>
          </w:p>
        </w:tc>
        <w:tc>
          <w:tcPr>
            <w:tcW w:w="3402" w:type="dxa"/>
          </w:tcPr>
          <w:p w14:paraId="38D30EDF" w14:textId="77777777" w:rsidR="008A2D84" w:rsidRPr="00316FF7" w:rsidRDefault="008A2D84" w:rsidP="003301C7">
            <w:pPr>
              <w:pStyle w:val="C-TableText"/>
              <w:jc w:val="center"/>
              <w:rPr>
                <w:lang w:val="en-AU"/>
              </w:rPr>
            </w:pPr>
            <w:r w:rsidRPr="00316FF7">
              <w:rPr>
                <w:lang w:val="en-AU"/>
              </w:rPr>
              <w:t>67 (1.8)</w:t>
            </w:r>
          </w:p>
        </w:tc>
      </w:tr>
      <w:tr w:rsidR="00AA69AC" w:rsidRPr="00316FF7" w14:paraId="1540719D" w14:textId="37A21BC7" w:rsidTr="00F311EA">
        <w:trPr>
          <w:cantSplit w:val="0"/>
          <w:trHeight w:val="130"/>
        </w:trPr>
        <w:tc>
          <w:tcPr>
            <w:tcW w:w="2686" w:type="dxa"/>
          </w:tcPr>
          <w:p w14:paraId="6C57BB6A" w14:textId="77777777" w:rsidR="00AA69AC" w:rsidRPr="00316FF7" w:rsidRDefault="00AA69AC" w:rsidP="006A03EA">
            <w:pPr>
              <w:pStyle w:val="C-TableText"/>
              <w:jc w:val="both"/>
              <w:rPr>
                <w:lang w:val="en-AU"/>
              </w:rPr>
            </w:pPr>
            <w:r w:rsidRPr="00316FF7">
              <w:rPr>
                <w:lang w:val="en-AU"/>
              </w:rPr>
              <w:t xml:space="preserve">Breast pain </w:t>
            </w:r>
          </w:p>
        </w:tc>
        <w:tc>
          <w:tcPr>
            <w:tcW w:w="3402" w:type="dxa"/>
          </w:tcPr>
          <w:p w14:paraId="7CBDB7C8" w14:textId="67A5877A" w:rsidR="00AA69AC" w:rsidRPr="00316FF7" w:rsidRDefault="00046DAD" w:rsidP="006A03EA">
            <w:pPr>
              <w:pStyle w:val="C-TableText"/>
              <w:jc w:val="center"/>
              <w:rPr>
                <w:lang w:val="en-AU"/>
              </w:rPr>
            </w:pPr>
            <w:r w:rsidRPr="00316FF7">
              <w:rPr>
                <w:lang w:val="en-AU"/>
              </w:rPr>
              <w:t>60 (1.7)</w:t>
            </w:r>
          </w:p>
        </w:tc>
        <w:tc>
          <w:tcPr>
            <w:tcW w:w="3402" w:type="dxa"/>
          </w:tcPr>
          <w:p w14:paraId="61107A15" w14:textId="2A1487FA" w:rsidR="00AA69AC" w:rsidRPr="00316FF7" w:rsidRDefault="00AA69AC" w:rsidP="006A03EA">
            <w:pPr>
              <w:pStyle w:val="C-TableText"/>
              <w:jc w:val="center"/>
              <w:rPr>
                <w:lang w:val="en-AU"/>
              </w:rPr>
            </w:pPr>
            <w:r w:rsidRPr="00316FF7">
              <w:rPr>
                <w:lang w:val="en-AU"/>
              </w:rPr>
              <w:t>79 (2.1)</w:t>
            </w:r>
          </w:p>
        </w:tc>
      </w:tr>
      <w:tr w:rsidR="00AA69AC" w:rsidRPr="00316FF7" w14:paraId="749C62B4" w14:textId="50285AD5" w:rsidTr="00F311EA">
        <w:trPr>
          <w:cantSplit w:val="0"/>
          <w:trHeight w:val="130"/>
        </w:trPr>
        <w:tc>
          <w:tcPr>
            <w:tcW w:w="2686" w:type="dxa"/>
          </w:tcPr>
          <w:p w14:paraId="6453548C" w14:textId="77777777" w:rsidR="00AA69AC" w:rsidRPr="00316FF7" w:rsidRDefault="00AA69AC" w:rsidP="006A03EA">
            <w:pPr>
              <w:pStyle w:val="C-TableText"/>
              <w:jc w:val="both"/>
              <w:rPr>
                <w:lang w:val="en-AU"/>
              </w:rPr>
            </w:pPr>
            <w:r w:rsidRPr="00316FF7">
              <w:rPr>
                <w:lang w:val="en-AU"/>
              </w:rPr>
              <w:t xml:space="preserve">Libido decreased </w:t>
            </w:r>
          </w:p>
        </w:tc>
        <w:tc>
          <w:tcPr>
            <w:tcW w:w="3402" w:type="dxa"/>
          </w:tcPr>
          <w:p w14:paraId="6BDF67C2" w14:textId="544B3CF8" w:rsidR="00AA69AC" w:rsidRPr="00316FF7" w:rsidRDefault="00046DAD" w:rsidP="006A03EA">
            <w:pPr>
              <w:pStyle w:val="C-TableText"/>
              <w:jc w:val="center"/>
              <w:rPr>
                <w:lang w:val="en-AU"/>
              </w:rPr>
            </w:pPr>
            <w:r w:rsidRPr="00316FF7">
              <w:rPr>
                <w:lang w:val="en-AU"/>
              </w:rPr>
              <w:t>55 (1.5)</w:t>
            </w:r>
          </w:p>
        </w:tc>
        <w:tc>
          <w:tcPr>
            <w:tcW w:w="3402" w:type="dxa"/>
          </w:tcPr>
          <w:p w14:paraId="37318A1A" w14:textId="1C24A4E5" w:rsidR="00AA69AC" w:rsidRPr="00316FF7" w:rsidRDefault="00AA69AC" w:rsidP="006A03EA">
            <w:pPr>
              <w:pStyle w:val="C-TableText"/>
              <w:jc w:val="center"/>
              <w:rPr>
                <w:lang w:val="en-AU"/>
              </w:rPr>
            </w:pPr>
            <w:r w:rsidRPr="00316FF7">
              <w:rPr>
                <w:lang w:val="en-AU"/>
              </w:rPr>
              <w:t>56 (1.5)</w:t>
            </w:r>
          </w:p>
        </w:tc>
      </w:tr>
      <w:tr w:rsidR="008A2D84" w:rsidRPr="00316FF7" w14:paraId="4AE2AFA4" w14:textId="77777777" w:rsidTr="003301C7">
        <w:trPr>
          <w:cantSplit w:val="0"/>
          <w:trHeight w:val="130"/>
        </w:trPr>
        <w:tc>
          <w:tcPr>
            <w:tcW w:w="2686" w:type="dxa"/>
          </w:tcPr>
          <w:p w14:paraId="52653BB6" w14:textId="77777777" w:rsidR="008A2D84" w:rsidRPr="00316FF7" w:rsidRDefault="008A2D84" w:rsidP="003301C7">
            <w:pPr>
              <w:pStyle w:val="C-TableText"/>
              <w:jc w:val="both"/>
              <w:rPr>
                <w:lang w:val="en-AU"/>
              </w:rPr>
            </w:pPr>
            <w:r w:rsidRPr="00316FF7">
              <w:rPr>
                <w:lang w:val="en-AU"/>
              </w:rPr>
              <w:t xml:space="preserve">Nausea </w:t>
            </w:r>
          </w:p>
        </w:tc>
        <w:tc>
          <w:tcPr>
            <w:tcW w:w="3402" w:type="dxa"/>
          </w:tcPr>
          <w:p w14:paraId="10B0A969" w14:textId="77777777" w:rsidR="008A2D84" w:rsidRPr="00316FF7" w:rsidRDefault="008A2D84" w:rsidP="003301C7">
            <w:pPr>
              <w:pStyle w:val="C-TableText"/>
              <w:jc w:val="center"/>
              <w:rPr>
                <w:lang w:val="en-AU"/>
              </w:rPr>
            </w:pPr>
            <w:r w:rsidRPr="00316FF7">
              <w:rPr>
                <w:lang w:val="en-AU"/>
              </w:rPr>
              <w:t>48 (1.3)</w:t>
            </w:r>
          </w:p>
        </w:tc>
        <w:tc>
          <w:tcPr>
            <w:tcW w:w="3402" w:type="dxa"/>
          </w:tcPr>
          <w:p w14:paraId="645FD106" w14:textId="77777777" w:rsidR="008A2D84" w:rsidRPr="00316FF7" w:rsidRDefault="008A2D84" w:rsidP="003301C7">
            <w:pPr>
              <w:pStyle w:val="C-TableText"/>
              <w:jc w:val="center"/>
              <w:rPr>
                <w:lang w:val="en-AU"/>
              </w:rPr>
            </w:pPr>
            <w:r w:rsidRPr="00316FF7">
              <w:rPr>
                <w:lang w:val="en-AU"/>
              </w:rPr>
              <w:t>52 (1.4)</w:t>
            </w:r>
          </w:p>
        </w:tc>
      </w:tr>
      <w:tr w:rsidR="008A2D84" w:rsidRPr="00316FF7" w14:paraId="5546FDE1" w14:textId="77777777" w:rsidTr="003301C7">
        <w:trPr>
          <w:cantSplit w:val="0"/>
          <w:trHeight w:val="130"/>
        </w:trPr>
        <w:tc>
          <w:tcPr>
            <w:tcW w:w="2686" w:type="dxa"/>
          </w:tcPr>
          <w:p w14:paraId="6592E3FD" w14:textId="77777777" w:rsidR="008A2D84" w:rsidRPr="00316FF7" w:rsidRDefault="008A2D84" w:rsidP="003301C7">
            <w:pPr>
              <w:pStyle w:val="C-TableText"/>
              <w:jc w:val="both"/>
              <w:rPr>
                <w:lang w:val="en-AU"/>
              </w:rPr>
            </w:pPr>
            <w:r w:rsidRPr="00316FF7">
              <w:rPr>
                <w:lang w:val="en-AU"/>
              </w:rPr>
              <w:t>Menorrhagia</w:t>
            </w:r>
          </w:p>
        </w:tc>
        <w:tc>
          <w:tcPr>
            <w:tcW w:w="3402" w:type="dxa"/>
          </w:tcPr>
          <w:p w14:paraId="4F41458A" w14:textId="77777777" w:rsidR="008A2D84" w:rsidRPr="00316FF7" w:rsidDel="00046DAD" w:rsidRDefault="008A2D84" w:rsidP="003301C7">
            <w:pPr>
              <w:pStyle w:val="C-TableText"/>
              <w:jc w:val="center"/>
              <w:rPr>
                <w:lang w:val="en-AU"/>
              </w:rPr>
            </w:pPr>
            <w:r w:rsidRPr="00316FF7">
              <w:rPr>
                <w:lang w:val="en-AU"/>
              </w:rPr>
              <w:t>51 (1.4)</w:t>
            </w:r>
          </w:p>
        </w:tc>
        <w:tc>
          <w:tcPr>
            <w:tcW w:w="3402" w:type="dxa"/>
          </w:tcPr>
          <w:p w14:paraId="161596CD" w14:textId="77777777" w:rsidR="008A2D84" w:rsidRPr="00316FF7" w:rsidRDefault="008A2D84" w:rsidP="003301C7">
            <w:pPr>
              <w:pStyle w:val="C-TableText"/>
              <w:jc w:val="center"/>
              <w:rPr>
                <w:lang w:val="en-AU"/>
              </w:rPr>
            </w:pPr>
            <w:r w:rsidRPr="00316FF7">
              <w:rPr>
                <w:lang w:val="en-AU"/>
              </w:rPr>
              <w:t>51 (1.3)</w:t>
            </w:r>
          </w:p>
        </w:tc>
      </w:tr>
      <w:tr w:rsidR="00AA69AC" w:rsidRPr="00316FF7" w14:paraId="627790E8" w14:textId="318F42CB" w:rsidTr="00F311EA">
        <w:trPr>
          <w:cantSplit w:val="0"/>
          <w:trHeight w:val="130"/>
        </w:trPr>
        <w:tc>
          <w:tcPr>
            <w:tcW w:w="2686" w:type="dxa"/>
          </w:tcPr>
          <w:p w14:paraId="46CBC902" w14:textId="77777777" w:rsidR="00AA69AC" w:rsidRPr="00316FF7" w:rsidRDefault="00AA69AC" w:rsidP="006A03EA">
            <w:pPr>
              <w:pStyle w:val="C-TableText"/>
              <w:jc w:val="both"/>
              <w:rPr>
                <w:lang w:val="en-AU"/>
              </w:rPr>
            </w:pPr>
            <w:r w:rsidRPr="00316FF7">
              <w:rPr>
                <w:lang w:val="en-AU"/>
              </w:rPr>
              <w:t>Mood Swings</w:t>
            </w:r>
          </w:p>
        </w:tc>
        <w:tc>
          <w:tcPr>
            <w:tcW w:w="3402" w:type="dxa"/>
          </w:tcPr>
          <w:p w14:paraId="12EB2859" w14:textId="656ED447" w:rsidR="00AA69AC" w:rsidRPr="00316FF7" w:rsidRDefault="00046DAD" w:rsidP="006A03EA">
            <w:pPr>
              <w:pStyle w:val="C-TableText"/>
              <w:jc w:val="center"/>
              <w:rPr>
                <w:lang w:val="en-AU"/>
              </w:rPr>
            </w:pPr>
            <w:r w:rsidRPr="00316FF7">
              <w:rPr>
                <w:lang w:val="en-AU"/>
              </w:rPr>
              <w:t>47 (1.3)</w:t>
            </w:r>
          </w:p>
        </w:tc>
        <w:tc>
          <w:tcPr>
            <w:tcW w:w="3402" w:type="dxa"/>
          </w:tcPr>
          <w:p w14:paraId="60024368" w14:textId="1B1DA18E" w:rsidR="00AA69AC" w:rsidRPr="00316FF7" w:rsidRDefault="00AA69AC" w:rsidP="006A03EA">
            <w:pPr>
              <w:pStyle w:val="C-TableText"/>
              <w:jc w:val="center"/>
              <w:rPr>
                <w:lang w:val="en-AU"/>
              </w:rPr>
            </w:pPr>
            <w:r w:rsidRPr="00316FF7">
              <w:rPr>
                <w:lang w:val="en-AU"/>
              </w:rPr>
              <w:t>50 (1.3)</w:t>
            </w:r>
          </w:p>
        </w:tc>
      </w:tr>
    </w:tbl>
    <w:p w14:paraId="3686C14D" w14:textId="3AEA519F" w:rsidR="00616AE5" w:rsidRPr="00316FF7" w:rsidRDefault="00616AE5" w:rsidP="00616AE5">
      <w:pPr>
        <w:pStyle w:val="C-Heading4non-numbered"/>
        <w:rPr>
          <w:b w:val="0"/>
          <w:u w:val="single"/>
          <w:lang w:val="en-AU"/>
        </w:rPr>
      </w:pPr>
      <w:r w:rsidRPr="00316FF7">
        <w:rPr>
          <w:b w:val="0"/>
          <w:u w:val="single"/>
          <w:lang w:val="en-AU"/>
        </w:rPr>
        <w:t>Adverse Reactions Leading to Study Discontinuation</w:t>
      </w:r>
      <w:r w:rsidR="007A21BC" w:rsidRPr="00316FF7">
        <w:rPr>
          <w:b w:val="0"/>
          <w:u w:val="single"/>
          <w:lang w:val="en-AU"/>
        </w:rPr>
        <w:t xml:space="preserve"> (Phase 3 Clinical Studies)</w:t>
      </w:r>
      <w:r w:rsidRPr="00316FF7">
        <w:rPr>
          <w:b w:val="0"/>
          <w:u w:val="single"/>
          <w:lang w:val="en-AU"/>
        </w:rPr>
        <w:t xml:space="preserve"> (&gt; 1%):</w:t>
      </w:r>
    </w:p>
    <w:p w14:paraId="5BE05A08" w14:textId="67D28DFE" w:rsidR="006A03EA" w:rsidRPr="00316FF7" w:rsidRDefault="006A03EA" w:rsidP="006A03EA">
      <w:pPr>
        <w:pStyle w:val="C-BodyText"/>
        <w:rPr>
          <w:lang w:val="en-AU"/>
        </w:rPr>
      </w:pPr>
      <w:r w:rsidRPr="00316FF7">
        <w:rPr>
          <w:lang w:val="en-AU"/>
        </w:rPr>
        <w:t xml:space="preserve">Of 3,632 women in two </w:t>
      </w:r>
      <w:r w:rsidR="00170E96">
        <w:rPr>
          <w:lang w:val="en-AU"/>
        </w:rPr>
        <w:t>P</w:t>
      </w:r>
      <w:r w:rsidR="007A21BC" w:rsidRPr="00316FF7">
        <w:rPr>
          <w:lang w:val="en-AU"/>
        </w:rPr>
        <w:t xml:space="preserve">hase 3 </w:t>
      </w:r>
      <w:r w:rsidRPr="00316FF7">
        <w:rPr>
          <w:lang w:val="en-AU"/>
        </w:rPr>
        <w:t xml:space="preserve">clinical studies for prevention of pregnancy in women 16-50 years of age, 7.7% discontinued due to </w:t>
      </w:r>
      <w:r w:rsidR="00374945" w:rsidRPr="00316FF7">
        <w:rPr>
          <w:lang w:val="en-AU"/>
        </w:rPr>
        <w:t>treatment-related</w:t>
      </w:r>
      <w:r w:rsidRPr="00316FF7">
        <w:rPr>
          <w:lang w:val="en-AU"/>
        </w:rPr>
        <w:t xml:space="preserve"> adverse reaction</w:t>
      </w:r>
      <w:r w:rsidR="007A21BC" w:rsidRPr="00316FF7">
        <w:rPr>
          <w:lang w:val="en-AU"/>
        </w:rPr>
        <w:t>s</w:t>
      </w:r>
      <w:r w:rsidRPr="00316FF7">
        <w:rPr>
          <w:lang w:val="en-AU"/>
        </w:rPr>
        <w:t xml:space="preserve">; the most frequent adverse reaction leading to discontinuation was metrorrhagia (1.1%). </w:t>
      </w:r>
    </w:p>
    <w:p w14:paraId="2FE9693E" w14:textId="198E68A1" w:rsidR="00616AE5" w:rsidRPr="00316FF7" w:rsidRDefault="00616AE5" w:rsidP="00616AE5">
      <w:pPr>
        <w:pStyle w:val="C-Heading4non-numbered"/>
        <w:rPr>
          <w:b w:val="0"/>
          <w:u w:val="single"/>
          <w:lang w:val="en-AU"/>
        </w:rPr>
      </w:pPr>
      <w:r w:rsidRPr="00316FF7">
        <w:rPr>
          <w:b w:val="0"/>
          <w:u w:val="single"/>
          <w:lang w:val="en-AU"/>
        </w:rPr>
        <w:t>Serious Adverse Events:</w:t>
      </w:r>
    </w:p>
    <w:p w14:paraId="7DC8C6AC" w14:textId="70C51738" w:rsidR="00374945" w:rsidRPr="00316FF7" w:rsidRDefault="00374945" w:rsidP="006A03EA">
      <w:pPr>
        <w:pStyle w:val="C-BodyText"/>
        <w:rPr>
          <w:lang w:val="en-AU"/>
        </w:rPr>
      </w:pPr>
      <w:r w:rsidRPr="00316FF7">
        <w:rPr>
          <w:lang w:val="en-AU"/>
        </w:rPr>
        <w:t>A total of 45 serious treatment-emergent adverse events (all serious adverse events emerging during the studies without regards to the relationship to the drug) was reported by 41 subjects (1.1%) included in the safety population. These include nine cases of spontaneous abortion, two cases of ectopic pregnancy, seven cases of psychiatric disorders, two cases of depression, one case of vascular disorder and one case of venous thrombosis.</w:t>
      </w:r>
    </w:p>
    <w:p w14:paraId="749569AA" w14:textId="77777777" w:rsidR="00C949F2" w:rsidRPr="00316FF7" w:rsidRDefault="00C949F2" w:rsidP="00C949F2">
      <w:pPr>
        <w:pStyle w:val="C-Heading3non-numbered"/>
        <w:rPr>
          <w:lang w:val="en-AU"/>
        </w:rPr>
      </w:pPr>
      <w:r w:rsidRPr="00316FF7">
        <w:rPr>
          <w:lang w:val="en-AU"/>
        </w:rPr>
        <w:t xml:space="preserve">Reporting </w:t>
      </w:r>
      <w:r w:rsidR="00944786" w:rsidRPr="00316FF7">
        <w:rPr>
          <w:lang w:val="en-AU"/>
        </w:rPr>
        <w:t>S</w:t>
      </w:r>
      <w:r w:rsidRPr="00316FF7">
        <w:rPr>
          <w:lang w:val="en-AU"/>
        </w:rPr>
        <w:t xml:space="preserve">uspected </w:t>
      </w:r>
      <w:r w:rsidR="00944786" w:rsidRPr="00316FF7">
        <w:rPr>
          <w:lang w:val="en-AU"/>
        </w:rPr>
        <w:t>A</w:t>
      </w:r>
      <w:r w:rsidRPr="00316FF7">
        <w:rPr>
          <w:lang w:val="en-AU"/>
        </w:rPr>
        <w:t xml:space="preserve">dverse </w:t>
      </w:r>
      <w:r w:rsidR="00944786" w:rsidRPr="00316FF7">
        <w:rPr>
          <w:lang w:val="en-AU"/>
        </w:rPr>
        <w:t>E</w:t>
      </w:r>
      <w:r w:rsidR="00F3019A" w:rsidRPr="00316FF7">
        <w:rPr>
          <w:lang w:val="en-AU"/>
        </w:rPr>
        <w:t>ffects</w:t>
      </w:r>
    </w:p>
    <w:p w14:paraId="50A02C26" w14:textId="2D78C8E4" w:rsidR="00C949F2" w:rsidRPr="00316FF7" w:rsidRDefault="00C949F2" w:rsidP="00DE770A">
      <w:pPr>
        <w:pStyle w:val="C-BodyText"/>
        <w:rPr>
          <w:lang w:val="en-AU"/>
        </w:rPr>
      </w:pPr>
      <w:r w:rsidRPr="00316FF7">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235074" w:rsidRPr="00316FF7">
        <w:rPr>
          <w:color w:val="0000FF"/>
          <w:u w:val="single"/>
          <w:lang w:val="en-AU"/>
        </w:rPr>
        <w:t>www.tga.gov.au/reporting-problems</w:t>
      </w:r>
      <w:r w:rsidRPr="00316FF7">
        <w:rPr>
          <w:lang w:val="en-AU"/>
        </w:rPr>
        <w:t>.</w:t>
      </w:r>
    </w:p>
    <w:p w14:paraId="2BCA8BFE" w14:textId="0B2EEE6A" w:rsidR="00B845D7" w:rsidRPr="00316FF7" w:rsidRDefault="007F49AA" w:rsidP="006E0396">
      <w:pPr>
        <w:pStyle w:val="C-Heading2"/>
        <w:rPr>
          <w:lang w:val="en-AU"/>
        </w:rPr>
      </w:pPr>
      <w:r w:rsidRPr="00316FF7">
        <w:rPr>
          <w:lang w:val="en-AU"/>
        </w:rPr>
        <w:t>Overdose</w:t>
      </w:r>
    </w:p>
    <w:p w14:paraId="3363F596" w14:textId="75F20F63" w:rsidR="00DE770A" w:rsidRPr="00316FF7" w:rsidRDefault="003C1052" w:rsidP="003C1052">
      <w:pPr>
        <w:rPr>
          <w:rFonts w:cs="Times New Roman"/>
          <w:lang w:val="en-AU"/>
        </w:rPr>
      </w:pPr>
      <w:r w:rsidRPr="00316FF7">
        <w:rPr>
          <w:rFonts w:cs="Times New Roman"/>
          <w:lang w:val="en-AU"/>
        </w:rPr>
        <w:t>Overdose may cause nausea</w:t>
      </w:r>
      <w:r w:rsidR="00227656" w:rsidRPr="00316FF7">
        <w:rPr>
          <w:rFonts w:cs="Times New Roman"/>
          <w:lang w:val="en-AU"/>
        </w:rPr>
        <w:t>, vomiting</w:t>
      </w:r>
      <w:r w:rsidRPr="00316FF7">
        <w:rPr>
          <w:rFonts w:cs="Times New Roman"/>
          <w:lang w:val="en-AU"/>
        </w:rPr>
        <w:t xml:space="preserve"> and </w:t>
      </w:r>
      <w:r w:rsidR="00227656" w:rsidRPr="00316FF7">
        <w:rPr>
          <w:rFonts w:cs="Times New Roman"/>
          <w:lang w:val="en-AU"/>
        </w:rPr>
        <w:t xml:space="preserve">withdrawal </w:t>
      </w:r>
      <w:r w:rsidRPr="00316FF7">
        <w:rPr>
          <w:rFonts w:cs="Times New Roman"/>
          <w:lang w:val="en-AU"/>
        </w:rPr>
        <w:t xml:space="preserve">bleeding in women. Drospirenone is a spironolactone analogue which has antimineralocorticoid properties. Therefore, </w:t>
      </w:r>
      <w:r w:rsidRPr="00316FF7">
        <w:rPr>
          <w:rFonts w:cs="Times New Roman"/>
          <w:lang w:val="en-AU"/>
        </w:rPr>
        <w:lastRenderedPageBreak/>
        <w:t xml:space="preserve">serum potassium and sodium, and evidence of metabolic acidosis, should be monitored in cases of overdose. </w:t>
      </w:r>
    </w:p>
    <w:p w14:paraId="1CD13ACF" w14:textId="77777777" w:rsidR="00EB0A46" w:rsidRPr="00316FF7" w:rsidRDefault="00EB0A46" w:rsidP="00DE770A">
      <w:pPr>
        <w:pStyle w:val="C-BodyText"/>
        <w:rPr>
          <w:lang w:val="en-AU"/>
        </w:rPr>
      </w:pPr>
      <w:r w:rsidRPr="00316FF7">
        <w:rPr>
          <w:lang w:val="en-AU"/>
        </w:rPr>
        <w:t>For information on the management of overdose, contact</w:t>
      </w:r>
      <w:r w:rsidR="00B54BBC" w:rsidRPr="00316FF7">
        <w:rPr>
          <w:lang w:val="en-AU"/>
        </w:rPr>
        <w:t xml:space="preserve"> the Poison Information Centre on 13</w:t>
      </w:r>
      <w:r w:rsidR="00CF2D9E" w:rsidRPr="00316FF7">
        <w:rPr>
          <w:lang w:val="en-AU"/>
        </w:rPr>
        <w:t xml:space="preserve"> </w:t>
      </w:r>
      <w:r w:rsidR="00B54BBC" w:rsidRPr="00316FF7">
        <w:rPr>
          <w:lang w:val="en-AU"/>
        </w:rPr>
        <w:t>11</w:t>
      </w:r>
      <w:r w:rsidR="00CF2D9E" w:rsidRPr="00316FF7">
        <w:rPr>
          <w:lang w:val="en-AU"/>
        </w:rPr>
        <w:t xml:space="preserve"> </w:t>
      </w:r>
      <w:r w:rsidR="00B54BBC" w:rsidRPr="00316FF7">
        <w:rPr>
          <w:lang w:val="en-AU"/>
        </w:rPr>
        <w:t>26 (Australia).</w:t>
      </w:r>
    </w:p>
    <w:p w14:paraId="21C9DD56" w14:textId="77777777" w:rsidR="00B845D7" w:rsidRPr="00316FF7" w:rsidRDefault="00B845D7" w:rsidP="00B845D7">
      <w:pPr>
        <w:pStyle w:val="C-Heading1nopagebreak"/>
        <w:rPr>
          <w:lang w:val="en-AU"/>
        </w:rPr>
      </w:pPr>
      <w:r w:rsidRPr="00316FF7">
        <w:rPr>
          <w:lang w:val="en-AU"/>
        </w:rPr>
        <w:t>PHARMACOLOGICAL PROPERTIES</w:t>
      </w:r>
    </w:p>
    <w:p w14:paraId="3276667B" w14:textId="77777777" w:rsidR="00B845D7" w:rsidRPr="00316FF7" w:rsidRDefault="007F49AA" w:rsidP="006E0396">
      <w:pPr>
        <w:pStyle w:val="C-Heading2"/>
        <w:rPr>
          <w:lang w:val="en-AU"/>
        </w:rPr>
      </w:pPr>
      <w:r w:rsidRPr="00316FF7">
        <w:rPr>
          <w:lang w:val="en-AU"/>
        </w:rPr>
        <w:t>Pharmacodynamic Properties</w:t>
      </w:r>
    </w:p>
    <w:p w14:paraId="03465B79" w14:textId="77777777" w:rsidR="00B845D7" w:rsidRPr="00316FF7" w:rsidRDefault="004E0498" w:rsidP="00DE770A">
      <w:pPr>
        <w:pStyle w:val="C-Heading3non-numbered"/>
        <w:rPr>
          <w:lang w:val="en-AU"/>
        </w:rPr>
      </w:pPr>
      <w:r w:rsidRPr="00316FF7">
        <w:rPr>
          <w:lang w:val="en-AU"/>
        </w:rPr>
        <w:t xml:space="preserve">Mechanism of </w:t>
      </w:r>
      <w:r w:rsidR="00944786" w:rsidRPr="00316FF7">
        <w:rPr>
          <w:lang w:val="en-AU"/>
        </w:rPr>
        <w:t>A</w:t>
      </w:r>
      <w:r w:rsidRPr="00316FF7">
        <w:rPr>
          <w:lang w:val="en-AU"/>
        </w:rPr>
        <w:t>ction</w:t>
      </w:r>
    </w:p>
    <w:p w14:paraId="7010B6DE" w14:textId="77777777" w:rsidR="002D776B" w:rsidRPr="00316FF7" w:rsidRDefault="002D776B" w:rsidP="002D776B">
      <w:pPr>
        <w:pStyle w:val="C-BodyText"/>
        <w:rPr>
          <w:lang w:val="en-AU"/>
        </w:rPr>
      </w:pPr>
      <w:r w:rsidRPr="00316FF7">
        <w:rPr>
          <w:lang w:val="en-AU"/>
        </w:rPr>
        <w:t xml:space="preserve">COCs prevent pregnancy primarily by suppressing ovulation. </w:t>
      </w:r>
    </w:p>
    <w:p w14:paraId="4C44609A" w14:textId="4783E1FA" w:rsidR="002D776B" w:rsidRPr="00316FF7" w:rsidRDefault="002A0E3F" w:rsidP="00110431">
      <w:pPr>
        <w:pStyle w:val="C-BodyText"/>
        <w:rPr>
          <w:lang w:val="en-AU"/>
        </w:rPr>
      </w:pPr>
      <w:r w:rsidRPr="00316FF7">
        <w:rPr>
          <w:lang w:val="en-AU"/>
        </w:rPr>
        <w:t>E4</w:t>
      </w:r>
      <w:r w:rsidR="00612211" w:rsidRPr="00316FF7">
        <w:rPr>
          <w:lang w:val="en-AU"/>
        </w:rPr>
        <w:t xml:space="preserve"> </w:t>
      </w:r>
      <w:r w:rsidR="00D958E6" w:rsidRPr="00316FF7">
        <w:rPr>
          <w:lang w:val="en-AU"/>
        </w:rPr>
        <w:t xml:space="preserve">is a naturally occurring estrogen produced by the human fetal liver. It is only produced during human pregnancy and reaches the maternal circulation through the placenta. </w:t>
      </w:r>
      <w:r w:rsidR="005B6184" w:rsidRPr="00316FF7">
        <w:rPr>
          <w:lang w:val="en-AU"/>
        </w:rPr>
        <w:t xml:space="preserve">The E4 in NEXTSTELLIS is synthesised from a plant source. </w:t>
      </w:r>
      <w:r w:rsidR="00D958E6" w:rsidRPr="00316FF7">
        <w:rPr>
          <w:lang w:val="en-AU"/>
        </w:rPr>
        <w:t xml:space="preserve">E4 displays a high selectivity for estrogen receptors (ERs) and binds to both ERα and ERβ, with a 4 to </w:t>
      </w:r>
      <w:r w:rsidR="00110431">
        <w:rPr>
          <w:lang w:val="en-AU"/>
        </w:rPr>
        <w:t>6</w:t>
      </w:r>
      <w:r w:rsidR="00D958E6" w:rsidRPr="00316FF7">
        <w:rPr>
          <w:lang w:val="en-AU"/>
        </w:rPr>
        <w:t xml:space="preserve"> times higher affinity for ERα compared to ERβ. Estrogen </w:t>
      </w:r>
      <w:r w:rsidR="00110431">
        <w:rPr>
          <w:lang w:val="en-AU"/>
        </w:rPr>
        <w:t xml:space="preserve">agonist activity by </w:t>
      </w:r>
      <w:r w:rsidR="00D958E6" w:rsidRPr="00316FF7">
        <w:rPr>
          <w:lang w:val="en-AU"/>
        </w:rPr>
        <w:t xml:space="preserve">E4 </w:t>
      </w:r>
      <w:r w:rsidR="00110431">
        <w:rPr>
          <w:lang w:val="en-AU"/>
        </w:rPr>
        <w:t>was</w:t>
      </w:r>
      <w:r w:rsidR="00D958E6" w:rsidRPr="00316FF7">
        <w:rPr>
          <w:lang w:val="en-AU"/>
        </w:rPr>
        <w:t xml:space="preserve"> </w:t>
      </w:r>
      <w:r w:rsidR="00110431" w:rsidRPr="00110431">
        <w:t xml:space="preserve"> </w:t>
      </w:r>
      <w:r w:rsidR="00110431" w:rsidRPr="00110431">
        <w:rPr>
          <w:lang w:val="en-AU"/>
        </w:rPr>
        <w:t>demonstrated in various cell-based assays</w:t>
      </w:r>
      <w:r w:rsidR="00110431">
        <w:rPr>
          <w:lang w:val="en-AU"/>
        </w:rPr>
        <w:t xml:space="preserve"> </w:t>
      </w:r>
      <w:r w:rsidR="00110431" w:rsidRPr="00110431">
        <w:rPr>
          <w:i/>
          <w:iCs/>
          <w:lang w:val="en-AU"/>
        </w:rPr>
        <w:t>in vitro</w:t>
      </w:r>
      <w:r w:rsidR="00110431" w:rsidRPr="00110431">
        <w:rPr>
          <w:lang w:val="en-AU"/>
        </w:rPr>
        <w:t xml:space="preserve"> and animal models </w:t>
      </w:r>
      <w:r w:rsidR="00110431" w:rsidRPr="00110431">
        <w:rPr>
          <w:i/>
          <w:iCs/>
          <w:lang w:val="en-AU"/>
        </w:rPr>
        <w:t>in vivo</w:t>
      </w:r>
      <w:r w:rsidR="00D958E6" w:rsidRPr="00316FF7">
        <w:rPr>
          <w:lang w:val="en-AU"/>
        </w:rPr>
        <w:t>. E4 differs from ethinylestradiol by the lack of an ethinyl group in the 17-alpha position. In humans, E4 is an end-product of steroid metabolism and is not reconverted to estriol, estradiol or estrone.</w:t>
      </w:r>
    </w:p>
    <w:p w14:paraId="763ADAD2" w14:textId="77777777" w:rsidR="00DE770A" w:rsidRPr="00316FF7" w:rsidRDefault="002D776B" w:rsidP="002D776B">
      <w:pPr>
        <w:pStyle w:val="C-BodyText"/>
        <w:rPr>
          <w:lang w:val="en-AU"/>
        </w:rPr>
      </w:pPr>
      <w:r w:rsidRPr="00316FF7">
        <w:rPr>
          <w:lang w:val="en-AU"/>
        </w:rPr>
        <w:t>The progestin drospirenone possesses antigonadotropic, antiandrogenic and mild antimineralocorticoid properties and has no estrogenic, glucocorticoid or antiglucocorticoid activity. These properties are pharmacologically similar to the natural hormone progesterone.</w:t>
      </w:r>
    </w:p>
    <w:p w14:paraId="4AE99330" w14:textId="77777777" w:rsidR="004E0498" w:rsidRPr="00316FF7" w:rsidRDefault="004E0498" w:rsidP="00C13274">
      <w:pPr>
        <w:pStyle w:val="C-Heading3non-numbered"/>
        <w:rPr>
          <w:lang w:val="en-AU"/>
        </w:rPr>
      </w:pPr>
      <w:r w:rsidRPr="00316FF7">
        <w:rPr>
          <w:lang w:val="en-AU"/>
        </w:rPr>
        <w:t xml:space="preserve">Clinical </w:t>
      </w:r>
      <w:r w:rsidR="00944786" w:rsidRPr="00316FF7">
        <w:rPr>
          <w:lang w:val="en-AU"/>
        </w:rPr>
        <w:t>T</w:t>
      </w:r>
      <w:r w:rsidRPr="00316FF7">
        <w:rPr>
          <w:lang w:val="en-AU"/>
        </w:rPr>
        <w:t>rials</w:t>
      </w:r>
    </w:p>
    <w:p w14:paraId="5CA1CBCE" w14:textId="5C258DD3" w:rsidR="00DE770A" w:rsidRPr="00316FF7" w:rsidRDefault="002D776B" w:rsidP="00DE770A">
      <w:pPr>
        <w:pStyle w:val="C-BodyText"/>
        <w:rPr>
          <w:lang w:val="en-AU"/>
        </w:rPr>
      </w:pPr>
      <w:r w:rsidRPr="00316FF7">
        <w:rPr>
          <w:lang w:val="en-AU"/>
        </w:rPr>
        <w:t xml:space="preserve">To evaluate the effects on ovarian function inhibition of </w:t>
      </w:r>
      <w:r w:rsidR="002A0E3F" w:rsidRPr="00316FF7">
        <w:rPr>
          <w:lang w:val="en-AU"/>
        </w:rPr>
        <w:t>E4</w:t>
      </w:r>
      <w:r w:rsidRPr="00316FF7">
        <w:rPr>
          <w:lang w:val="en-AU"/>
        </w:rPr>
        <w:t>/</w:t>
      </w:r>
      <w:r w:rsidR="007D346F" w:rsidRPr="00316FF7">
        <w:rPr>
          <w:lang w:val="en-AU"/>
        </w:rPr>
        <w:t xml:space="preserve">drospirenone </w:t>
      </w:r>
      <w:r w:rsidRPr="00316FF7">
        <w:rPr>
          <w:lang w:val="en-AU"/>
        </w:rPr>
        <w:t xml:space="preserve">and the </w:t>
      </w:r>
      <w:r w:rsidR="00E612E8" w:rsidRPr="00316FF7">
        <w:rPr>
          <w:lang w:val="en-AU"/>
        </w:rPr>
        <w:t xml:space="preserve">ethinylestradiol </w:t>
      </w:r>
      <w:r w:rsidRPr="00316FF7">
        <w:rPr>
          <w:lang w:val="en-AU"/>
        </w:rPr>
        <w:t>20 µg/</w:t>
      </w:r>
      <w:r w:rsidR="007D346F" w:rsidRPr="00316FF7">
        <w:rPr>
          <w:lang w:val="en-AU"/>
        </w:rPr>
        <w:t xml:space="preserve">drospirenone </w:t>
      </w:r>
      <w:r w:rsidRPr="00316FF7">
        <w:rPr>
          <w:lang w:val="en-AU"/>
        </w:rPr>
        <w:t>3 mg combination, a clinical study compared levels of hormone markers (</w:t>
      </w:r>
      <w:proofErr w:type="gramStart"/>
      <w:r w:rsidRPr="00316FF7">
        <w:rPr>
          <w:lang w:val="en-AU"/>
        </w:rPr>
        <w:t>i.e.</w:t>
      </w:r>
      <w:proofErr w:type="gramEnd"/>
      <w:r w:rsidRPr="00316FF7">
        <w:rPr>
          <w:lang w:val="en-AU"/>
        </w:rPr>
        <w:t xml:space="preserve"> </w:t>
      </w:r>
      <w:r w:rsidR="000D6459" w:rsidRPr="00316FF7">
        <w:rPr>
          <w:lang w:val="en-AU"/>
        </w:rPr>
        <w:t>luteinizing hormone</w:t>
      </w:r>
      <w:r w:rsidRPr="00316FF7">
        <w:rPr>
          <w:lang w:val="en-AU"/>
        </w:rPr>
        <w:t xml:space="preserve">, </w:t>
      </w:r>
      <w:r w:rsidR="00521F53" w:rsidRPr="00316FF7">
        <w:rPr>
          <w:lang w:val="en-AU"/>
        </w:rPr>
        <w:t>follicle-stimulating hormone</w:t>
      </w:r>
      <w:r w:rsidRPr="00316FF7">
        <w:rPr>
          <w:lang w:val="en-AU"/>
        </w:rPr>
        <w:t xml:space="preserve">, </w:t>
      </w:r>
      <w:r w:rsidR="002E199B" w:rsidRPr="00316FF7">
        <w:rPr>
          <w:lang w:val="en-AU"/>
        </w:rPr>
        <w:t>estradiol</w:t>
      </w:r>
      <w:r w:rsidRPr="00316FF7">
        <w:rPr>
          <w:lang w:val="en-AU"/>
        </w:rPr>
        <w:t xml:space="preserve">, progesterone), endometrial thickness, return to fertility, as well as safety and tolerability. Ovarian function was adequately suppressed in both groups. There was no difference between the </w:t>
      </w:r>
      <w:r w:rsidR="002A0E3F" w:rsidRPr="00316FF7">
        <w:rPr>
          <w:lang w:val="en-AU"/>
        </w:rPr>
        <w:t>E4</w:t>
      </w:r>
      <w:r w:rsidRPr="00316FF7">
        <w:rPr>
          <w:lang w:val="en-AU"/>
        </w:rPr>
        <w:t>/</w:t>
      </w:r>
      <w:r w:rsidR="007D346F" w:rsidRPr="00316FF7">
        <w:rPr>
          <w:lang w:val="en-AU"/>
        </w:rPr>
        <w:t xml:space="preserve">drospirenone </w:t>
      </w:r>
      <w:r w:rsidRPr="00316FF7">
        <w:rPr>
          <w:lang w:val="en-AU"/>
        </w:rPr>
        <w:t xml:space="preserve">and </w:t>
      </w:r>
      <w:r w:rsidR="00E612E8" w:rsidRPr="00316FF7">
        <w:rPr>
          <w:lang w:val="en-AU"/>
        </w:rPr>
        <w:t>ethinylestradiol</w:t>
      </w:r>
      <w:r w:rsidRPr="00316FF7">
        <w:rPr>
          <w:lang w:val="en-AU"/>
        </w:rPr>
        <w:t>/</w:t>
      </w:r>
      <w:r w:rsidR="007D346F" w:rsidRPr="00316FF7">
        <w:rPr>
          <w:lang w:val="en-AU"/>
        </w:rPr>
        <w:t xml:space="preserve">drospirenone </w:t>
      </w:r>
      <w:r w:rsidRPr="00316FF7">
        <w:rPr>
          <w:lang w:val="en-AU"/>
        </w:rPr>
        <w:t xml:space="preserve">treatment groups observed for endometrial thickness during the entire study. Return to ovulation was demonstrated for both COCs and occurred on average 15.5 and 18.1 days after intake of the last (inactive) tablet, for </w:t>
      </w:r>
      <w:r w:rsidR="002A0E3F" w:rsidRPr="00316FF7">
        <w:rPr>
          <w:lang w:val="en-AU"/>
        </w:rPr>
        <w:t>E4</w:t>
      </w:r>
      <w:r w:rsidRPr="00316FF7">
        <w:rPr>
          <w:lang w:val="en-AU"/>
        </w:rPr>
        <w:t>/</w:t>
      </w:r>
      <w:r w:rsidR="007D346F" w:rsidRPr="00316FF7">
        <w:rPr>
          <w:lang w:val="en-AU"/>
        </w:rPr>
        <w:t xml:space="preserve">drospirenone </w:t>
      </w:r>
      <w:r w:rsidRPr="00316FF7">
        <w:rPr>
          <w:lang w:val="en-AU"/>
        </w:rPr>
        <w:t xml:space="preserve">and </w:t>
      </w:r>
      <w:r w:rsidR="00E612E8" w:rsidRPr="00316FF7">
        <w:rPr>
          <w:lang w:val="en-AU"/>
        </w:rPr>
        <w:t>ethinylestradiol</w:t>
      </w:r>
      <w:r w:rsidRPr="00316FF7">
        <w:rPr>
          <w:lang w:val="en-AU"/>
        </w:rPr>
        <w:t>/</w:t>
      </w:r>
      <w:r w:rsidR="007D346F" w:rsidRPr="00316FF7">
        <w:rPr>
          <w:lang w:val="en-AU"/>
        </w:rPr>
        <w:t>drospirenone</w:t>
      </w:r>
      <w:r w:rsidRPr="00316FF7">
        <w:rPr>
          <w:lang w:val="en-AU"/>
        </w:rPr>
        <w:t>, respectively.</w:t>
      </w:r>
    </w:p>
    <w:p w14:paraId="580AB5EA" w14:textId="77777777" w:rsidR="00176E41" w:rsidRPr="00316FF7" w:rsidRDefault="00176E41" w:rsidP="00C13274">
      <w:pPr>
        <w:pStyle w:val="C-Heading4non-numbered"/>
        <w:rPr>
          <w:b w:val="0"/>
          <w:u w:val="single"/>
          <w:lang w:val="en-AU"/>
        </w:rPr>
      </w:pPr>
      <w:r w:rsidRPr="00316FF7">
        <w:rPr>
          <w:b w:val="0"/>
          <w:u w:val="single"/>
          <w:lang w:val="en-AU"/>
        </w:rPr>
        <w:t>Drug Interaction Studies</w:t>
      </w:r>
    </w:p>
    <w:p w14:paraId="23AEFEDF" w14:textId="27BEBF0E" w:rsidR="00E26437" w:rsidRPr="00316FF7" w:rsidRDefault="00176E41" w:rsidP="00E26437">
      <w:pPr>
        <w:pStyle w:val="C-BodyText"/>
        <w:rPr>
          <w:lang w:val="en-AU"/>
        </w:rPr>
      </w:pPr>
      <w:r w:rsidRPr="00316FF7">
        <w:rPr>
          <w:lang w:val="en-AU"/>
        </w:rPr>
        <w:t xml:space="preserve">See </w:t>
      </w:r>
      <w:r w:rsidRPr="00316FF7">
        <w:rPr>
          <w:i/>
          <w:lang w:val="en-AU"/>
        </w:rPr>
        <w:t>Effects of Combined Oral Contraceptives on Other Drugs</w:t>
      </w:r>
      <w:r w:rsidRPr="00316FF7">
        <w:rPr>
          <w:lang w:val="en-AU"/>
        </w:rPr>
        <w:t xml:space="preserve"> for </w:t>
      </w:r>
      <w:r w:rsidRPr="00316FF7">
        <w:rPr>
          <w:i/>
          <w:iCs/>
          <w:lang w:val="en-AU"/>
        </w:rPr>
        <w:t>in vitro</w:t>
      </w:r>
      <w:r w:rsidRPr="00316FF7">
        <w:rPr>
          <w:lang w:val="en-AU"/>
        </w:rPr>
        <w:t xml:space="preserve"> studies evaluating </w:t>
      </w:r>
      <w:r w:rsidR="002A0E3F" w:rsidRPr="00316FF7">
        <w:rPr>
          <w:lang w:val="en-AU"/>
        </w:rPr>
        <w:t>E4</w:t>
      </w:r>
      <w:r w:rsidRPr="00316FF7">
        <w:rPr>
          <w:lang w:val="en-AU"/>
        </w:rPr>
        <w:t xml:space="preserve"> inhibition of CYP enzymes.</w:t>
      </w:r>
      <w:r w:rsidR="00E26437" w:rsidRPr="00316FF7">
        <w:rPr>
          <w:lang w:val="en-AU"/>
        </w:rPr>
        <w:t xml:space="preserve"> </w:t>
      </w:r>
    </w:p>
    <w:p w14:paraId="0B746C6F" w14:textId="77777777" w:rsidR="00E26437" w:rsidRPr="00316FF7" w:rsidRDefault="00E26437" w:rsidP="00E26437">
      <w:pPr>
        <w:pStyle w:val="C-Heading5non-numbered"/>
        <w:tabs>
          <w:tab w:val="clear" w:pos="1080"/>
        </w:tabs>
        <w:ind w:left="0" w:firstLine="0"/>
        <w:rPr>
          <w:b w:val="0"/>
          <w:i/>
          <w:lang w:val="en-AU"/>
        </w:rPr>
      </w:pPr>
      <w:r w:rsidRPr="00316FF7">
        <w:rPr>
          <w:b w:val="0"/>
          <w:i/>
          <w:lang w:val="en-AU"/>
        </w:rPr>
        <w:lastRenderedPageBreak/>
        <w:t>Effects of Other Drugs on Combined Oral Contraceptives Substances Diminishing the Efficacy of COCs</w:t>
      </w:r>
    </w:p>
    <w:p w14:paraId="5FCCBCBE" w14:textId="05301CB9" w:rsidR="00176E41" w:rsidRPr="00316FF7" w:rsidRDefault="00176E41" w:rsidP="00E26437">
      <w:pPr>
        <w:pStyle w:val="C-BodyText"/>
        <w:rPr>
          <w:lang w:val="en-AU"/>
        </w:rPr>
      </w:pPr>
      <w:r w:rsidRPr="00316FF7">
        <w:rPr>
          <w:lang w:val="en-AU"/>
        </w:rPr>
        <w:t xml:space="preserve">An open-label crossover, clinical drug-drug interaction study was performed with </w:t>
      </w:r>
      <w:r w:rsidR="002A0E3F" w:rsidRPr="00316FF7">
        <w:rPr>
          <w:lang w:val="en-AU"/>
        </w:rPr>
        <w:t>E4</w:t>
      </w:r>
      <w:r w:rsidRPr="00316FF7">
        <w:rPr>
          <w:lang w:val="en-AU"/>
        </w:rPr>
        <w:t xml:space="preserve">/drospirenone and valproic acid, an </w:t>
      </w:r>
      <w:r w:rsidRPr="00316FF7">
        <w:rPr>
          <w:i/>
          <w:lang w:val="en-AU"/>
        </w:rPr>
        <w:t>in vivo</w:t>
      </w:r>
      <w:r w:rsidRPr="00316FF7">
        <w:rPr>
          <w:lang w:val="en-AU"/>
        </w:rPr>
        <w:t xml:space="preserve"> inhibitor of UGT2B7, to assess the clinical impact of UGT2B7 inhibition on exposure to </w:t>
      </w:r>
      <w:r w:rsidR="002A0E3F" w:rsidRPr="00316FF7">
        <w:rPr>
          <w:lang w:val="en-AU"/>
        </w:rPr>
        <w:t>E4</w:t>
      </w:r>
      <w:r w:rsidRPr="00316FF7">
        <w:rPr>
          <w:lang w:val="en-AU"/>
        </w:rPr>
        <w:t xml:space="preserve">, drospirenone and </w:t>
      </w:r>
      <w:r w:rsidR="002A0E3F" w:rsidRPr="00316FF7">
        <w:rPr>
          <w:lang w:val="en-AU"/>
        </w:rPr>
        <w:t>E4</w:t>
      </w:r>
      <w:r w:rsidRPr="00316FF7">
        <w:rPr>
          <w:lang w:val="en-AU"/>
        </w:rPr>
        <w:t xml:space="preserve">-glucuronide metabolites. Co-administration of the strong UGT2B7 inhibitor valproic acid with </w:t>
      </w:r>
      <w:r w:rsidR="002A0E3F" w:rsidRPr="00316FF7">
        <w:rPr>
          <w:lang w:val="en-AU"/>
        </w:rPr>
        <w:t>E4</w:t>
      </w:r>
      <w:r w:rsidRPr="00316FF7">
        <w:rPr>
          <w:lang w:val="en-AU"/>
        </w:rPr>
        <w:t>/drospirenone for 12 days increased the AUC</w:t>
      </w:r>
      <w:r w:rsidRPr="00316FF7">
        <w:rPr>
          <w:vertAlign w:val="subscript"/>
          <w:lang w:val="en-AU"/>
        </w:rPr>
        <w:t>(0-∞)</w:t>
      </w:r>
      <w:r w:rsidRPr="00316FF7">
        <w:rPr>
          <w:lang w:val="en-AU"/>
        </w:rPr>
        <w:t xml:space="preserve"> and C</w:t>
      </w:r>
      <w:r w:rsidRPr="00316FF7">
        <w:rPr>
          <w:vertAlign w:val="subscript"/>
          <w:lang w:val="en-AU"/>
        </w:rPr>
        <w:t>max</w:t>
      </w:r>
      <w:r w:rsidRPr="00316FF7">
        <w:rPr>
          <w:lang w:val="en-AU"/>
        </w:rPr>
        <w:t xml:space="preserve"> of </w:t>
      </w:r>
      <w:r w:rsidR="002A0E3F" w:rsidRPr="00316FF7">
        <w:rPr>
          <w:lang w:val="en-AU"/>
        </w:rPr>
        <w:t>E4</w:t>
      </w:r>
      <w:r w:rsidRPr="00316FF7">
        <w:rPr>
          <w:lang w:val="en-AU"/>
        </w:rPr>
        <w:t xml:space="preserve"> 1.13 and 1.36 fold, respectively, and did not impact drospirenone. These changes are considered of no clinical relevance.</w:t>
      </w:r>
    </w:p>
    <w:p w14:paraId="46149127" w14:textId="64506F82" w:rsidR="009B3382" w:rsidRPr="00316FF7" w:rsidRDefault="009B3382" w:rsidP="009D1DDF">
      <w:pPr>
        <w:pStyle w:val="C-Heading4non-numbered"/>
        <w:rPr>
          <w:b w:val="0"/>
          <w:lang w:val="en-AU"/>
        </w:rPr>
      </w:pPr>
      <w:r w:rsidRPr="00316FF7">
        <w:rPr>
          <w:b w:val="0"/>
          <w:u w:val="single"/>
          <w:lang w:val="en-AU"/>
        </w:rPr>
        <w:t>Pregnancy Prevention</w:t>
      </w:r>
    </w:p>
    <w:p w14:paraId="1E114D8D" w14:textId="3D82AC6D" w:rsidR="009B3382" w:rsidRPr="00316FF7" w:rsidRDefault="009B3382" w:rsidP="009B3382">
      <w:pPr>
        <w:pStyle w:val="C-BodyText"/>
        <w:rPr>
          <w:lang w:val="en-AU"/>
        </w:rPr>
      </w:pPr>
      <w:r w:rsidRPr="00316FF7">
        <w:rPr>
          <w:lang w:val="en-AU"/>
        </w:rPr>
        <w:t xml:space="preserve">The efficacy of </w:t>
      </w:r>
      <w:r w:rsidR="002A0E3F" w:rsidRPr="00316FF7">
        <w:rPr>
          <w:lang w:val="en-AU"/>
        </w:rPr>
        <w:t>E4</w:t>
      </w:r>
      <w:r w:rsidRPr="00316FF7">
        <w:rPr>
          <w:lang w:val="en-AU"/>
        </w:rPr>
        <w:t>/</w:t>
      </w:r>
      <w:r w:rsidR="007D346F" w:rsidRPr="00316FF7">
        <w:rPr>
          <w:lang w:val="en-AU"/>
        </w:rPr>
        <w:t xml:space="preserve">drospirenone </w:t>
      </w:r>
      <w:r w:rsidRPr="00316FF7">
        <w:rPr>
          <w:lang w:val="en-AU"/>
        </w:rPr>
        <w:t xml:space="preserve">was evaluated in two prospective, </w:t>
      </w:r>
      <w:r w:rsidR="00D77335" w:rsidRPr="00316FF7">
        <w:rPr>
          <w:lang w:val="en-AU"/>
        </w:rPr>
        <w:t>multicentre</w:t>
      </w:r>
      <w:r w:rsidRPr="00316FF7">
        <w:rPr>
          <w:lang w:val="en-AU"/>
        </w:rPr>
        <w:t xml:space="preserve">, open-label, single-arm studies, one in Europe/Russia (NCT02817828; C301) and one in North America (NCT02817841; C302). The efficacy population of the C301 was 1,313 women 18-35 years of age with 13,692 at-risk cycles, i.e. cycles with confirmed sexual intercourse and without use of </w:t>
      </w:r>
      <w:r w:rsidR="00AF2129" w:rsidRPr="00316FF7">
        <w:rPr>
          <w:lang w:val="en-AU"/>
        </w:rPr>
        <w:t>non-hormonal methods of</w:t>
      </w:r>
      <w:r w:rsidRPr="00316FF7">
        <w:rPr>
          <w:lang w:val="en-AU"/>
        </w:rPr>
        <w:t xml:space="preserve"> contraception. The efficacy population for the C302 </w:t>
      </w:r>
      <w:r w:rsidR="00170E96">
        <w:rPr>
          <w:lang w:val="en-AU"/>
        </w:rPr>
        <w:t>s</w:t>
      </w:r>
      <w:r w:rsidRPr="00316FF7">
        <w:rPr>
          <w:lang w:val="en-AU"/>
        </w:rPr>
        <w:t>tudy was 1,524 women 16-35 years of age with 12,763 at-risk cycles. In the European study the mean age was 25.0 years and mean BMI 22.88 kg/m</w:t>
      </w:r>
      <w:r w:rsidRPr="00316FF7">
        <w:rPr>
          <w:vertAlign w:val="superscript"/>
          <w:lang w:val="en-AU"/>
        </w:rPr>
        <w:t xml:space="preserve">2 </w:t>
      </w:r>
      <w:r w:rsidRPr="00316FF7">
        <w:rPr>
          <w:lang w:val="en-AU"/>
        </w:rPr>
        <w:t xml:space="preserve">and 98.6% </w:t>
      </w:r>
      <w:r w:rsidR="00FB7A9E" w:rsidRPr="00316FF7">
        <w:rPr>
          <w:lang w:val="en-AU"/>
        </w:rPr>
        <w:t>were</w:t>
      </w:r>
      <w:r w:rsidRPr="00316FF7">
        <w:rPr>
          <w:lang w:val="en-AU"/>
        </w:rPr>
        <w:t xml:space="preserve"> Caucasian, 0.6% Black, 0.7% Asian and 0.1% other. In the North American study, the mean age was 25.8 years and mean BMI 25.76 kg/m</w:t>
      </w:r>
      <w:r w:rsidRPr="00316FF7">
        <w:rPr>
          <w:vertAlign w:val="superscript"/>
          <w:lang w:val="en-AU"/>
        </w:rPr>
        <w:t>2</w:t>
      </w:r>
      <w:r w:rsidRPr="00316FF7">
        <w:rPr>
          <w:lang w:val="en-AU"/>
        </w:rPr>
        <w:t xml:space="preserve"> and women with a BMI ≥ 30 kg/m</w:t>
      </w:r>
      <w:r w:rsidRPr="00316FF7">
        <w:rPr>
          <w:vertAlign w:val="superscript"/>
          <w:lang w:val="en-AU"/>
        </w:rPr>
        <w:t>2</w:t>
      </w:r>
      <w:r w:rsidRPr="00316FF7">
        <w:rPr>
          <w:lang w:val="en-AU"/>
        </w:rPr>
        <w:t xml:space="preserve"> and ≤ 35 kg/m</w:t>
      </w:r>
      <w:r w:rsidRPr="00316FF7">
        <w:rPr>
          <w:vertAlign w:val="superscript"/>
          <w:lang w:val="en-AU"/>
        </w:rPr>
        <w:t>2</w:t>
      </w:r>
      <w:r w:rsidRPr="00316FF7">
        <w:rPr>
          <w:lang w:val="en-AU"/>
        </w:rPr>
        <w:t xml:space="preserve"> accounted for 23% of the study population. 70.1% w</w:t>
      </w:r>
      <w:r w:rsidR="00FB7A9E" w:rsidRPr="00316FF7">
        <w:rPr>
          <w:lang w:val="en-AU"/>
        </w:rPr>
        <w:t>ere</w:t>
      </w:r>
      <w:r w:rsidRPr="00316FF7">
        <w:rPr>
          <w:lang w:val="en-AU"/>
        </w:rPr>
        <w:t xml:space="preserve"> Caucasian, 19.5% Black or African American, 4.8% Asian, 0.9% American Indian or Alaska native, 0.4% Native Hawaiian or other Pacific Islander and 4.2% other. </w:t>
      </w:r>
    </w:p>
    <w:p w14:paraId="217F8C8D" w14:textId="5A7B6EEC" w:rsidR="008F199A" w:rsidRDefault="009B3382" w:rsidP="009B3382">
      <w:pPr>
        <w:pStyle w:val="C-BodyText"/>
        <w:rPr>
          <w:lang w:val="en-AU"/>
        </w:rPr>
      </w:pPr>
      <w:r w:rsidRPr="00316FF7">
        <w:rPr>
          <w:lang w:val="en-AU"/>
        </w:rPr>
        <w:t xml:space="preserve">In C301, there were 5 on-treatment pregnancies </w:t>
      </w:r>
      <w:r w:rsidR="00FB7A9E" w:rsidRPr="00316FF7">
        <w:rPr>
          <w:lang w:val="en-AU"/>
        </w:rPr>
        <w:t xml:space="preserve">that </w:t>
      </w:r>
      <w:r w:rsidRPr="00316FF7">
        <w:rPr>
          <w:lang w:val="en-AU"/>
        </w:rPr>
        <w:t>occurred in women aged 16 to 35 years, leading to a Pearl Index</w:t>
      </w:r>
      <w:r w:rsidR="006C18C3" w:rsidRPr="00316FF7">
        <w:rPr>
          <w:rStyle w:val="FootnoteReference"/>
          <w:lang w:val="en-AU"/>
        </w:rPr>
        <w:footnoteReference w:id="2"/>
      </w:r>
      <w:r w:rsidR="006C18C3" w:rsidRPr="00316FF7">
        <w:rPr>
          <w:lang w:val="en-AU"/>
        </w:rPr>
        <w:t xml:space="preserve"> </w:t>
      </w:r>
      <w:r w:rsidRPr="00316FF7">
        <w:rPr>
          <w:lang w:val="en-AU"/>
        </w:rPr>
        <w:t>(95% CI) of 0.47 (0.15, 1.11). In C302, there were 20 on-treatment pregnancies in women with BMI ≤ 35 kg/m</w:t>
      </w:r>
      <w:r w:rsidRPr="00316FF7">
        <w:rPr>
          <w:vertAlign w:val="superscript"/>
          <w:lang w:val="en-AU"/>
        </w:rPr>
        <w:t>2</w:t>
      </w:r>
      <w:r w:rsidRPr="00316FF7">
        <w:rPr>
          <w:lang w:val="en-AU"/>
        </w:rPr>
        <w:t xml:space="preserve"> and 6 on-treatment pregnancies in women with BMI ≥ 30 kg/m</w:t>
      </w:r>
      <w:r w:rsidRPr="00316FF7">
        <w:rPr>
          <w:vertAlign w:val="superscript"/>
          <w:lang w:val="en-AU"/>
        </w:rPr>
        <w:t>2</w:t>
      </w:r>
      <w:r w:rsidRPr="00316FF7">
        <w:rPr>
          <w:lang w:val="en-AU"/>
        </w:rPr>
        <w:t>, leading to an overall Pearl Index of 2.65 (1.73-3.88). Women with a BMI ≥ 30 kg/m</w:t>
      </w:r>
      <w:r w:rsidRPr="00316FF7">
        <w:rPr>
          <w:vertAlign w:val="superscript"/>
          <w:lang w:val="en-AU"/>
        </w:rPr>
        <w:t>2</w:t>
      </w:r>
      <w:r w:rsidRPr="00316FF7">
        <w:rPr>
          <w:lang w:val="en-AU"/>
        </w:rPr>
        <w:t xml:space="preserve"> and ≤ 35 kg/m</w:t>
      </w:r>
      <w:r w:rsidRPr="00316FF7">
        <w:rPr>
          <w:vertAlign w:val="superscript"/>
          <w:lang w:val="en-AU"/>
        </w:rPr>
        <w:t>2</w:t>
      </w:r>
      <w:r w:rsidRPr="00316FF7">
        <w:rPr>
          <w:lang w:val="en-AU"/>
        </w:rPr>
        <w:t xml:space="preserve"> accounted for 23% of the C302 study population.</w:t>
      </w:r>
    </w:p>
    <w:p w14:paraId="4C5B3DFB" w14:textId="39221453" w:rsidR="00446C50" w:rsidRPr="00316FF7" w:rsidRDefault="00446C50" w:rsidP="009B3382">
      <w:pPr>
        <w:pStyle w:val="C-BodyText"/>
        <w:rPr>
          <w:lang w:val="en-AU"/>
        </w:rPr>
      </w:pPr>
      <w:r>
        <w:rPr>
          <w:lang w:val="en-AU"/>
        </w:rPr>
        <w:t>The Pearl Indices reported in C301 and C302 are consistent with the Trussell J &amp; Portman D 2013</w:t>
      </w:r>
      <w:r w:rsidR="003932A6">
        <w:rPr>
          <w:rStyle w:val="FootnoteReference"/>
          <w:lang w:val="en-AU"/>
        </w:rPr>
        <w:footnoteReference w:id="3"/>
      </w:r>
      <w:r>
        <w:rPr>
          <w:lang w:val="en-AU"/>
        </w:rPr>
        <w:t xml:space="preserve"> efficacy charts.</w:t>
      </w:r>
    </w:p>
    <w:p w14:paraId="58A54BD8" w14:textId="56100108" w:rsidR="008F199A" w:rsidRPr="00316FF7" w:rsidRDefault="008F199A" w:rsidP="009B3382">
      <w:pPr>
        <w:pStyle w:val="C-BodyText"/>
        <w:rPr>
          <w:lang w:val="en-AU"/>
        </w:rPr>
      </w:pPr>
      <w:r w:rsidRPr="00316FF7">
        <w:rPr>
          <w:lang w:val="en-AU"/>
        </w:rPr>
        <w:t>In</w:t>
      </w:r>
      <w:r w:rsidR="0043639B" w:rsidRPr="00316FF7">
        <w:rPr>
          <w:lang w:val="en-AU"/>
        </w:rPr>
        <w:t xml:space="preserve"> a pooled analysis of</w:t>
      </w:r>
      <w:r w:rsidRPr="00316FF7">
        <w:rPr>
          <w:lang w:val="en-AU"/>
        </w:rPr>
        <w:t xml:space="preserve"> both C301 and C302, the combined efficacy population was 2,837 women with 26,455 at-risk cycles. There were 31 on-treatment pregnancies that occurred in women ≤ 35 years, leading to a Pearl Index (95% CI) of 1.52 (1.04, 2.16).</w:t>
      </w:r>
    </w:p>
    <w:p w14:paraId="1D609CAB" w14:textId="74370519" w:rsidR="0017348B" w:rsidRPr="00316FF7" w:rsidRDefault="0017348B" w:rsidP="0017348B">
      <w:pPr>
        <w:pStyle w:val="Caption"/>
        <w:rPr>
          <w:lang w:val="en-AU"/>
        </w:rPr>
      </w:pPr>
      <w:r w:rsidRPr="00316FF7">
        <w:rPr>
          <w:lang w:val="en-AU"/>
        </w:rPr>
        <w:lastRenderedPageBreak/>
        <w:t>Table </w:t>
      </w:r>
      <w:r w:rsidRPr="00316FF7">
        <w:rPr>
          <w:lang w:val="en-AU"/>
        </w:rPr>
        <w:fldChar w:fldCharType="begin"/>
      </w:r>
      <w:r w:rsidRPr="00316FF7">
        <w:rPr>
          <w:lang w:val="en-AU"/>
        </w:rPr>
        <w:instrText xml:space="preserve"> SEQ Table \* ARABIC \* MERGEFORMAT </w:instrText>
      </w:r>
      <w:r w:rsidRPr="00316FF7">
        <w:rPr>
          <w:lang w:val="en-AU"/>
        </w:rPr>
        <w:fldChar w:fldCharType="separate"/>
      </w:r>
      <w:r w:rsidR="008F199A" w:rsidRPr="00316FF7">
        <w:rPr>
          <w:noProof/>
          <w:lang w:val="en-AU"/>
        </w:rPr>
        <w:t>7</w:t>
      </w:r>
      <w:r w:rsidRPr="00316FF7">
        <w:rPr>
          <w:lang w:val="en-AU"/>
        </w:rPr>
        <w:fldChar w:fldCharType="end"/>
      </w:r>
      <w:r w:rsidRPr="00316FF7">
        <w:rPr>
          <w:lang w:val="en-AU"/>
        </w:rPr>
        <w:t>:</w:t>
      </w:r>
      <w:r w:rsidRPr="00316FF7">
        <w:rPr>
          <w:lang w:val="en-AU"/>
        </w:rPr>
        <w:tab/>
        <w:t xml:space="preserve">Pearl </w:t>
      </w:r>
      <w:r w:rsidR="004F0EDC" w:rsidRPr="00316FF7">
        <w:rPr>
          <w:lang w:val="en-AU"/>
        </w:rPr>
        <w:t>index based on at-risk cycles and reported pregnancies in women ≤ 35 years of age in s</w:t>
      </w:r>
      <w:r w:rsidRPr="00316FF7">
        <w:rPr>
          <w:lang w:val="en-AU"/>
        </w:rPr>
        <w:t xml:space="preserve">tudies C301 </w:t>
      </w:r>
      <w:r w:rsidR="003301C7" w:rsidRPr="00316FF7">
        <w:rPr>
          <w:lang w:val="en-AU"/>
        </w:rPr>
        <w:t xml:space="preserve">(Europe and Russia) </w:t>
      </w:r>
      <w:r w:rsidRPr="00316FF7">
        <w:rPr>
          <w:lang w:val="en-AU"/>
        </w:rPr>
        <w:t>and C302</w:t>
      </w:r>
      <w:r w:rsidR="003301C7" w:rsidRPr="00316FF7">
        <w:rPr>
          <w:lang w:val="en-AU"/>
        </w:rPr>
        <w:t xml:space="preserve"> (USA and Canada)</w:t>
      </w:r>
    </w:p>
    <w:tbl>
      <w:tblPr>
        <w:tblStyle w:val="C-Table"/>
        <w:tblW w:w="9531" w:type="dxa"/>
        <w:tblLook w:val="04A0" w:firstRow="1" w:lastRow="0" w:firstColumn="1" w:lastColumn="0" w:noHBand="0" w:noVBand="1"/>
      </w:tblPr>
      <w:tblGrid>
        <w:gridCol w:w="4937"/>
        <w:gridCol w:w="2297"/>
        <w:gridCol w:w="2297"/>
      </w:tblGrid>
      <w:tr w:rsidR="008F199A" w:rsidRPr="00316FF7" w14:paraId="18460DCA" w14:textId="77777777" w:rsidTr="008F199A">
        <w:trPr>
          <w:cantSplit w:val="0"/>
          <w:trHeight w:val="412"/>
          <w:tblHeader/>
        </w:trPr>
        <w:tc>
          <w:tcPr>
            <w:tcW w:w="4937" w:type="dxa"/>
          </w:tcPr>
          <w:p w14:paraId="64EEA765" w14:textId="05D902B5" w:rsidR="008F199A" w:rsidRPr="00316FF7" w:rsidRDefault="008F199A" w:rsidP="009B3382">
            <w:pPr>
              <w:pStyle w:val="C-TableHeader"/>
              <w:jc w:val="both"/>
              <w:rPr>
                <w:lang w:val="en-AU"/>
              </w:rPr>
            </w:pPr>
          </w:p>
        </w:tc>
        <w:tc>
          <w:tcPr>
            <w:tcW w:w="2297" w:type="dxa"/>
          </w:tcPr>
          <w:p w14:paraId="52C6E98B" w14:textId="1C6A988B" w:rsidR="006D5BFF" w:rsidRDefault="008F199A" w:rsidP="009B3382">
            <w:pPr>
              <w:pStyle w:val="C-TableHeader"/>
              <w:jc w:val="center"/>
              <w:rPr>
                <w:lang w:val="en-AU"/>
              </w:rPr>
            </w:pPr>
            <w:r w:rsidRPr="00316FF7">
              <w:rPr>
                <w:lang w:val="en-AU"/>
              </w:rPr>
              <w:t>NEXTSTELLIS</w:t>
            </w:r>
          </w:p>
          <w:p w14:paraId="3298A85B" w14:textId="5F0DAEAE" w:rsidR="008F199A" w:rsidRPr="00316FF7" w:rsidRDefault="008F199A" w:rsidP="009B3382">
            <w:pPr>
              <w:pStyle w:val="C-TableHeader"/>
              <w:jc w:val="center"/>
              <w:rPr>
                <w:lang w:val="en-AU"/>
              </w:rPr>
            </w:pPr>
            <w:r w:rsidRPr="00316FF7">
              <w:rPr>
                <w:lang w:val="en-AU"/>
              </w:rPr>
              <w:t>C301</w:t>
            </w:r>
          </w:p>
          <w:p w14:paraId="257F7CA8" w14:textId="5945F5D2" w:rsidR="008F199A" w:rsidRPr="00316FF7" w:rsidRDefault="008F199A" w:rsidP="009B3382">
            <w:pPr>
              <w:pStyle w:val="C-TableHeader"/>
              <w:jc w:val="center"/>
              <w:rPr>
                <w:lang w:val="en-AU"/>
              </w:rPr>
            </w:pPr>
            <w:r w:rsidRPr="00316FF7">
              <w:rPr>
                <w:lang w:val="en-AU"/>
              </w:rPr>
              <w:t>(n = 1,313)</w:t>
            </w:r>
          </w:p>
        </w:tc>
        <w:tc>
          <w:tcPr>
            <w:tcW w:w="2297" w:type="dxa"/>
          </w:tcPr>
          <w:p w14:paraId="2602946A" w14:textId="2AF34059" w:rsidR="006D5BFF" w:rsidRDefault="008F199A" w:rsidP="009B3382">
            <w:pPr>
              <w:pStyle w:val="C-TableHeader"/>
              <w:jc w:val="center"/>
              <w:rPr>
                <w:lang w:val="en-AU"/>
              </w:rPr>
            </w:pPr>
            <w:r w:rsidRPr="00316FF7">
              <w:rPr>
                <w:lang w:val="en-AU"/>
              </w:rPr>
              <w:t>NEXTSTELLIS</w:t>
            </w:r>
          </w:p>
          <w:p w14:paraId="26DE0B74" w14:textId="64DA6654" w:rsidR="008F199A" w:rsidRPr="00316FF7" w:rsidRDefault="008F199A" w:rsidP="009B3382">
            <w:pPr>
              <w:pStyle w:val="C-TableHeader"/>
              <w:jc w:val="center"/>
              <w:rPr>
                <w:lang w:val="en-AU"/>
              </w:rPr>
            </w:pPr>
            <w:r w:rsidRPr="00316FF7">
              <w:rPr>
                <w:lang w:val="en-AU"/>
              </w:rPr>
              <w:t>C302</w:t>
            </w:r>
          </w:p>
          <w:p w14:paraId="2F6A337D" w14:textId="4947269C" w:rsidR="008F199A" w:rsidRPr="00316FF7" w:rsidRDefault="008F199A" w:rsidP="009B3382">
            <w:pPr>
              <w:pStyle w:val="C-TableHeader"/>
              <w:jc w:val="center"/>
              <w:rPr>
                <w:lang w:val="en-AU"/>
              </w:rPr>
            </w:pPr>
            <w:r w:rsidRPr="00316FF7">
              <w:rPr>
                <w:lang w:val="en-AU"/>
              </w:rPr>
              <w:t>(n = 1,524)</w:t>
            </w:r>
          </w:p>
        </w:tc>
      </w:tr>
      <w:tr w:rsidR="008F199A" w:rsidRPr="00316FF7" w14:paraId="4FACC0BB" w14:textId="77777777" w:rsidTr="008F199A">
        <w:trPr>
          <w:cantSplit w:val="0"/>
          <w:trHeight w:val="192"/>
        </w:trPr>
        <w:tc>
          <w:tcPr>
            <w:tcW w:w="4937" w:type="dxa"/>
          </w:tcPr>
          <w:p w14:paraId="528BCDE2" w14:textId="77777777" w:rsidR="008F199A" w:rsidRPr="00316FF7" w:rsidRDefault="008F199A" w:rsidP="009B3382">
            <w:pPr>
              <w:pStyle w:val="C-TableText"/>
              <w:jc w:val="both"/>
              <w:rPr>
                <w:lang w:val="en-AU"/>
              </w:rPr>
            </w:pPr>
            <w:r w:rsidRPr="00316FF7">
              <w:rPr>
                <w:lang w:val="en-AU"/>
              </w:rPr>
              <w:t>Subjects with pregnancy, n (%)</w:t>
            </w:r>
          </w:p>
        </w:tc>
        <w:tc>
          <w:tcPr>
            <w:tcW w:w="2297" w:type="dxa"/>
          </w:tcPr>
          <w:p w14:paraId="5866263A" w14:textId="10A45A3A" w:rsidR="008F199A" w:rsidRPr="00316FF7" w:rsidRDefault="008F199A" w:rsidP="009B3382">
            <w:pPr>
              <w:pStyle w:val="C-TableText"/>
              <w:jc w:val="center"/>
              <w:rPr>
                <w:lang w:val="en-AU"/>
              </w:rPr>
            </w:pPr>
            <w:r w:rsidRPr="00316FF7">
              <w:rPr>
                <w:lang w:val="en-AU"/>
              </w:rPr>
              <w:t>5</w:t>
            </w:r>
          </w:p>
        </w:tc>
        <w:tc>
          <w:tcPr>
            <w:tcW w:w="2297" w:type="dxa"/>
          </w:tcPr>
          <w:p w14:paraId="61D551B7" w14:textId="77777777" w:rsidR="008F199A" w:rsidRPr="00316FF7" w:rsidRDefault="008F199A" w:rsidP="009B3382">
            <w:pPr>
              <w:pStyle w:val="C-TableText"/>
              <w:jc w:val="center"/>
              <w:rPr>
                <w:lang w:val="en-AU"/>
              </w:rPr>
            </w:pPr>
            <w:r w:rsidRPr="00316FF7">
              <w:rPr>
                <w:lang w:val="en-AU"/>
              </w:rPr>
              <w:t>26</w:t>
            </w:r>
          </w:p>
        </w:tc>
      </w:tr>
      <w:tr w:rsidR="008F199A" w:rsidRPr="00316FF7" w14:paraId="0F6B68CF" w14:textId="77777777" w:rsidTr="008F199A">
        <w:trPr>
          <w:cantSplit w:val="0"/>
          <w:trHeight w:val="299"/>
        </w:trPr>
        <w:tc>
          <w:tcPr>
            <w:tcW w:w="4937" w:type="dxa"/>
          </w:tcPr>
          <w:p w14:paraId="472AF82C" w14:textId="396EC989" w:rsidR="008F199A" w:rsidRPr="00316FF7" w:rsidRDefault="008F199A" w:rsidP="009B3382">
            <w:pPr>
              <w:pStyle w:val="C-TableText"/>
              <w:jc w:val="both"/>
              <w:rPr>
                <w:lang w:val="en-AU"/>
              </w:rPr>
            </w:pPr>
            <w:r w:rsidRPr="00316FF7">
              <w:rPr>
                <w:lang w:val="en-AU"/>
              </w:rPr>
              <w:t>Total number of evaluable at-risk cycles</w:t>
            </w:r>
          </w:p>
        </w:tc>
        <w:tc>
          <w:tcPr>
            <w:tcW w:w="2297" w:type="dxa"/>
          </w:tcPr>
          <w:p w14:paraId="567F86E6" w14:textId="2CD7038D" w:rsidR="008F199A" w:rsidRPr="00316FF7" w:rsidRDefault="008F199A" w:rsidP="009B3382">
            <w:pPr>
              <w:pStyle w:val="C-TableText"/>
              <w:jc w:val="center"/>
              <w:rPr>
                <w:lang w:val="en-AU"/>
              </w:rPr>
            </w:pPr>
            <w:r w:rsidRPr="00316FF7">
              <w:rPr>
                <w:lang w:val="en-AU"/>
              </w:rPr>
              <w:t>13,692</w:t>
            </w:r>
          </w:p>
        </w:tc>
        <w:tc>
          <w:tcPr>
            <w:tcW w:w="2297" w:type="dxa"/>
          </w:tcPr>
          <w:p w14:paraId="75671A5D" w14:textId="77777777" w:rsidR="008F199A" w:rsidRPr="00316FF7" w:rsidRDefault="008F199A" w:rsidP="009B3382">
            <w:pPr>
              <w:pStyle w:val="C-TableText"/>
              <w:jc w:val="center"/>
              <w:rPr>
                <w:lang w:val="en-AU"/>
              </w:rPr>
            </w:pPr>
            <w:r w:rsidRPr="00316FF7">
              <w:rPr>
                <w:lang w:val="en-AU"/>
              </w:rPr>
              <w:t>12,763</w:t>
            </w:r>
          </w:p>
        </w:tc>
      </w:tr>
      <w:tr w:rsidR="008F199A" w:rsidRPr="00316FF7" w14:paraId="4351484F" w14:textId="77777777" w:rsidTr="008F199A">
        <w:trPr>
          <w:cantSplit w:val="0"/>
          <w:trHeight w:val="299"/>
        </w:trPr>
        <w:tc>
          <w:tcPr>
            <w:tcW w:w="4937" w:type="dxa"/>
          </w:tcPr>
          <w:p w14:paraId="26A08CF7" w14:textId="778E5D59" w:rsidR="008F199A" w:rsidRPr="00316FF7" w:rsidRDefault="008F199A" w:rsidP="009B3382">
            <w:pPr>
              <w:pStyle w:val="C-TableText"/>
              <w:jc w:val="both"/>
              <w:rPr>
                <w:lang w:val="en-AU"/>
              </w:rPr>
            </w:pPr>
            <w:r w:rsidRPr="00316FF7">
              <w:rPr>
                <w:lang w:val="en-AU"/>
              </w:rPr>
              <w:t>Pearl Index for evaluable at-risk cycles</w:t>
            </w:r>
          </w:p>
        </w:tc>
        <w:tc>
          <w:tcPr>
            <w:tcW w:w="2297" w:type="dxa"/>
          </w:tcPr>
          <w:p w14:paraId="784CA94F" w14:textId="2C05F749" w:rsidR="008F199A" w:rsidRPr="00316FF7" w:rsidRDefault="008F199A" w:rsidP="009B3382">
            <w:pPr>
              <w:pStyle w:val="C-TableText"/>
              <w:jc w:val="center"/>
              <w:rPr>
                <w:lang w:val="en-AU"/>
              </w:rPr>
            </w:pPr>
            <w:r w:rsidRPr="00316FF7">
              <w:rPr>
                <w:lang w:val="en-AU"/>
              </w:rPr>
              <w:t>0.47</w:t>
            </w:r>
          </w:p>
        </w:tc>
        <w:tc>
          <w:tcPr>
            <w:tcW w:w="2297" w:type="dxa"/>
          </w:tcPr>
          <w:p w14:paraId="300823C7" w14:textId="77777777" w:rsidR="008F199A" w:rsidRPr="00316FF7" w:rsidRDefault="008F199A" w:rsidP="009B3382">
            <w:pPr>
              <w:pStyle w:val="C-TableText"/>
              <w:jc w:val="center"/>
              <w:rPr>
                <w:lang w:val="en-AU"/>
              </w:rPr>
            </w:pPr>
            <w:r w:rsidRPr="00316FF7">
              <w:rPr>
                <w:lang w:val="en-AU"/>
              </w:rPr>
              <w:t>2.65</w:t>
            </w:r>
          </w:p>
        </w:tc>
      </w:tr>
      <w:tr w:rsidR="008F199A" w:rsidRPr="00316FF7" w14:paraId="34FBBD5B" w14:textId="77777777" w:rsidTr="008F199A">
        <w:trPr>
          <w:cantSplit w:val="0"/>
          <w:trHeight w:val="193"/>
        </w:trPr>
        <w:tc>
          <w:tcPr>
            <w:tcW w:w="4937" w:type="dxa"/>
          </w:tcPr>
          <w:p w14:paraId="204FCF53" w14:textId="77777777" w:rsidR="008F199A" w:rsidRPr="00316FF7" w:rsidRDefault="008F199A" w:rsidP="009B3382">
            <w:pPr>
              <w:pStyle w:val="C-TableText"/>
              <w:jc w:val="both"/>
              <w:rPr>
                <w:lang w:val="en-AU"/>
              </w:rPr>
            </w:pPr>
            <w:r w:rsidRPr="00316FF7">
              <w:rPr>
                <w:lang w:val="en-AU"/>
              </w:rPr>
              <w:t>95% Confidence Interval for Pearl Index, Lower Limit, Upper Limit</w:t>
            </w:r>
          </w:p>
        </w:tc>
        <w:tc>
          <w:tcPr>
            <w:tcW w:w="2297" w:type="dxa"/>
          </w:tcPr>
          <w:p w14:paraId="30D167B7" w14:textId="39E7C190" w:rsidR="008F199A" w:rsidRPr="00316FF7" w:rsidRDefault="008F199A" w:rsidP="009B3382">
            <w:pPr>
              <w:pStyle w:val="C-TableText"/>
              <w:jc w:val="center"/>
              <w:rPr>
                <w:lang w:val="en-AU"/>
              </w:rPr>
            </w:pPr>
            <w:r w:rsidRPr="00316FF7">
              <w:rPr>
                <w:lang w:val="en-AU"/>
              </w:rPr>
              <w:t>0.15, 1.11</w:t>
            </w:r>
          </w:p>
        </w:tc>
        <w:tc>
          <w:tcPr>
            <w:tcW w:w="2297" w:type="dxa"/>
          </w:tcPr>
          <w:p w14:paraId="6C8492AC" w14:textId="77777777" w:rsidR="008F199A" w:rsidRPr="00316FF7" w:rsidRDefault="008F199A" w:rsidP="009B3382">
            <w:pPr>
              <w:pStyle w:val="C-TableText"/>
              <w:jc w:val="center"/>
              <w:rPr>
                <w:lang w:val="en-AU"/>
              </w:rPr>
            </w:pPr>
            <w:r w:rsidRPr="00316FF7">
              <w:rPr>
                <w:lang w:val="en-AU"/>
              </w:rPr>
              <w:t>1.73, 3.88</w:t>
            </w:r>
          </w:p>
        </w:tc>
      </w:tr>
    </w:tbl>
    <w:p w14:paraId="389C230D" w14:textId="77777777" w:rsidR="005E5187" w:rsidRPr="00316FF7" w:rsidRDefault="005E5187" w:rsidP="00BA6C56">
      <w:pPr>
        <w:pStyle w:val="C-Heading4non-numbered"/>
        <w:rPr>
          <w:b w:val="0"/>
          <w:u w:val="single"/>
          <w:lang w:val="en-AU"/>
        </w:rPr>
      </w:pPr>
      <w:r w:rsidRPr="00316FF7">
        <w:rPr>
          <w:b w:val="0"/>
          <w:u w:val="single"/>
          <w:lang w:val="en-AU"/>
        </w:rPr>
        <w:t>Effect on Bleeding Patterns</w:t>
      </w:r>
    </w:p>
    <w:p w14:paraId="240C3E0F" w14:textId="17182834" w:rsidR="00374001" w:rsidRPr="00316FF7" w:rsidRDefault="005E5187" w:rsidP="00C03E8A">
      <w:pPr>
        <w:pStyle w:val="C-BodyText"/>
        <w:rPr>
          <w:b/>
          <w:bCs/>
          <w:szCs w:val="24"/>
          <w:lang w:val="en-AU"/>
        </w:rPr>
      </w:pPr>
      <w:r w:rsidRPr="00316FF7">
        <w:rPr>
          <w:lang w:val="en-AU"/>
        </w:rPr>
        <w:t xml:space="preserve">The bleeding pattern with </w:t>
      </w:r>
      <w:r w:rsidR="00F12FE1" w:rsidRPr="00316FF7">
        <w:rPr>
          <w:lang w:val="en-AU"/>
        </w:rPr>
        <w:t>NEXTSTELLIS</w:t>
      </w:r>
      <w:r w:rsidRPr="00316FF7">
        <w:rPr>
          <w:lang w:val="en-AU"/>
        </w:rPr>
        <w:t xml:space="preserve"> was assessed systematically using patient diaries in Studies C301 and C302 and was characteri</w:t>
      </w:r>
      <w:r w:rsidR="00D77335" w:rsidRPr="00316FF7">
        <w:rPr>
          <w:lang w:val="en-AU"/>
        </w:rPr>
        <w:t>s</w:t>
      </w:r>
      <w:r w:rsidRPr="00316FF7">
        <w:rPr>
          <w:lang w:val="en-AU"/>
        </w:rPr>
        <w:t xml:space="preserve">ed by predictable withdrawal bleeds and low occurrence of bleeding irregularities </w:t>
      </w:r>
      <w:r w:rsidR="00806558" w:rsidRPr="00316FF7">
        <w:rPr>
          <w:lang w:val="en-AU"/>
        </w:rPr>
        <w:t xml:space="preserve">(see </w:t>
      </w:r>
      <w:r w:rsidR="00806558" w:rsidRPr="00316FF7">
        <w:rPr>
          <w:i/>
          <w:lang w:val="en-AU"/>
        </w:rPr>
        <w:t>section 4.4 Special Warnings and Precautions for Use</w:t>
      </w:r>
      <w:r w:rsidR="00806558" w:rsidRPr="00316FF7">
        <w:rPr>
          <w:lang w:val="en-AU"/>
        </w:rPr>
        <w:t>).</w:t>
      </w:r>
    </w:p>
    <w:p w14:paraId="1415D8EF" w14:textId="03A7C6A6" w:rsidR="00C36F56" w:rsidRPr="00316FF7" w:rsidRDefault="008F199A" w:rsidP="008F199A">
      <w:pPr>
        <w:pStyle w:val="Caption"/>
        <w:rPr>
          <w:lang w:val="en-AU"/>
        </w:rPr>
      </w:pPr>
      <w:r w:rsidRPr="00316FF7">
        <w:rPr>
          <w:lang w:val="en-AU"/>
        </w:rPr>
        <w:t xml:space="preserve">Table </w:t>
      </w:r>
      <w:r w:rsidRPr="00316FF7">
        <w:rPr>
          <w:lang w:val="en-AU"/>
        </w:rPr>
        <w:fldChar w:fldCharType="begin"/>
      </w:r>
      <w:r w:rsidRPr="00316FF7">
        <w:rPr>
          <w:lang w:val="en-AU"/>
        </w:rPr>
        <w:instrText xml:space="preserve"> SEQ Table \* ARABIC </w:instrText>
      </w:r>
      <w:r w:rsidRPr="00316FF7">
        <w:rPr>
          <w:lang w:val="en-AU"/>
        </w:rPr>
        <w:fldChar w:fldCharType="separate"/>
      </w:r>
      <w:r w:rsidRPr="00316FF7">
        <w:rPr>
          <w:noProof/>
          <w:lang w:val="en-AU"/>
        </w:rPr>
        <w:t>8</w:t>
      </w:r>
      <w:r w:rsidRPr="00316FF7">
        <w:rPr>
          <w:lang w:val="en-AU"/>
        </w:rPr>
        <w:fldChar w:fldCharType="end"/>
      </w:r>
      <w:r w:rsidRPr="00316FF7">
        <w:rPr>
          <w:lang w:val="en-AU"/>
        </w:rPr>
        <w:t>:</w:t>
      </w:r>
      <w:r w:rsidRPr="00316FF7">
        <w:rPr>
          <w:lang w:val="en-AU"/>
        </w:rPr>
        <w:tab/>
      </w:r>
      <w:r w:rsidR="00C36F56" w:rsidRPr="00316FF7">
        <w:rPr>
          <w:lang w:val="en-AU"/>
        </w:rPr>
        <w:t xml:space="preserve">Adult </w:t>
      </w:r>
      <w:r w:rsidR="004F0EDC" w:rsidRPr="00316FF7">
        <w:rPr>
          <w:lang w:val="en-AU"/>
        </w:rPr>
        <w:t>women with scheduled and unscheduled bleeding or spotting</w:t>
      </w:r>
    </w:p>
    <w:tbl>
      <w:tblPr>
        <w:tblStyle w:val="C-Table"/>
        <w:tblW w:w="9490" w:type="dxa"/>
        <w:tblLayout w:type="fixed"/>
        <w:tblLook w:val="04A0" w:firstRow="1" w:lastRow="0" w:firstColumn="1" w:lastColumn="0" w:noHBand="0" w:noVBand="1"/>
      </w:tblPr>
      <w:tblGrid>
        <w:gridCol w:w="843"/>
        <w:gridCol w:w="1276"/>
        <w:gridCol w:w="892"/>
        <w:gridCol w:w="1234"/>
        <w:gridCol w:w="935"/>
        <w:gridCol w:w="1333"/>
        <w:gridCol w:w="850"/>
        <w:gridCol w:w="1276"/>
        <w:gridCol w:w="851"/>
      </w:tblGrid>
      <w:tr w:rsidR="00C36F56" w:rsidRPr="00316FF7" w14:paraId="479876C0" w14:textId="77777777" w:rsidTr="00374001">
        <w:trPr>
          <w:cantSplit w:val="0"/>
          <w:trHeight w:val="158"/>
          <w:tblHeader/>
        </w:trPr>
        <w:tc>
          <w:tcPr>
            <w:tcW w:w="843" w:type="dxa"/>
          </w:tcPr>
          <w:p w14:paraId="268C3140" w14:textId="77777777" w:rsidR="00C36F56" w:rsidRPr="00316FF7" w:rsidRDefault="00C36F56" w:rsidP="00C36F56">
            <w:pPr>
              <w:pStyle w:val="C-TableHeader"/>
              <w:jc w:val="both"/>
              <w:rPr>
                <w:lang w:val="en-AU"/>
              </w:rPr>
            </w:pPr>
          </w:p>
        </w:tc>
        <w:tc>
          <w:tcPr>
            <w:tcW w:w="4337" w:type="dxa"/>
            <w:gridSpan w:val="4"/>
          </w:tcPr>
          <w:p w14:paraId="6B4A189F" w14:textId="77777777" w:rsidR="00C36F56" w:rsidRPr="00316FF7" w:rsidRDefault="00C36F56" w:rsidP="00C36F56">
            <w:pPr>
              <w:pStyle w:val="C-TableHeader"/>
              <w:jc w:val="center"/>
              <w:rPr>
                <w:lang w:val="en-AU"/>
              </w:rPr>
            </w:pPr>
            <w:r w:rsidRPr="00316FF7">
              <w:rPr>
                <w:lang w:val="en-AU"/>
              </w:rPr>
              <w:t>Scheduled</w:t>
            </w:r>
          </w:p>
        </w:tc>
        <w:tc>
          <w:tcPr>
            <w:tcW w:w="4310" w:type="dxa"/>
            <w:gridSpan w:val="4"/>
          </w:tcPr>
          <w:p w14:paraId="149F8AB1" w14:textId="77777777" w:rsidR="00C36F56" w:rsidRPr="00316FF7" w:rsidRDefault="00C36F56" w:rsidP="00C36F56">
            <w:pPr>
              <w:pStyle w:val="C-TableHeader"/>
              <w:jc w:val="center"/>
              <w:rPr>
                <w:lang w:val="en-AU"/>
              </w:rPr>
            </w:pPr>
            <w:r w:rsidRPr="00316FF7">
              <w:rPr>
                <w:lang w:val="en-AU"/>
              </w:rPr>
              <w:t>Unscheduled</w:t>
            </w:r>
          </w:p>
        </w:tc>
      </w:tr>
      <w:tr w:rsidR="00374001" w:rsidRPr="00316FF7" w14:paraId="389BFEAB" w14:textId="77777777" w:rsidTr="008F199A">
        <w:trPr>
          <w:cantSplit w:val="0"/>
          <w:trHeight w:val="65"/>
        </w:trPr>
        <w:tc>
          <w:tcPr>
            <w:tcW w:w="843" w:type="dxa"/>
          </w:tcPr>
          <w:p w14:paraId="3F108468" w14:textId="77777777" w:rsidR="00C36F56" w:rsidRPr="00316FF7" w:rsidRDefault="00C36F56" w:rsidP="00C36F56">
            <w:pPr>
              <w:pStyle w:val="C-TableText"/>
              <w:jc w:val="both"/>
              <w:rPr>
                <w:b/>
                <w:lang w:val="en-AU"/>
              </w:rPr>
            </w:pPr>
          </w:p>
        </w:tc>
        <w:tc>
          <w:tcPr>
            <w:tcW w:w="1276" w:type="dxa"/>
          </w:tcPr>
          <w:p w14:paraId="77B46FC1" w14:textId="77777777" w:rsidR="00C36F56" w:rsidRPr="00316FF7" w:rsidRDefault="00C36F56" w:rsidP="00C36F56">
            <w:pPr>
              <w:pStyle w:val="C-TableText"/>
              <w:jc w:val="both"/>
              <w:rPr>
                <w:lang w:val="en-AU"/>
              </w:rPr>
            </w:pPr>
            <w:r w:rsidRPr="00316FF7">
              <w:rPr>
                <w:lang w:val="en-AU"/>
              </w:rPr>
              <w:t>C301</w:t>
            </w:r>
          </w:p>
        </w:tc>
        <w:tc>
          <w:tcPr>
            <w:tcW w:w="892" w:type="dxa"/>
          </w:tcPr>
          <w:p w14:paraId="6030477B" w14:textId="77777777" w:rsidR="00C36F56" w:rsidRPr="00316FF7" w:rsidRDefault="00C36F56" w:rsidP="00C36F56">
            <w:pPr>
              <w:pStyle w:val="C-TableText"/>
              <w:jc w:val="both"/>
              <w:rPr>
                <w:lang w:val="en-AU"/>
              </w:rPr>
            </w:pPr>
            <w:r w:rsidRPr="00316FF7">
              <w:rPr>
                <w:lang w:val="en-AU"/>
              </w:rPr>
              <w:t>C301</w:t>
            </w:r>
          </w:p>
        </w:tc>
        <w:tc>
          <w:tcPr>
            <w:tcW w:w="1234" w:type="dxa"/>
          </w:tcPr>
          <w:p w14:paraId="37332A01" w14:textId="77777777" w:rsidR="00C36F56" w:rsidRPr="00316FF7" w:rsidRDefault="00C36F56" w:rsidP="00C36F56">
            <w:pPr>
              <w:pStyle w:val="C-TableText"/>
              <w:jc w:val="both"/>
              <w:rPr>
                <w:lang w:val="en-AU"/>
              </w:rPr>
            </w:pPr>
            <w:r w:rsidRPr="00316FF7">
              <w:rPr>
                <w:lang w:val="en-AU"/>
              </w:rPr>
              <w:t>C302</w:t>
            </w:r>
          </w:p>
        </w:tc>
        <w:tc>
          <w:tcPr>
            <w:tcW w:w="935" w:type="dxa"/>
          </w:tcPr>
          <w:p w14:paraId="40DF268E" w14:textId="77777777" w:rsidR="00C36F56" w:rsidRPr="00316FF7" w:rsidRDefault="00C36F56" w:rsidP="00C36F56">
            <w:pPr>
              <w:pStyle w:val="C-TableText"/>
              <w:jc w:val="center"/>
              <w:rPr>
                <w:lang w:val="en-AU"/>
              </w:rPr>
            </w:pPr>
            <w:r w:rsidRPr="00316FF7">
              <w:rPr>
                <w:lang w:val="en-AU"/>
              </w:rPr>
              <w:t>C302</w:t>
            </w:r>
          </w:p>
        </w:tc>
        <w:tc>
          <w:tcPr>
            <w:tcW w:w="1333" w:type="dxa"/>
          </w:tcPr>
          <w:p w14:paraId="4BD6E649" w14:textId="77777777" w:rsidR="00C36F56" w:rsidRPr="00316FF7" w:rsidRDefault="00C36F56" w:rsidP="00C36F56">
            <w:pPr>
              <w:pStyle w:val="C-TableText"/>
              <w:jc w:val="center"/>
              <w:rPr>
                <w:lang w:val="en-AU"/>
              </w:rPr>
            </w:pPr>
            <w:r w:rsidRPr="00316FF7">
              <w:rPr>
                <w:lang w:val="en-AU"/>
              </w:rPr>
              <w:t>C301</w:t>
            </w:r>
          </w:p>
        </w:tc>
        <w:tc>
          <w:tcPr>
            <w:tcW w:w="850" w:type="dxa"/>
          </w:tcPr>
          <w:p w14:paraId="0E4D4A0D" w14:textId="77777777" w:rsidR="00C36F56" w:rsidRPr="00316FF7" w:rsidRDefault="00C36F56" w:rsidP="00C36F56">
            <w:pPr>
              <w:pStyle w:val="C-TableText"/>
              <w:jc w:val="center"/>
              <w:rPr>
                <w:lang w:val="en-AU"/>
              </w:rPr>
            </w:pPr>
            <w:r w:rsidRPr="00316FF7">
              <w:rPr>
                <w:lang w:val="en-AU"/>
              </w:rPr>
              <w:t>C301</w:t>
            </w:r>
          </w:p>
        </w:tc>
        <w:tc>
          <w:tcPr>
            <w:tcW w:w="1276" w:type="dxa"/>
          </w:tcPr>
          <w:p w14:paraId="461E8BCB" w14:textId="77777777" w:rsidR="00C36F56" w:rsidRPr="00316FF7" w:rsidRDefault="00C36F56" w:rsidP="00C36F56">
            <w:pPr>
              <w:pStyle w:val="C-TableText"/>
              <w:jc w:val="center"/>
              <w:rPr>
                <w:lang w:val="en-AU"/>
              </w:rPr>
            </w:pPr>
            <w:r w:rsidRPr="00316FF7">
              <w:rPr>
                <w:lang w:val="en-AU"/>
              </w:rPr>
              <w:t>C302</w:t>
            </w:r>
          </w:p>
        </w:tc>
        <w:tc>
          <w:tcPr>
            <w:tcW w:w="851" w:type="dxa"/>
          </w:tcPr>
          <w:p w14:paraId="1CE5D7FE" w14:textId="77777777" w:rsidR="00C36F56" w:rsidRPr="00316FF7" w:rsidRDefault="00C36F56" w:rsidP="00C36F56">
            <w:pPr>
              <w:pStyle w:val="C-TableText"/>
              <w:jc w:val="center"/>
              <w:rPr>
                <w:lang w:val="en-AU"/>
              </w:rPr>
            </w:pPr>
            <w:r w:rsidRPr="00316FF7">
              <w:rPr>
                <w:lang w:val="en-AU"/>
              </w:rPr>
              <w:t>C302</w:t>
            </w:r>
          </w:p>
        </w:tc>
      </w:tr>
      <w:tr w:rsidR="00374001" w:rsidRPr="00316FF7" w14:paraId="75AF93BE" w14:textId="77777777" w:rsidTr="008F199A">
        <w:trPr>
          <w:cantSplit w:val="0"/>
          <w:trHeight w:val="685"/>
        </w:trPr>
        <w:tc>
          <w:tcPr>
            <w:tcW w:w="843" w:type="dxa"/>
          </w:tcPr>
          <w:p w14:paraId="5385C654" w14:textId="77777777" w:rsidR="00374001" w:rsidRPr="00316FF7" w:rsidRDefault="00374001" w:rsidP="00374001">
            <w:pPr>
              <w:pStyle w:val="C-TableText"/>
              <w:jc w:val="both"/>
              <w:rPr>
                <w:lang w:val="en-AU"/>
              </w:rPr>
            </w:pPr>
            <w:r w:rsidRPr="00316FF7">
              <w:rPr>
                <w:lang w:val="en-AU"/>
              </w:rPr>
              <w:t>Cycle</w:t>
            </w:r>
          </w:p>
        </w:tc>
        <w:tc>
          <w:tcPr>
            <w:tcW w:w="1276" w:type="dxa"/>
          </w:tcPr>
          <w:p w14:paraId="4E16670C" w14:textId="795D3EBB" w:rsidR="00374001" w:rsidRPr="00316FF7" w:rsidRDefault="00374001" w:rsidP="00374001">
            <w:pPr>
              <w:pStyle w:val="C-TableText"/>
              <w:jc w:val="both"/>
              <w:rPr>
                <w:vertAlign w:val="superscript"/>
                <w:lang w:val="en-AU"/>
              </w:rPr>
            </w:pPr>
            <w:r w:rsidRPr="00316FF7">
              <w:rPr>
                <w:lang w:val="en-AU"/>
              </w:rPr>
              <w:t>n/</w:t>
            </w:r>
            <w:r w:rsidR="00BD2180" w:rsidRPr="00316FF7">
              <w:rPr>
                <w:lang w:val="en-AU"/>
              </w:rPr>
              <w:t>N</w:t>
            </w:r>
            <w:r w:rsidRPr="00316FF7">
              <w:rPr>
                <w:vertAlign w:val="superscript"/>
                <w:lang w:val="en-AU"/>
              </w:rPr>
              <w:t>1</w:t>
            </w:r>
          </w:p>
        </w:tc>
        <w:tc>
          <w:tcPr>
            <w:tcW w:w="892" w:type="dxa"/>
          </w:tcPr>
          <w:p w14:paraId="4DDACCA4" w14:textId="7334E852" w:rsidR="00374001" w:rsidRPr="00316FF7" w:rsidRDefault="00374001" w:rsidP="00374001">
            <w:pPr>
              <w:pStyle w:val="C-TableText"/>
              <w:jc w:val="both"/>
              <w:rPr>
                <w:vertAlign w:val="superscript"/>
                <w:lang w:val="en-AU"/>
              </w:rPr>
            </w:pPr>
            <w:r w:rsidRPr="00316FF7">
              <w:rPr>
                <w:lang w:val="en-AU"/>
              </w:rPr>
              <w:t>Rate</w:t>
            </w:r>
            <w:r w:rsidRPr="00316FF7">
              <w:rPr>
                <w:vertAlign w:val="superscript"/>
                <w:lang w:val="en-AU"/>
              </w:rPr>
              <w:t xml:space="preserve"> </w:t>
            </w:r>
            <w:r w:rsidRPr="00316FF7">
              <w:rPr>
                <w:lang w:val="en-AU"/>
              </w:rPr>
              <w:t>(%)</w:t>
            </w:r>
          </w:p>
        </w:tc>
        <w:tc>
          <w:tcPr>
            <w:tcW w:w="1234" w:type="dxa"/>
          </w:tcPr>
          <w:p w14:paraId="5DE982E6" w14:textId="4FC187BA" w:rsidR="00374001" w:rsidRPr="00316FF7" w:rsidRDefault="00374001" w:rsidP="00374001">
            <w:pPr>
              <w:pStyle w:val="C-TableText"/>
              <w:jc w:val="both"/>
              <w:rPr>
                <w:lang w:val="en-AU"/>
              </w:rPr>
            </w:pPr>
            <w:r w:rsidRPr="00316FF7">
              <w:rPr>
                <w:lang w:val="en-AU"/>
              </w:rPr>
              <w:t>n/</w:t>
            </w:r>
            <w:r w:rsidR="00BD2180" w:rsidRPr="00316FF7">
              <w:rPr>
                <w:lang w:val="en-AU"/>
              </w:rPr>
              <w:t>N</w:t>
            </w:r>
            <w:r w:rsidRPr="00316FF7">
              <w:rPr>
                <w:vertAlign w:val="superscript"/>
                <w:lang w:val="en-AU"/>
              </w:rPr>
              <w:t>1</w:t>
            </w:r>
          </w:p>
        </w:tc>
        <w:tc>
          <w:tcPr>
            <w:tcW w:w="935" w:type="dxa"/>
          </w:tcPr>
          <w:p w14:paraId="208C7466" w14:textId="4E80C0D0" w:rsidR="00374001" w:rsidRPr="00316FF7" w:rsidRDefault="00374001" w:rsidP="00374001">
            <w:pPr>
              <w:pStyle w:val="C-TableText"/>
              <w:jc w:val="center"/>
              <w:rPr>
                <w:lang w:val="en-AU"/>
              </w:rPr>
            </w:pPr>
            <w:r w:rsidRPr="00316FF7">
              <w:rPr>
                <w:lang w:val="en-AU"/>
              </w:rPr>
              <w:t>Rate</w:t>
            </w:r>
            <w:r w:rsidRPr="00316FF7">
              <w:rPr>
                <w:vertAlign w:val="superscript"/>
                <w:lang w:val="en-AU"/>
              </w:rPr>
              <w:t xml:space="preserve"> </w:t>
            </w:r>
            <w:r w:rsidRPr="00316FF7">
              <w:rPr>
                <w:lang w:val="en-AU"/>
              </w:rPr>
              <w:t>(%)</w:t>
            </w:r>
          </w:p>
        </w:tc>
        <w:tc>
          <w:tcPr>
            <w:tcW w:w="1333" w:type="dxa"/>
          </w:tcPr>
          <w:p w14:paraId="475A410D" w14:textId="3C71C806" w:rsidR="00374001" w:rsidRPr="00316FF7" w:rsidRDefault="00374001" w:rsidP="00374001">
            <w:pPr>
              <w:pStyle w:val="C-TableText"/>
              <w:jc w:val="center"/>
              <w:rPr>
                <w:lang w:val="en-AU"/>
              </w:rPr>
            </w:pPr>
            <w:r w:rsidRPr="00316FF7">
              <w:rPr>
                <w:lang w:val="en-AU"/>
              </w:rPr>
              <w:t>n/</w:t>
            </w:r>
            <w:r w:rsidR="00BD2180" w:rsidRPr="00316FF7">
              <w:rPr>
                <w:lang w:val="en-AU"/>
              </w:rPr>
              <w:t>N</w:t>
            </w:r>
            <w:r w:rsidRPr="00316FF7">
              <w:rPr>
                <w:vertAlign w:val="superscript"/>
                <w:lang w:val="en-AU"/>
              </w:rPr>
              <w:t>1</w:t>
            </w:r>
          </w:p>
        </w:tc>
        <w:tc>
          <w:tcPr>
            <w:tcW w:w="850" w:type="dxa"/>
          </w:tcPr>
          <w:p w14:paraId="6C7E5AF3" w14:textId="74136D90" w:rsidR="00374001" w:rsidRPr="00316FF7" w:rsidRDefault="00374001" w:rsidP="00374001">
            <w:pPr>
              <w:pStyle w:val="C-TableText"/>
              <w:jc w:val="center"/>
              <w:rPr>
                <w:lang w:val="en-AU"/>
              </w:rPr>
            </w:pPr>
            <w:r w:rsidRPr="00316FF7">
              <w:rPr>
                <w:lang w:val="en-AU"/>
              </w:rPr>
              <w:t>Rate</w:t>
            </w:r>
            <w:r w:rsidRPr="00316FF7">
              <w:rPr>
                <w:vertAlign w:val="superscript"/>
                <w:lang w:val="en-AU"/>
              </w:rPr>
              <w:t xml:space="preserve"> </w:t>
            </w:r>
            <w:r w:rsidRPr="00316FF7">
              <w:rPr>
                <w:lang w:val="en-AU"/>
              </w:rPr>
              <w:t>(%)</w:t>
            </w:r>
          </w:p>
        </w:tc>
        <w:tc>
          <w:tcPr>
            <w:tcW w:w="1276" w:type="dxa"/>
          </w:tcPr>
          <w:p w14:paraId="46740434" w14:textId="285F0FEB" w:rsidR="00374001" w:rsidRPr="00316FF7" w:rsidRDefault="00374001" w:rsidP="00374001">
            <w:pPr>
              <w:pStyle w:val="C-TableText"/>
              <w:jc w:val="center"/>
              <w:rPr>
                <w:lang w:val="en-AU"/>
              </w:rPr>
            </w:pPr>
            <w:r w:rsidRPr="00316FF7">
              <w:rPr>
                <w:lang w:val="en-AU"/>
              </w:rPr>
              <w:t>n/</w:t>
            </w:r>
            <w:r w:rsidR="00BD2180" w:rsidRPr="00316FF7">
              <w:rPr>
                <w:lang w:val="en-AU"/>
              </w:rPr>
              <w:t>N</w:t>
            </w:r>
            <w:r w:rsidRPr="00316FF7">
              <w:rPr>
                <w:vertAlign w:val="superscript"/>
                <w:lang w:val="en-AU"/>
              </w:rPr>
              <w:t>1</w:t>
            </w:r>
          </w:p>
        </w:tc>
        <w:tc>
          <w:tcPr>
            <w:tcW w:w="851" w:type="dxa"/>
          </w:tcPr>
          <w:p w14:paraId="6BD21654" w14:textId="61F285B5" w:rsidR="00374001" w:rsidRPr="00316FF7" w:rsidRDefault="00374001" w:rsidP="00374001">
            <w:pPr>
              <w:pStyle w:val="C-TableText"/>
              <w:jc w:val="center"/>
              <w:rPr>
                <w:lang w:val="en-AU"/>
              </w:rPr>
            </w:pPr>
            <w:r w:rsidRPr="00316FF7">
              <w:rPr>
                <w:lang w:val="en-AU"/>
              </w:rPr>
              <w:t>Rate</w:t>
            </w:r>
            <w:r w:rsidRPr="00316FF7">
              <w:rPr>
                <w:vertAlign w:val="superscript"/>
                <w:lang w:val="en-AU"/>
              </w:rPr>
              <w:t xml:space="preserve"> </w:t>
            </w:r>
            <w:r w:rsidRPr="00316FF7">
              <w:rPr>
                <w:lang w:val="en-AU"/>
              </w:rPr>
              <w:t>(%)</w:t>
            </w:r>
          </w:p>
        </w:tc>
      </w:tr>
      <w:tr w:rsidR="00374001" w:rsidRPr="00316FF7" w14:paraId="01D55748" w14:textId="77777777" w:rsidTr="008F199A">
        <w:trPr>
          <w:cantSplit w:val="0"/>
          <w:trHeight w:val="161"/>
        </w:trPr>
        <w:tc>
          <w:tcPr>
            <w:tcW w:w="843" w:type="dxa"/>
          </w:tcPr>
          <w:p w14:paraId="6BC3CA58" w14:textId="77777777" w:rsidR="00374001" w:rsidRPr="00316FF7" w:rsidRDefault="00374001" w:rsidP="00374001">
            <w:pPr>
              <w:pStyle w:val="C-TableText"/>
              <w:jc w:val="both"/>
              <w:rPr>
                <w:lang w:val="en-AU"/>
              </w:rPr>
            </w:pPr>
            <w:r w:rsidRPr="00316FF7">
              <w:rPr>
                <w:lang w:val="en-AU"/>
              </w:rPr>
              <w:t>1</w:t>
            </w:r>
          </w:p>
        </w:tc>
        <w:tc>
          <w:tcPr>
            <w:tcW w:w="1276" w:type="dxa"/>
          </w:tcPr>
          <w:p w14:paraId="51368894" w14:textId="77777777" w:rsidR="00374001" w:rsidRPr="00316FF7" w:rsidRDefault="00374001" w:rsidP="00374001">
            <w:pPr>
              <w:pStyle w:val="C-TableText"/>
              <w:jc w:val="both"/>
              <w:rPr>
                <w:lang w:val="en-AU"/>
              </w:rPr>
            </w:pPr>
            <w:r w:rsidRPr="00316FF7">
              <w:rPr>
                <w:lang w:val="en-AU"/>
              </w:rPr>
              <w:t>1423/1507</w:t>
            </w:r>
          </w:p>
        </w:tc>
        <w:tc>
          <w:tcPr>
            <w:tcW w:w="892" w:type="dxa"/>
          </w:tcPr>
          <w:p w14:paraId="2B39BB4A" w14:textId="7B651942" w:rsidR="00374001" w:rsidRPr="00316FF7" w:rsidRDefault="00374001" w:rsidP="00374001">
            <w:pPr>
              <w:pStyle w:val="C-TableText"/>
              <w:jc w:val="both"/>
              <w:rPr>
                <w:lang w:val="en-AU"/>
              </w:rPr>
            </w:pPr>
            <w:r w:rsidRPr="00316FF7">
              <w:rPr>
                <w:lang w:val="en-AU"/>
              </w:rPr>
              <w:t>94.43</w:t>
            </w:r>
          </w:p>
        </w:tc>
        <w:tc>
          <w:tcPr>
            <w:tcW w:w="1234" w:type="dxa"/>
          </w:tcPr>
          <w:p w14:paraId="60D2C665" w14:textId="77777777" w:rsidR="00374001" w:rsidRPr="00316FF7" w:rsidRDefault="00374001" w:rsidP="00374001">
            <w:pPr>
              <w:pStyle w:val="C-TableText"/>
              <w:jc w:val="both"/>
              <w:rPr>
                <w:lang w:val="en-AU"/>
              </w:rPr>
            </w:pPr>
            <w:r w:rsidRPr="00316FF7">
              <w:rPr>
                <w:lang w:val="en-AU"/>
              </w:rPr>
              <w:t>1528/1758</w:t>
            </w:r>
          </w:p>
        </w:tc>
        <w:tc>
          <w:tcPr>
            <w:tcW w:w="935" w:type="dxa"/>
          </w:tcPr>
          <w:p w14:paraId="79A0FB15" w14:textId="795ADD03" w:rsidR="00374001" w:rsidRPr="00316FF7" w:rsidRDefault="00374001" w:rsidP="00374001">
            <w:pPr>
              <w:pStyle w:val="C-TableText"/>
              <w:jc w:val="center"/>
              <w:rPr>
                <w:lang w:val="en-AU"/>
              </w:rPr>
            </w:pPr>
            <w:r w:rsidRPr="00316FF7">
              <w:rPr>
                <w:lang w:val="en-AU"/>
              </w:rPr>
              <w:t>86.92</w:t>
            </w:r>
          </w:p>
        </w:tc>
        <w:tc>
          <w:tcPr>
            <w:tcW w:w="1333" w:type="dxa"/>
          </w:tcPr>
          <w:p w14:paraId="2FCD3DAE" w14:textId="77777777" w:rsidR="00374001" w:rsidRPr="00316FF7" w:rsidRDefault="00374001" w:rsidP="00374001">
            <w:pPr>
              <w:pStyle w:val="C-TableText"/>
              <w:jc w:val="center"/>
              <w:rPr>
                <w:lang w:val="en-AU"/>
              </w:rPr>
            </w:pPr>
            <w:r w:rsidRPr="00316FF7">
              <w:rPr>
                <w:lang w:val="en-AU"/>
              </w:rPr>
              <w:t>354/1507</w:t>
            </w:r>
          </w:p>
        </w:tc>
        <w:tc>
          <w:tcPr>
            <w:tcW w:w="850" w:type="dxa"/>
          </w:tcPr>
          <w:p w14:paraId="4EA058A3" w14:textId="2ECF7818" w:rsidR="00374001" w:rsidRPr="00316FF7" w:rsidRDefault="00374001" w:rsidP="00374001">
            <w:pPr>
              <w:pStyle w:val="C-TableText"/>
              <w:jc w:val="center"/>
              <w:rPr>
                <w:lang w:val="en-AU"/>
              </w:rPr>
            </w:pPr>
            <w:r w:rsidRPr="00316FF7">
              <w:rPr>
                <w:lang w:val="en-AU"/>
              </w:rPr>
              <w:t>23.49</w:t>
            </w:r>
          </w:p>
        </w:tc>
        <w:tc>
          <w:tcPr>
            <w:tcW w:w="1276" w:type="dxa"/>
          </w:tcPr>
          <w:p w14:paraId="78755109" w14:textId="77777777" w:rsidR="00374001" w:rsidRPr="00316FF7" w:rsidRDefault="00374001" w:rsidP="00374001">
            <w:pPr>
              <w:pStyle w:val="C-TableText"/>
              <w:jc w:val="center"/>
              <w:rPr>
                <w:lang w:val="en-AU"/>
              </w:rPr>
            </w:pPr>
            <w:r w:rsidRPr="00316FF7">
              <w:rPr>
                <w:lang w:val="en-AU"/>
              </w:rPr>
              <w:t>532/1758</w:t>
            </w:r>
          </w:p>
        </w:tc>
        <w:tc>
          <w:tcPr>
            <w:tcW w:w="851" w:type="dxa"/>
          </w:tcPr>
          <w:p w14:paraId="2CE5AAC7" w14:textId="2E30AB80" w:rsidR="00374001" w:rsidRPr="00316FF7" w:rsidRDefault="00374001" w:rsidP="00374001">
            <w:pPr>
              <w:pStyle w:val="C-TableText"/>
              <w:jc w:val="center"/>
              <w:rPr>
                <w:lang w:val="en-AU"/>
              </w:rPr>
            </w:pPr>
            <w:r w:rsidRPr="00316FF7">
              <w:rPr>
                <w:lang w:val="en-AU"/>
              </w:rPr>
              <w:t>30.26</w:t>
            </w:r>
          </w:p>
        </w:tc>
      </w:tr>
      <w:tr w:rsidR="00374001" w:rsidRPr="00316FF7" w14:paraId="52EDD228" w14:textId="77777777" w:rsidTr="008F199A">
        <w:trPr>
          <w:cantSplit w:val="0"/>
          <w:trHeight w:val="65"/>
        </w:trPr>
        <w:tc>
          <w:tcPr>
            <w:tcW w:w="843" w:type="dxa"/>
          </w:tcPr>
          <w:p w14:paraId="70822777" w14:textId="77777777" w:rsidR="00374001" w:rsidRPr="00316FF7" w:rsidRDefault="00374001" w:rsidP="00374001">
            <w:pPr>
              <w:pStyle w:val="C-TableText"/>
              <w:jc w:val="both"/>
              <w:rPr>
                <w:lang w:val="en-AU"/>
              </w:rPr>
            </w:pPr>
            <w:r w:rsidRPr="00316FF7">
              <w:rPr>
                <w:lang w:val="en-AU"/>
              </w:rPr>
              <w:t>6</w:t>
            </w:r>
          </w:p>
        </w:tc>
        <w:tc>
          <w:tcPr>
            <w:tcW w:w="1276" w:type="dxa"/>
          </w:tcPr>
          <w:p w14:paraId="4C30F6EB" w14:textId="77777777" w:rsidR="00374001" w:rsidRPr="00316FF7" w:rsidRDefault="00374001" w:rsidP="00374001">
            <w:pPr>
              <w:pStyle w:val="C-TableText"/>
              <w:jc w:val="both"/>
              <w:rPr>
                <w:lang w:val="en-AU"/>
              </w:rPr>
            </w:pPr>
            <w:r w:rsidRPr="00316FF7">
              <w:rPr>
                <w:lang w:val="en-AU"/>
              </w:rPr>
              <w:t>1240/1331</w:t>
            </w:r>
          </w:p>
        </w:tc>
        <w:tc>
          <w:tcPr>
            <w:tcW w:w="892" w:type="dxa"/>
          </w:tcPr>
          <w:p w14:paraId="21F7A715" w14:textId="0257AAD0" w:rsidR="00374001" w:rsidRPr="00316FF7" w:rsidRDefault="00374001" w:rsidP="00374001">
            <w:pPr>
              <w:pStyle w:val="C-TableText"/>
              <w:jc w:val="both"/>
              <w:rPr>
                <w:lang w:val="en-AU"/>
              </w:rPr>
            </w:pPr>
            <w:r w:rsidRPr="00316FF7">
              <w:rPr>
                <w:lang w:val="en-AU"/>
              </w:rPr>
              <w:t>93.16</w:t>
            </w:r>
          </w:p>
        </w:tc>
        <w:tc>
          <w:tcPr>
            <w:tcW w:w="1234" w:type="dxa"/>
          </w:tcPr>
          <w:p w14:paraId="34D19258" w14:textId="77777777" w:rsidR="00374001" w:rsidRPr="00316FF7" w:rsidRDefault="00374001" w:rsidP="00374001">
            <w:pPr>
              <w:pStyle w:val="C-TableText"/>
              <w:jc w:val="both"/>
              <w:rPr>
                <w:lang w:val="en-AU"/>
              </w:rPr>
            </w:pPr>
            <w:r w:rsidRPr="00316FF7">
              <w:rPr>
                <w:lang w:val="en-AU"/>
              </w:rPr>
              <w:t>1094/1319</w:t>
            </w:r>
          </w:p>
        </w:tc>
        <w:tc>
          <w:tcPr>
            <w:tcW w:w="935" w:type="dxa"/>
          </w:tcPr>
          <w:p w14:paraId="6C44CC4C" w14:textId="313D6D3A" w:rsidR="00374001" w:rsidRPr="00316FF7" w:rsidRDefault="00374001" w:rsidP="00374001">
            <w:pPr>
              <w:pStyle w:val="C-TableText"/>
              <w:jc w:val="center"/>
              <w:rPr>
                <w:lang w:val="en-AU"/>
              </w:rPr>
            </w:pPr>
            <w:r w:rsidRPr="00316FF7">
              <w:rPr>
                <w:lang w:val="en-AU"/>
              </w:rPr>
              <w:t>82.94</w:t>
            </w:r>
          </w:p>
        </w:tc>
        <w:tc>
          <w:tcPr>
            <w:tcW w:w="1333" w:type="dxa"/>
          </w:tcPr>
          <w:p w14:paraId="265E6EA8" w14:textId="77777777" w:rsidR="00374001" w:rsidRPr="00316FF7" w:rsidRDefault="00374001" w:rsidP="00374001">
            <w:pPr>
              <w:pStyle w:val="C-TableText"/>
              <w:jc w:val="center"/>
              <w:rPr>
                <w:lang w:val="en-AU"/>
              </w:rPr>
            </w:pPr>
            <w:r w:rsidRPr="00316FF7">
              <w:rPr>
                <w:lang w:val="en-AU"/>
              </w:rPr>
              <w:t>207/1331</w:t>
            </w:r>
          </w:p>
        </w:tc>
        <w:tc>
          <w:tcPr>
            <w:tcW w:w="850" w:type="dxa"/>
          </w:tcPr>
          <w:p w14:paraId="019C7DF8" w14:textId="54D58982" w:rsidR="00374001" w:rsidRPr="00316FF7" w:rsidRDefault="00374001" w:rsidP="00374001">
            <w:pPr>
              <w:pStyle w:val="C-TableText"/>
              <w:jc w:val="center"/>
              <w:rPr>
                <w:lang w:val="en-AU"/>
              </w:rPr>
            </w:pPr>
            <w:r w:rsidRPr="00316FF7">
              <w:rPr>
                <w:lang w:val="en-AU"/>
              </w:rPr>
              <w:t>15.55</w:t>
            </w:r>
          </w:p>
        </w:tc>
        <w:tc>
          <w:tcPr>
            <w:tcW w:w="1276" w:type="dxa"/>
          </w:tcPr>
          <w:p w14:paraId="6B995002" w14:textId="77777777" w:rsidR="00374001" w:rsidRPr="00316FF7" w:rsidRDefault="00374001" w:rsidP="00374001">
            <w:pPr>
              <w:pStyle w:val="C-TableText"/>
              <w:jc w:val="center"/>
              <w:rPr>
                <w:lang w:val="en-AU"/>
              </w:rPr>
            </w:pPr>
            <w:r w:rsidRPr="00316FF7">
              <w:rPr>
                <w:lang w:val="en-AU"/>
              </w:rPr>
              <w:t>253/1319</w:t>
            </w:r>
          </w:p>
        </w:tc>
        <w:tc>
          <w:tcPr>
            <w:tcW w:w="851" w:type="dxa"/>
          </w:tcPr>
          <w:p w14:paraId="41DCE945" w14:textId="2721F7D4" w:rsidR="00374001" w:rsidRPr="00316FF7" w:rsidRDefault="00374001" w:rsidP="00374001">
            <w:pPr>
              <w:pStyle w:val="C-TableText"/>
              <w:jc w:val="center"/>
              <w:rPr>
                <w:lang w:val="en-AU"/>
              </w:rPr>
            </w:pPr>
            <w:r w:rsidRPr="00316FF7">
              <w:rPr>
                <w:lang w:val="en-AU"/>
              </w:rPr>
              <w:t>19.18</w:t>
            </w:r>
          </w:p>
        </w:tc>
      </w:tr>
      <w:tr w:rsidR="00374001" w:rsidRPr="00316FF7" w14:paraId="2539B7C9" w14:textId="77777777" w:rsidTr="008F199A">
        <w:trPr>
          <w:cantSplit w:val="0"/>
          <w:trHeight w:val="65"/>
        </w:trPr>
        <w:tc>
          <w:tcPr>
            <w:tcW w:w="843" w:type="dxa"/>
          </w:tcPr>
          <w:p w14:paraId="08A43D6C" w14:textId="77777777" w:rsidR="00374001" w:rsidRPr="00316FF7" w:rsidRDefault="00374001" w:rsidP="00374001">
            <w:pPr>
              <w:pStyle w:val="C-TableText"/>
              <w:jc w:val="both"/>
              <w:rPr>
                <w:lang w:val="en-AU"/>
              </w:rPr>
            </w:pPr>
            <w:r w:rsidRPr="00316FF7">
              <w:rPr>
                <w:lang w:val="en-AU"/>
              </w:rPr>
              <w:t>12</w:t>
            </w:r>
          </w:p>
        </w:tc>
        <w:tc>
          <w:tcPr>
            <w:tcW w:w="1276" w:type="dxa"/>
          </w:tcPr>
          <w:p w14:paraId="1FD51980" w14:textId="77777777" w:rsidR="00374001" w:rsidRPr="00316FF7" w:rsidRDefault="00374001" w:rsidP="00374001">
            <w:pPr>
              <w:pStyle w:val="C-TableText"/>
              <w:jc w:val="both"/>
              <w:rPr>
                <w:lang w:val="en-AU"/>
              </w:rPr>
            </w:pPr>
            <w:r w:rsidRPr="00316FF7">
              <w:rPr>
                <w:lang w:val="en-AU"/>
              </w:rPr>
              <w:t>1089/1183</w:t>
            </w:r>
          </w:p>
        </w:tc>
        <w:tc>
          <w:tcPr>
            <w:tcW w:w="892" w:type="dxa"/>
          </w:tcPr>
          <w:p w14:paraId="2B2638A8" w14:textId="62F8C819" w:rsidR="00374001" w:rsidRPr="00316FF7" w:rsidRDefault="00374001" w:rsidP="00374001">
            <w:pPr>
              <w:pStyle w:val="C-TableText"/>
              <w:jc w:val="both"/>
              <w:rPr>
                <w:lang w:val="en-AU"/>
              </w:rPr>
            </w:pPr>
            <w:r w:rsidRPr="00316FF7">
              <w:rPr>
                <w:lang w:val="en-AU"/>
              </w:rPr>
              <w:t>92.05</w:t>
            </w:r>
          </w:p>
        </w:tc>
        <w:tc>
          <w:tcPr>
            <w:tcW w:w="1234" w:type="dxa"/>
          </w:tcPr>
          <w:p w14:paraId="74584B76" w14:textId="77777777" w:rsidR="00374001" w:rsidRPr="00316FF7" w:rsidRDefault="00374001" w:rsidP="00374001">
            <w:pPr>
              <w:pStyle w:val="C-TableText"/>
              <w:jc w:val="both"/>
              <w:rPr>
                <w:lang w:val="en-AU"/>
              </w:rPr>
            </w:pPr>
            <w:r w:rsidRPr="00316FF7">
              <w:rPr>
                <w:lang w:val="en-AU"/>
              </w:rPr>
              <w:t>872/1006</w:t>
            </w:r>
          </w:p>
        </w:tc>
        <w:tc>
          <w:tcPr>
            <w:tcW w:w="935" w:type="dxa"/>
          </w:tcPr>
          <w:p w14:paraId="7F658B5A" w14:textId="024292B3" w:rsidR="00374001" w:rsidRPr="00316FF7" w:rsidRDefault="00374001" w:rsidP="00374001">
            <w:pPr>
              <w:pStyle w:val="C-TableText"/>
              <w:jc w:val="center"/>
              <w:rPr>
                <w:lang w:val="en-AU"/>
              </w:rPr>
            </w:pPr>
            <w:r w:rsidRPr="00316FF7">
              <w:rPr>
                <w:lang w:val="en-AU"/>
              </w:rPr>
              <w:t>86.68</w:t>
            </w:r>
          </w:p>
        </w:tc>
        <w:tc>
          <w:tcPr>
            <w:tcW w:w="1333" w:type="dxa"/>
          </w:tcPr>
          <w:p w14:paraId="75A00962" w14:textId="77777777" w:rsidR="00374001" w:rsidRPr="00316FF7" w:rsidRDefault="00374001" w:rsidP="00374001">
            <w:pPr>
              <w:pStyle w:val="C-TableText"/>
              <w:jc w:val="center"/>
              <w:rPr>
                <w:lang w:val="en-AU"/>
              </w:rPr>
            </w:pPr>
            <w:r w:rsidRPr="00316FF7">
              <w:rPr>
                <w:lang w:val="en-AU"/>
              </w:rPr>
              <w:t>154/1183</w:t>
            </w:r>
          </w:p>
        </w:tc>
        <w:tc>
          <w:tcPr>
            <w:tcW w:w="850" w:type="dxa"/>
          </w:tcPr>
          <w:p w14:paraId="458976BA" w14:textId="3E560C06" w:rsidR="00374001" w:rsidRPr="00316FF7" w:rsidRDefault="00374001" w:rsidP="00374001">
            <w:pPr>
              <w:pStyle w:val="C-TableText"/>
              <w:jc w:val="center"/>
              <w:rPr>
                <w:lang w:val="en-AU"/>
              </w:rPr>
            </w:pPr>
            <w:r w:rsidRPr="00316FF7">
              <w:rPr>
                <w:lang w:val="en-AU"/>
              </w:rPr>
              <w:t>13.02</w:t>
            </w:r>
          </w:p>
        </w:tc>
        <w:tc>
          <w:tcPr>
            <w:tcW w:w="1276" w:type="dxa"/>
          </w:tcPr>
          <w:p w14:paraId="459C855A" w14:textId="77777777" w:rsidR="00374001" w:rsidRPr="00316FF7" w:rsidRDefault="00374001" w:rsidP="00374001">
            <w:pPr>
              <w:pStyle w:val="C-TableText"/>
              <w:jc w:val="center"/>
              <w:rPr>
                <w:lang w:val="en-AU"/>
              </w:rPr>
            </w:pPr>
            <w:r w:rsidRPr="00316FF7">
              <w:rPr>
                <w:lang w:val="en-AU"/>
              </w:rPr>
              <w:t>175/1006</w:t>
            </w:r>
          </w:p>
        </w:tc>
        <w:tc>
          <w:tcPr>
            <w:tcW w:w="851" w:type="dxa"/>
          </w:tcPr>
          <w:p w14:paraId="4D9D43AA" w14:textId="674DCE19" w:rsidR="00374001" w:rsidRPr="00316FF7" w:rsidRDefault="00374001" w:rsidP="00374001">
            <w:pPr>
              <w:pStyle w:val="C-TableText"/>
              <w:jc w:val="center"/>
              <w:rPr>
                <w:lang w:val="en-AU"/>
              </w:rPr>
            </w:pPr>
            <w:r w:rsidRPr="00316FF7">
              <w:rPr>
                <w:lang w:val="en-AU"/>
              </w:rPr>
              <w:t>17.40</w:t>
            </w:r>
          </w:p>
        </w:tc>
      </w:tr>
    </w:tbl>
    <w:p w14:paraId="3FA85184" w14:textId="093C8E8A" w:rsidR="00C36F56" w:rsidRPr="00316FF7" w:rsidRDefault="00374001" w:rsidP="00C36F56">
      <w:pPr>
        <w:pStyle w:val="C-Footnote"/>
        <w:rPr>
          <w:lang w:val="en-AU"/>
        </w:rPr>
      </w:pPr>
      <w:r w:rsidRPr="00316FF7">
        <w:rPr>
          <w:vertAlign w:val="superscript"/>
          <w:lang w:val="en-AU"/>
        </w:rPr>
        <w:t>1</w:t>
      </w:r>
      <w:r w:rsidR="00C36F56" w:rsidRPr="00316FF7">
        <w:rPr>
          <w:lang w:val="en-AU"/>
        </w:rPr>
        <w:t>Abbreviations: n =</w:t>
      </w:r>
      <w:r w:rsidRPr="00316FF7">
        <w:rPr>
          <w:lang w:val="en-AU"/>
        </w:rPr>
        <w:t xml:space="preserve"> </w:t>
      </w:r>
      <w:r w:rsidR="00C36F56" w:rsidRPr="00316FF7">
        <w:rPr>
          <w:lang w:val="en-AU"/>
        </w:rPr>
        <w:t>number of subjects with bleeding or spotting</w:t>
      </w:r>
      <w:r w:rsidRPr="00316FF7">
        <w:rPr>
          <w:lang w:val="en-AU"/>
        </w:rPr>
        <w:t xml:space="preserve">; </w:t>
      </w:r>
      <w:r w:rsidR="00BD2180" w:rsidRPr="00316FF7">
        <w:rPr>
          <w:lang w:val="en-AU"/>
        </w:rPr>
        <w:t>N</w:t>
      </w:r>
      <w:r w:rsidRPr="00316FF7">
        <w:rPr>
          <w:lang w:val="en-AU"/>
        </w:rPr>
        <w:t xml:space="preserve"> = number of subjects with cycle data</w:t>
      </w:r>
    </w:p>
    <w:p w14:paraId="6BB50675" w14:textId="29949223" w:rsidR="005E5187" w:rsidRPr="00316FF7" w:rsidRDefault="005E5187" w:rsidP="005E5187">
      <w:pPr>
        <w:pStyle w:val="C-BodyText"/>
        <w:rPr>
          <w:lang w:val="en-AU"/>
        </w:rPr>
      </w:pPr>
      <w:r w:rsidRPr="00316FF7">
        <w:rPr>
          <w:lang w:val="en-AU"/>
        </w:rPr>
        <w:t xml:space="preserve">In studies C301 and C302, a total of 54 and 48 women (3.4% and 2.6%), respectively, discontinued from these studies of </w:t>
      </w:r>
      <w:r w:rsidR="00F12FE1" w:rsidRPr="00316FF7">
        <w:rPr>
          <w:lang w:val="en-AU"/>
        </w:rPr>
        <w:t>NEXTSTELLIS</w:t>
      </w:r>
      <w:r w:rsidRPr="00316FF7">
        <w:rPr>
          <w:lang w:val="en-AU"/>
        </w:rPr>
        <w:t xml:space="preserve"> due to problems with </w:t>
      </w:r>
      <w:r w:rsidR="00A806E1" w:rsidRPr="00316FF7">
        <w:rPr>
          <w:lang w:val="en-AU"/>
        </w:rPr>
        <w:t>unscheduled</w:t>
      </w:r>
      <w:r w:rsidRPr="00316FF7">
        <w:rPr>
          <w:lang w:val="en-AU"/>
        </w:rPr>
        <w:t xml:space="preserve"> bleeding or amenorrhea.</w:t>
      </w:r>
    </w:p>
    <w:p w14:paraId="1AC59C09" w14:textId="77777777" w:rsidR="00B845D7" w:rsidRPr="00316FF7" w:rsidRDefault="007F49AA" w:rsidP="006E0396">
      <w:pPr>
        <w:pStyle w:val="C-Heading2"/>
        <w:rPr>
          <w:lang w:val="en-AU"/>
        </w:rPr>
      </w:pPr>
      <w:r w:rsidRPr="00316FF7">
        <w:rPr>
          <w:lang w:val="en-AU"/>
        </w:rPr>
        <w:t>Pharmacokinetic Properties</w:t>
      </w:r>
    </w:p>
    <w:p w14:paraId="531740C8" w14:textId="77777777" w:rsidR="004E0498" w:rsidRPr="00316FF7" w:rsidRDefault="004E0498" w:rsidP="00DE770A">
      <w:pPr>
        <w:pStyle w:val="C-Heading3non-numbered"/>
        <w:rPr>
          <w:lang w:val="en-AU"/>
        </w:rPr>
      </w:pPr>
      <w:r w:rsidRPr="00316FF7">
        <w:rPr>
          <w:lang w:val="en-AU"/>
        </w:rPr>
        <w:t>Absorption</w:t>
      </w:r>
    </w:p>
    <w:p w14:paraId="3E1D16D7" w14:textId="0EEEC2A1" w:rsidR="002D776B" w:rsidRPr="00316FF7" w:rsidRDefault="002A0E3F" w:rsidP="002D776B">
      <w:pPr>
        <w:pStyle w:val="C-BodyText"/>
        <w:rPr>
          <w:lang w:val="en-AU"/>
        </w:rPr>
      </w:pPr>
      <w:r w:rsidRPr="00316FF7">
        <w:rPr>
          <w:lang w:val="en-AU"/>
        </w:rPr>
        <w:t>E4</w:t>
      </w:r>
      <w:r w:rsidR="002D776B" w:rsidRPr="00316FF7">
        <w:rPr>
          <w:lang w:val="en-AU"/>
        </w:rPr>
        <w:t xml:space="preserve"> is rapidly absorbed after ingestion. After this initial absorption phase, lower secondary reabsorption peaks are observed in line with enterohepatic recycling. </w:t>
      </w:r>
      <w:r w:rsidRPr="00316FF7">
        <w:rPr>
          <w:lang w:val="en-AU"/>
        </w:rPr>
        <w:t>E4</w:t>
      </w:r>
      <w:r w:rsidR="002D776B" w:rsidRPr="00316FF7">
        <w:rPr>
          <w:lang w:val="en-AU"/>
        </w:rPr>
        <w:t xml:space="preserve"> plasma levels do not show any relevant deviation from dose-proportionality over the 15-75 mg </w:t>
      </w:r>
      <w:r w:rsidR="00675DAE" w:rsidRPr="00316FF7">
        <w:rPr>
          <w:lang w:val="en-AU"/>
        </w:rPr>
        <w:t xml:space="preserve">estetrol </w:t>
      </w:r>
      <w:r w:rsidR="002D776B" w:rsidRPr="00316FF7">
        <w:rPr>
          <w:lang w:val="en-AU"/>
        </w:rPr>
        <w:t xml:space="preserve">monohydrate dose range, after single administration as well as in steady-state conditions </w:t>
      </w:r>
      <w:r w:rsidR="002D776B" w:rsidRPr="00316FF7">
        <w:rPr>
          <w:lang w:val="en-AU"/>
        </w:rPr>
        <w:lastRenderedPageBreak/>
        <w:t xml:space="preserve">for 14 days. After intake of </w:t>
      </w:r>
      <w:r w:rsidR="00CB38BB" w:rsidRPr="00316FF7">
        <w:rPr>
          <w:lang w:val="en-AU"/>
        </w:rPr>
        <w:t>NEXTSTELLIS</w:t>
      </w:r>
      <w:r w:rsidR="002D776B" w:rsidRPr="00316FF7">
        <w:rPr>
          <w:lang w:val="en-AU"/>
        </w:rPr>
        <w:t>, average peak plasma concentrations (C</w:t>
      </w:r>
      <w:r w:rsidR="002D776B" w:rsidRPr="00316FF7">
        <w:rPr>
          <w:vertAlign w:val="subscript"/>
          <w:lang w:val="en-AU"/>
        </w:rPr>
        <w:t>max</w:t>
      </w:r>
      <w:r w:rsidR="002D776B" w:rsidRPr="00316FF7">
        <w:rPr>
          <w:lang w:val="en-AU"/>
        </w:rPr>
        <w:t xml:space="preserve">) of 17.9 ng/mL are reached 0.5-2 hours after multiple ingestions of </w:t>
      </w:r>
      <w:r w:rsidRPr="00316FF7">
        <w:rPr>
          <w:lang w:val="en-AU"/>
        </w:rPr>
        <w:t>E4</w:t>
      </w:r>
      <w:r w:rsidR="002D776B" w:rsidRPr="00316FF7">
        <w:rPr>
          <w:lang w:val="en-AU"/>
        </w:rPr>
        <w:t>. Steady</w:t>
      </w:r>
      <w:r w:rsidR="00C03E8A">
        <w:rPr>
          <w:lang w:val="en-AU"/>
        </w:rPr>
        <w:t xml:space="preserve"> </w:t>
      </w:r>
      <w:r w:rsidR="002D776B" w:rsidRPr="00316FF7">
        <w:rPr>
          <w:lang w:val="en-AU"/>
        </w:rPr>
        <w:t xml:space="preserve">state is achieved after 4 days. Plasma </w:t>
      </w:r>
      <w:r w:rsidR="00AA167F" w:rsidRPr="00316FF7">
        <w:rPr>
          <w:lang w:val="en-AU"/>
        </w:rPr>
        <w:t xml:space="preserve">drospirenone </w:t>
      </w:r>
      <w:r w:rsidR="002D776B" w:rsidRPr="00316FF7">
        <w:rPr>
          <w:lang w:val="en-AU"/>
        </w:rPr>
        <w:t xml:space="preserve">accumulates by a factor of about 1.6 following multiple dose administration of </w:t>
      </w:r>
      <w:r w:rsidRPr="00316FF7">
        <w:rPr>
          <w:lang w:val="en-AU"/>
        </w:rPr>
        <w:t>E4</w:t>
      </w:r>
      <w:r w:rsidR="002D776B" w:rsidRPr="00316FF7">
        <w:rPr>
          <w:lang w:val="en-AU"/>
        </w:rPr>
        <w:t>/</w:t>
      </w:r>
      <w:r w:rsidR="002E199B" w:rsidRPr="00316FF7">
        <w:rPr>
          <w:lang w:val="en-AU"/>
        </w:rPr>
        <w:t>drospirenone</w:t>
      </w:r>
      <w:r w:rsidR="002D776B" w:rsidRPr="00316FF7">
        <w:rPr>
          <w:lang w:val="en-AU"/>
        </w:rPr>
        <w:t>, as estimated from the daily area under the curve (AUC).</w:t>
      </w:r>
    </w:p>
    <w:p w14:paraId="7D021C4E" w14:textId="78AD57C7" w:rsidR="002D776B" w:rsidRPr="00316FF7" w:rsidRDefault="002D776B" w:rsidP="002D776B">
      <w:pPr>
        <w:pStyle w:val="C-BodyText"/>
        <w:rPr>
          <w:lang w:val="en-AU"/>
        </w:rPr>
      </w:pPr>
      <w:r w:rsidRPr="00316FF7">
        <w:rPr>
          <w:lang w:val="en-AU"/>
        </w:rPr>
        <w:t>An open-label, single-dose, randomi</w:t>
      </w:r>
      <w:r w:rsidR="00D77335" w:rsidRPr="00316FF7">
        <w:rPr>
          <w:lang w:val="en-AU"/>
        </w:rPr>
        <w:t>s</w:t>
      </w:r>
      <w:r w:rsidRPr="00316FF7">
        <w:rPr>
          <w:lang w:val="en-AU"/>
        </w:rPr>
        <w:t xml:space="preserve">ed, two-period, two-treatment, two-way crossover, comparative bioavailability study between a COC containing </w:t>
      </w:r>
      <w:r w:rsidR="002A0E3F" w:rsidRPr="00316FF7">
        <w:rPr>
          <w:lang w:val="en-AU"/>
        </w:rPr>
        <w:t>E4</w:t>
      </w:r>
      <w:r w:rsidRPr="00316FF7">
        <w:rPr>
          <w:lang w:val="en-AU"/>
        </w:rPr>
        <w:t>/</w:t>
      </w:r>
      <w:r w:rsidR="002E199B" w:rsidRPr="00316FF7">
        <w:rPr>
          <w:lang w:val="en-AU"/>
        </w:rPr>
        <w:t xml:space="preserve">drospirenone </w:t>
      </w:r>
      <w:r w:rsidRPr="00316FF7">
        <w:rPr>
          <w:lang w:val="en-AU"/>
        </w:rPr>
        <w:t xml:space="preserve">and a COC containing </w:t>
      </w:r>
      <w:r w:rsidR="006D614F" w:rsidRPr="00316FF7">
        <w:rPr>
          <w:lang w:val="en-AU"/>
        </w:rPr>
        <w:t xml:space="preserve">ethinylestradiol </w:t>
      </w:r>
      <w:r w:rsidRPr="00316FF7">
        <w:rPr>
          <w:lang w:val="en-AU"/>
        </w:rPr>
        <w:t>20 µg/</w:t>
      </w:r>
      <w:r w:rsidR="002E199B" w:rsidRPr="00316FF7">
        <w:rPr>
          <w:lang w:val="en-AU"/>
        </w:rPr>
        <w:t xml:space="preserve">drospirenone </w:t>
      </w:r>
      <w:r w:rsidRPr="00316FF7">
        <w:rPr>
          <w:lang w:val="en-AU"/>
        </w:rPr>
        <w:t xml:space="preserve">3 mg in healthy female volunteers was performed to compare the rate and extent of absorption of </w:t>
      </w:r>
      <w:r w:rsidR="002E199B" w:rsidRPr="00316FF7">
        <w:rPr>
          <w:lang w:val="en-AU"/>
        </w:rPr>
        <w:t>drospirenone</w:t>
      </w:r>
      <w:r w:rsidRPr="00316FF7">
        <w:rPr>
          <w:lang w:val="en-AU"/>
        </w:rPr>
        <w:t>.</w:t>
      </w:r>
    </w:p>
    <w:p w14:paraId="5504D33F" w14:textId="2D0D5D76" w:rsidR="002D776B" w:rsidRPr="00316FF7" w:rsidRDefault="002D776B" w:rsidP="002D776B">
      <w:pPr>
        <w:pStyle w:val="C-BodyText"/>
        <w:rPr>
          <w:lang w:val="en-AU"/>
        </w:rPr>
      </w:pPr>
      <w:r w:rsidRPr="00316FF7">
        <w:rPr>
          <w:lang w:val="en-AU"/>
        </w:rPr>
        <w:t>The maximum concentration (C</w:t>
      </w:r>
      <w:r w:rsidRPr="00316FF7">
        <w:rPr>
          <w:vertAlign w:val="subscript"/>
          <w:lang w:val="en-AU"/>
        </w:rPr>
        <w:t>max</w:t>
      </w:r>
      <w:r w:rsidRPr="00316FF7">
        <w:rPr>
          <w:lang w:val="en-AU"/>
        </w:rPr>
        <w:t>), AUC</w:t>
      </w:r>
      <w:r w:rsidRPr="00316FF7">
        <w:rPr>
          <w:vertAlign w:val="subscript"/>
          <w:lang w:val="en-AU"/>
        </w:rPr>
        <w:t>0-t</w:t>
      </w:r>
      <w:r w:rsidRPr="00316FF7">
        <w:rPr>
          <w:lang w:val="en-AU"/>
        </w:rPr>
        <w:t>, and AUC</w:t>
      </w:r>
      <w:r w:rsidRPr="00316FF7">
        <w:rPr>
          <w:vertAlign w:val="subscript"/>
          <w:lang w:val="en-AU"/>
        </w:rPr>
        <w:t xml:space="preserve">0-inf </w:t>
      </w:r>
      <w:r w:rsidRPr="00316FF7">
        <w:rPr>
          <w:lang w:val="en-AU"/>
        </w:rPr>
        <w:t xml:space="preserve">of </w:t>
      </w:r>
      <w:r w:rsidR="002E199B" w:rsidRPr="00316FF7">
        <w:rPr>
          <w:lang w:val="en-AU"/>
        </w:rPr>
        <w:t xml:space="preserve">drospirenone </w:t>
      </w:r>
      <w:r w:rsidRPr="00316FF7">
        <w:rPr>
          <w:lang w:val="en-AU"/>
        </w:rPr>
        <w:t xml:space="preserve">in </w:t>
      </w:r>
      <w:r w:rsidR="002A0E3F" w:rsidRPr="00316FF7">
        <w:rPr>
          <w:lang w:val="en-AU"/>
        </w:rPr>
        <w:t>E4</w:t>
      </w:r>
      <w:r w:rsidRPr="00316FF7">
        <w:rPr>
          <w:lang w:val="en-AU"/>
        </w:rPr>
        <w:t>/</w:t>
      </w:r>
      <w:r w:rsidR="002E199B" w:rsidRPr="00316FF7">
        <w:rPr>
          <w:lang w:val="en-AU"/>
        </w:rPr>
        <w:t xml:space="preserve">drospirenone </w:t>
      </w:r>
      <w:r w:rsidRPr="00316FF7">
        <w:rPr>
          <w:lang w:val="en-AU"/>
        </w:rPr>
        <w:t>were 35 ng/mL, 453 ng.h/mL, and 504 ng.h/mL.</w:t>
      </w:r>
      <w:r w:rsidR="007D19C5" w:rsidRPr="00316FF7">
        <w:rPr>
          <w:lang w:val="en-AU"/>
        </w:rPr>
        <w:t xml:space="preserve"> </w:t>
      </w:r>
      <w:r w:rsidRPr="00316FF7">
        <w:rPr>
          <w:lang w:val="en-AU"/>
        </w:rPr>
        <w:t>The maximum concentration (C</w:t>
      </w:r>
      <w:r w:rsidRPr="00316FF7">
        <w:rPr>
          <w:vertAlign w:val="subscript"/>
          <w:lang w:val="en-AU"/>
        </w:rPr>
        <w:t>max</w:t>
      </w:r>
      <w:r w:rsidRPr="00316FF7">
        <w:rPr>
          <w:lang w:val="en-AU"/>
        </w:rPr>
        <w:t>), AUC</w:t>
      </w:r>
      <w:r w:rsidRPr="00316FF7">
        <w:rPr>
          <w:vertAlign w:val="subscript"/>
          <w:lang w:val="en-AU"/>
        </w:rPr>
        <w:t>0-t</w:t>
      </w:r>
      <w:r w:rsidRPr="00316FF7">
        <w:rPr>
          <w:lang w:val="en-AU"/>
        </w:rPr>
        <w:t>, and AUC</w:t>
      </w:r>
      <w:r w:rsidRPr="00316FF7">
        <w:rPr>
          <w:vertAlign w:val="subscript"/>
          <w:lang w:val="en-AU"/>
        </w:rPr>
        <w:t xml:space="preserve">0-inf </w:t>
      </w:r>
      <w:r w:rsidRPr="00316FF7">
        <w:rPr>
          <w:lang w:val="en-AU"/>
        </w:rPr>
        <w:t xml:space="preserve">of </w:t>
      </w:r>
      <w:r w:rsidR="002E199B" w:rsidRPr="00316FF7">
        <w:rPr>
          <w:lang w:val="en-AU"/>
        </w:rPr>
        <w:t xml:space="preserve">drospirenone </w:t>
      </w:r>
      <w:r w:rsidRPr="00316FF7">
        <w:rPr>
          <w:lang w:val="en-AU"/>
        </w:rPr>
        <w:t xml:space="preserve">in </w:t>
      </w:r>
      <w:r w:rsidR="006D614F" w:rsidRPr="00316FF7">
        <w:rPr>
          <w:lang w:val="en-AU"/>
        </w:rPr>
        <w:t>ethinylestradiol</w:t>
      </w:r>
      <w:r w:rsidRPr="00316FF7">
        <w:rPr>
          <w:lang w:val="en-AU"/>
        </w:rPr>
        <w:t>/</w:t>
      </w:r>
      <w:r w:rsidR="002E199B" w:rsidRPr="00316FF7">
        <w:rPr>
          <w:lang w:val="en-AU"/>
        </w:rPr>
        <w:t xml:space="preserve">drospirenone </w:t>
      </w:r>
      <w:r w:rsidRPr="00316FF7">
        <w:rPr>
          <w:lang w:val="en-AU"/>
        </w:rPr>
        <w:t>were 36 ng/mL, 493 ng.h/mL, and 556 ng.h/mL.</w:t>
      </w:r>
    </w:p>
    <w:p w14:paraId="3528FBEB" w14:textId="77777777" w:rsidR="002D776B" w:rsidRPr="00316FF7" w:rsidRDefault="002D776B" w:rsidP="009D1DDF">
      <w:pPr>
        <w:pStyle w:val="C-Heading4non-numbered"/>
        <w:rPr>
          <w:b w:val="0"/>
          <w:lang w:val="en-AU"/>
        </w:rPr>
      </w:pPr>
      <w:r w:rsidRPr="00316FF7">
        <w:rPr>
          <w:b w:val="0"/>
          <w:u w:val="single"/>
          <w:lang w:val="en-AU"/>
        </w:rPr>
        <w:t>Food Effect</w:t>
      </w:r>
    </w:p>
    <w:p w14:paraId="00552CA8" w14:textId="60080B9E" w:rsidR="00DE770A" w:rsidRPr="00316FF7" w:rsidRDefault="002D776B" w:rsidP="002D776B">
      <w:pPr>
        <w:pStyle w:val="C-BodyText"/>
        <w:rPr>
          <w:lang w:val="en-AU"/>
        </w:rPr>
      </w:pPr>
      <w:r w:rsidRPr="00316FF7">
        <w:rPr>
          <w:lang w:val="en-AU"/>
        </w:rPr>
        <w:t xml:space="preserve">The effect of a high fat meal on the bioavailability of </w:t>
      </w:r>
      <w:r w:rsidR="002A0E3F" w:rsidRPr="00316FF7">
        <w:rPr>
          <w:lang w:val="en-AU"/>
        </w:rPr>
        <w:t>E4</w:t>
      </w:r>
      <w:r w:rsidR="00606A67" w:rsidRPr="00316FF7">
        <w:rPr>
          <w:lang w:val="en-AU"/>
        </w:rPr>
        <w:t xml:space="preserve"> </w:t>
      </w:r>
      <w:r w:rsidRPr="00316FF7">
        <w:rPr>
          <w:lang w:val="en-AU"/>
        </w:rPr>
        <w:t xml:space="preserve">and </w:t>
      </w:r>
      <w:r w:rsidR="002E199B" w:rsidRPr="00316FF7">
        <w:rPr>
          <w:lang w:val="en-AU"/>
        </w:rPr>
        <w:t xml:space="preserve">drospirenone </w:t>
      </w:r>
      <w:r w:rsidRPr="00316FF7">
        <w:rPr>
          <w:lang w:val="en-AU"/>
        </w:rPr>
        <w:t xml:space="preserve">was evaluated following a single oral administration of </w:t>
      </w:r>
      <w:r w:rsidR="002A0E3F" w:rsidRPr="00316FF7">
        <w:rPr>
          <w:lang w:val="en-AU"/>
        </w:rPr>
        <w:t>E4</w:t>
      </w:r>
      <w:r w:rsidRPr="00316FF7">
        <w:rPr>
          <w:lang w:val="en-AU"/>
        </w:rPr>
        <w:t>/</w:t>
      </w:r>
      <w:r w:rsidR="002E199B" w:rsidRPr="00316FF7">
        <w:rPr>
          <w:lang w:val="en-AU"/>
        </w:rPr>
        <w:t xml:space="preserve">drospirenone </w:t>
      </w:r>
      <w:r w:rsidRPr="00316FF7">
        <w:rPr>
          <w:lang w:val="en-AU"/>
        </w:rPr>
        <w:t xml:space="preserve">in fasted and in fed conditions. Food decreased the peak absorption of </w:t>
      </w:r>
      <w:r w:rsidR="002A0E3F" w:rsidRPr="00316FF7">
        <w:rPr>
          <w:lang w:val="en-AU"/>
        </w:rPr>
        <w:t>E4</w:t>
      </w:r>
      <w:r w:rsidR="00606A67" w:rsidRPr="00316FF7">
        <w:rPr>
          <w:lang w:val="en-AU"/>
        </w:rPr>
        <w:t xml:space="preserve"> </w:t>
      </w:r>
      <w:r w:rsidRPr="00316FF7">
        <w:rPr>
          <w:lang w:val="en-AU"/>
        </w:rPr>
        <w:t xml:space="preserve">and </w:t>
      </w:r>
      <w:r w:rsidR="002E199B" w:rsidRPr="00316FF7">
        <w:rPr>
          <w:lang w:val="en-AU"/>
        </w:rPr>
        <w:t xml:space="preserve">drospirenone </w:t>
      </w:r>
      <w:r w:rsidRPr="00316FF7">
        <w:rPr>
          <w:lang w:val="en-AU"/>
        </w:rPr>
        <w:t>(C</w:t>
      </w:r>
      <w:r w:rsidRPr="00316FF7">
        <w:rPr>
          <w:vertAlign w:val="subscript"/>
          <w:lang w:val="en-AU"/>
        </w:rPr>
        <w:t>max</w:t>
      </w:r>
      <w:r w:rsidRPr="00316FF7">
        <w:rPr>
          <w:lang w:val="en-AU"/>
        </w:rPr>
        <w:t xml:space="preserve">) while it did not affect their extent of exposure (AUC) following oral administration of a single </w:t>
      </w:r>
      <w:r w:rsidR="002A0E3F" w:rsidRPr="00316FF7">
        <w:rPr>
          <w:lang w:val="en-AU"/>
        </w:rPr>
        <w:t>E4</w:t>
      </w:r>
      <w:r w:rsidRPr="00316FF7">
        <w:rPr>
          <w:lang w:val="en-AU"/>
        </w:rPr>
        <w:t>/</w:t>
      </w:r>
      <w:r w:rsidR="002E199B" w:rsidRPr="00316FF7">
        <w:rPr>
          <w:lang w:val="en-AU"/>
        </w:rPr>
        <w:t>drospirenone</w:t>
      </w:r>
      <w:r w:rsidRPr="00316FF7">
        <w:rPr>
          <w:lang w:val="en-AU"/>
        </w:rPr>
        <w:t>. Food effect on C</w:t>
      </w:r>
      <w:r w:rsidRPr="00316FF7">
        <w:rPr>
          <w:vertAlign w:val="subscript"/>
          <w:lang w:val="en-AU"/>
        </w:rPr>
        <w:t>max</w:t>
      </w:r>
      <w:r w:rsidRPr="00316FF7">
        <w:rPr>
          <w:lang w:val="en-AU"/>
        </w:rPr>
        <w:t xml:space="preserve"> was more pronounced for the absorption of </w:t>
      </w:r>
      <w:r w:rsidR="002A0E3F" w:rsidRPr="00316FF7">
        <w:rPr>
          <w:lang w:val="en-AU"/>
        </w:rPr>
        <w:t>E4</w:t>
      </w:r>
      <w:r w:rsidR="00606A67" w:rsidRPr="00316FF7">
        <w:rPr>
          <w:lang w:val="en-AU"/>
        </w:rPr>
        <w:t xml:space="preserve"> </w:t>
      </w:r>
      <w:r w:rsidRPr="00316FF7">
        <w:rPr>
          <w:lang w:val="en-AU"/>
        </w:rPr>
        <w:t>(the C</w:t>
      </w:r>
      <w:r w:rsidRPr="00316FF7">
        <w:rPr>
          <w:vertAlign w:val="subscript"/>
          <w:lang w:val="en-AU"/>
        </w:rPr>
        <w:t>max</w:t>
      </w:r>
      <w:r w:rsidRPr="00316FF7">
        <w:rPr>
          <w:lang w:val="en-AU"/>
        </w:rPr>
        <w:t xml:space="preserve"> ratio of Geometric Least Squares Mean for </w:t>
      </w:r>
      <w:r w:rsidR="002A0E3F" w:rsidRPr="00316FF7">
        <w:rPr>
          <w:lang w:val="en-AU"/>
        </w:rPr>
        <w:t>E4</w:t>
      </w:r>
      <w:r w:rsidRPr="00316FF7">
        <w:rPr>
          <w:lang w:val="en-AU"/>
        </w:rPr>
        <w:t xml:space="preserve"> was 0.51) than for the absorption of </w:t>
      </w:r>
      <w:r w:rsidR="002E199B" w:rsidRPr="00316FF7">
        <w:rPr>
          <w:lang w:val="en-AU"/>
        </w:rPr>
        <w:t xml:space="preserve">drospirenone </w:t>
      </w:r>
      <w:r w:rsidRPr="00316FF7">
        <w:rPr>
          <w:lang w:val="en-AU"/>
        </w:rPr>
        <w:t>(the C</w:t>
      </w:r>
      <w:r w:rsidRPr="00316FF7">
        <w:rPr>
          <w:vertAlign w:val="subscript"/>
          <w:lang w:val="en-AU"/>
        </w:rPr>
        <w:t>max</w:t>
      </w:r>
      <w:r w:rsidRPr="00316FF7">
        <w:rPr>
          <w:lang w:val="en-AU"/>
        </w:rPr>
        <w:t xml:space="preserve"> ratio of Geometric Least Squares Mean for DR</w:t>
      </w:r>
      <w:r w:rsidR="002E199B" w:rsidRPr="00316FF7">
        <w:rPr>
          <w:lang w:val="en-AU"/>
        </w:rPr>
        <w:t xml:space="preserve"> drospirenone </w:t>
      </w:r>
      <w:r w:rsidRPr="00316FF7">
        <w:rPr>
          <w:lang w:val="en-AU"/>
        </w:rPr>
        <w:t xml:space="preserve">SP was 0.75), and was clinically significant, with the 90% CIs outside the 80% to 125% acceptance range (0.37; 0.70 for </w:t>
      </w:r>
      <w:r w:rsidR="002A0E3F" w:rsidRPr="00316FF7">
        <w:rPr>
          <w:lang w:val="en-AU"/>
        </w:rPr>
        <w:t>E4</w:t>
      </w:r>
      <w:r w:rsidR="00606A67" w:rsidRPr="00316FF7">
        <w:rPr>
          <w:lang w:val="en-AU"/>
        </w:rPr>
        <w:t xml:space="preserve"> </w:t>
      </w:r>
      <w:r w:rsidRPr="00316FF7">
        <w:rPr>
          <w:lang w:val="en-AU"/>
        </w:rPr>
        <w:t xml:space="preserve">and 0.66; 0.84 for </w:t>
      </w:r>
      <w:r w:rsidR="002E199B" w:rsidRPr="00316FF7">
        <w:rPr>
          <w:lang w:val="en-AU"/>
        </w:rPr>
        <w:t>drospirenone</w:t>
      </w:r>
      <w:r w:rsidRPr="00316FF7">
        <w:rPr>
          <w:lang w:val="en-AU"/>
        </w:rPr>
        <w:t xml:space="preserve">). The peak concentration of </w:t>
      </w:r>
      <w:r w:rsidR="002A0E3F" w:rsidRPr="00316FF7">
        <w:rPr>
          <w:lang w:val="en-AU"/>
        </w:rPr>
        <w:t>E4</w:t>
      </w:r>
      <w:r w:rsidR="00606A67" w:rsidRPr="00316FF7">
        <w:rPr>
          <w:lang w:val="en-AU"/>
        </w:rPr>
        <w:t xml:space="preserve"> </w:t>
      </w:r>
      <w:r w:rsidRPr="00316FF7">
        <w:rPr>
          <w:lang w:val="en-AU"/>
        </w:rPr>
        <w:t xml:space="preserve">and </w:t>
      </w:r>
      <w:r w:rsidR="002E199B" w:rsidRPr="00316FF7">
        <w:rPr>
          <w:lang w:val="en-AU"/>
        </w:rPr>
        <w:t xml:space="preserve">drospirenone </w:t>
      </w:r>
      <w:r w:rsidRPr="00316FF7">
        <w:rPr>
          <w:lang w:val="en-AU"/>
        </w:rPr>
        <w:t>was also reached sooner in fasted conditions than in fed conditions.</w:t>
      </w:r>
    </w:p>
    <w:p w14:paraId="5E9EEB0B" w14:textId="77777777" w:rsidR="004E0498" w:rsidRPr="00316FF7" w:rsidRDefault="004E0498" w:rsidP="00DE770A">
      <w:pPr>
        <w:pStyle w:val="C-Heading3non-numbered"/>
        <w:rPr>
          <w:lang w:val="en-AU"/>
        </w:rPr>
      </w:pPr>
      <w:r w:rsidRPr="00316FF7">
        <w:rPr>
          <w:lang w:val="en-AU"/>
        </w:rPr>
        <w:t>Distribution</w:t>
      </w:r>
    </w:p>
    <w:p w14:paraId="11ABDFD0" w14:textId="53D1C80F" w:rsidR="002D776B" w:rsidRPr="00316FF7" w:rsidRDefault="002A0E3F" w:rsidP="00505018">
      <w:pPr>
        <w:pStyle w:val="C-BodyText"/>
        <w:rPr>
          <w:lang w:val="en-AU"/>
        </w:rPr>
      </w:pPr>
      <w:r w:rsidRPr="00316FF7">
        <w:rPr>
          <w:lang w:val="en-AU"/>
        </w:rPr>
        <w:t>E4</w:t>
      </w:r>
      <w:r w:rsidR="002D776B" w:rsidRPr="00316FF7">
        <w:rPr>
          <w:lang w:val="en-AU"/>
        </w:rPr>
        <w:t xml:space="preserve"> is moderately bound by human plasma proteins (45.5%-50.4%) and human serum albumin (58.6%), and low binding to human α</w:t>
      </w:r>
      <w:r w:rsidR="00505018">
        <w:rPr>
          <w:vertAlign w:val="subscript"/>
          <w:lang w:val="en-AU"/>
        </w:rPr>
        <w:t>1</w:t>
      </w:r>
      <w:r w:rsidR="002D776B" w:rsidRPr="00316FF7">
        <w:rPr>
          <w:lang w:val="en-AU"/>
        </w:rPr>
        <w:t>-</w:t>
      </w:r>
      <w:r w:rsidR="00505018">
        <w:rPr>
          <w:lang w:val="en-AU"/>
        </w:rPr>
        <w:t xml:space="preserve">acid </w:t>
      </w:r>
      <w:r w:rsidR="002D776B" w:rsidRPr="00316FF7">
        <w:rPr>
          <w:lang w:val="en-AU"/>
        </w:rPr>
        <w:t xml:space="preserve">glycoprotein (11.2%). </w:t>
      </w:r>
      <w:r w:rsidRPr="00316FF7">
        <w:rPr>
          <w:lang w:val="en-AU"/>
        </w:rPr>
        <w:t>E4</w:t>
      </w:r>
      <w:r w:rsidR="002D776B" w:rsidRPr="00316FF7">
        <w:rPr>
          <w:lang w:val="en-AU"/>
        </w:rPr>
        <w:t xml:space="preserve"> does not bind to SHBG. </w:t>
      </w:r>
      <w:r w:rsidR="00505018" w:rsidRPr="00505018">
        <w:rPr>
          <w:lang w:val="en-AU"/>
        </w:rPr>
        <w:t>E4 does not preferentially</w:t>
      </w:r>
      <w:r w:rsidR="00505018">
        <w:rPr>
          <w:lang w:val="en-AU"/>
        </w:rPr>
        <w:t xml:space="preserve"> </w:t>
      </w:r>
      <w:r w:rsidR="00505018" w:rsidRPr="00505018">
        <w:rPr>
          <w:lang w:val="en-AU"/>
        </w:rPr>
        <w:t>partition into blood cells.</w:t>
      </w:r>
    </w:p>
    <w:p w14:paraId="2706B023" w14:textId="1B823BEE" w:rsidR="002B441D" w:rsidRPr="00316FF7" w:rsidRDefault="002B441D" w:rsidP="002D776B">
      <w:pPr>
        <w:pStyle w:val="C-BodyText"/>
        <w:rPr>
          <w:lang w:val="en-AU"/>
        </w:rPr>
      </w:pPr>
      <w:r w:rsidRPr="00316FF7">
        <w:rPr>
          <w:lang w:val="en-AU"/>
        </w:rPr>
        <w:t>After oral administration, serum drospirenone levels decrease in two phases which are characterised by half-lives of 1.6 ± 0.7 h and 27.0 ± 7.5 h, respectively. Drospirenone is bound to serum albumin and does not bind to SHBG or corticoid binding globulin (CBG). Only 3 - 5% of the total serum drug concentrations are present as free steroid.</w:t>
      </w:r>
      <w:r w:rsidR="005E103F" w:rsidRPr="00316FF7">
        <w:rPr>
          <w:lang w:val="en-AU"/>
        </w:rPr>
        <w:t xml:space="preserve"> </w:t>
      </w:r>
      <w:r w:rsidRPr="00316FF7">
        <w:rPr>
          <w:lang w:val="en-AU"/>
        </w:rPr>
        <w:t>The ethinylestradiol-induced increase in SHBG does not influence the serum protein binding of drospirenone. The mean apparent volume of distribution of drospirenone is 3.7 ± 1.2 L/kg.</w:t>
      </w:r>
    </w:p>
    <w:p w14:paraId="24AFC8A6" w14:textId="77777777" w:rsidR="004E0498" w:rsidRPr="00316FF7" w:rsidRDefault="004E0498" w:rsidP="00DE770A">
      <w:pPr>
        <w:pStyle w:val="C-Heading3non-numbered"/>
        <w:rPr>
          <w:lang w:val="en-AU"/>
        </w:rPr>
      </w:pPr>
      <w:r w:rsidRPr="00316FF7">
        <w:rPr>
          <w:lang w:val="en-AU"/>
        </w:rPr>
        <w:t>Metabolism</w:t>
      </w:r>
    </w:p>
    <w:p w14:paraId="06B1436D" w14:textId="195600F0" w:rsidR="002D776B" w:rsidRPr="00316FF7" w:rsidRDefault="00422EE4" w:rsidP="00D87BF0">
      <w:pPr>
        <w:pStyle w:val="C-BodyText"/>
        <w:rPr>
          <w:lang w:val="en-AU"/>
        </w:rPr>
      </w:pPr>
      <w:r w:rsidRPr="00316FF7">
        <w:rPr>
          <w:lang w:val="en-AU"/>
        </w:rPr>
        <w:t xml:space="preserve">After oral administration of 15 mg estetrol monohydrate alone, </w:t>
      </w:r>
      <w:r w:rsidR="002A0E3F" w:rsidRPr="00316FF7">
        <w:rPr>
          <w:lang w:val="en-AU"/>
        </w:rPr>
        <w:t>E4</w:t>
      </w:r>
      <w:r w:rsidRPr="00316FF7">
        <w:rPr>
          <w:lang w:val="en-AU"/>
        </w:rPr>
        <w:t xml:space="preserve"> undergoes extensive phase 2 metabolism to form glucuronide and sulphate conjugates. </w:t>
      </w:r>
      <w:r w:rsidR="00D87BF0" w:rsidRPr="00D87BF0">
        <w:rPr>
          <w:lang w:val="en-AU"/>
        </w:rPr>
        <w:t>The contribution of hepatic CYPs to the</w:t>
      </w:r>
      <w:r w:rsidR="00D87BF0">
        <w:rPr>
          <w:lang w:val="en-AU"/>
        </w:rPr>
        <w:t xml:space="preserve"> </w:t>
      </w:r>
      <w:r w:rsidR="00D87BF0" w:rsidRPr="00D87BF0">
        <w:rPr>
          <w:lang w:val="en-AU"/>
        </w:rPr>
        <w:t xml:space="preserve">metabolism of </w:t>
      </w:r>
      <w:r w:rsidR="00D87BF0">
        <w:rPr>
          <w:lang w:val="en-AU"/>
        </w:rPr>
        <w:t>E4</w:t>
      </w:r>
      <w:r w:rsidR="00D87BF0" w:rsidRPr="00D87BF0">
        <w:rPr>
          <w:lang w:val="en-AU"/>
        </w:rPr>
        <w:t xml:space="preserve"> is very limited; instead, UGT2B7 and SULT1E1 </w:t>
      </w:r>
      <w:r w:rsidR="00D87BF0" w:rsidRPr="00D87BF0">
        <w:rPr>
          <w:lang w:val="en-AU"/>
        </w:rPr>
        <w:lastRenderedPageBreak/>
        <w:t>play major roles.</w:t>
      </w:r>
      <w:r w:rsidR="00D87BF0">
        <w:rPr>
          <w:lang w:val="en-AU"/>
        </w:rPr>
        <w:t xml:space="preserve"> </w:t>
      </w:r>
      <w:r w:rsidRPr="00316FF7">
        <w:rPr>
          <w:lang w:val="en-AU"/>
        </w:rPr>
        <w:t xml:space="preserve">Pharmacokinetic data demonstrate that most of the </w:t>
      </w:r>
      <w:r w:rsidR="002A0E3F" w:rsidRPr="00316FF7">
        <w:rPr>
          <w:lang w:val="en-AU"/>
        </w:rPr>
        <w:t>E4</w:t>
      </w:r>
      <w:r w:rsidRPr="00316FF7">
        <w:rPr>
          <w:lang w:val="en-AU"/>
        </w:rPr>
        <w:t xml:space="preserve"> is bioavailable and is excreted in the urine as sulphate and gluc</w:t>
      </w:r>
      <w:r w:rsidR="00550AA1" w:rsidRPr="00316FF7">
        <w:rPr>
          <w:lang w:val="en-AU"/>
        </w:rPr>
        <w:t>ur</w:t>
      </w:r>
      <w:r w:rsidRPr="00316FF7">
        <w:rPr>
          <w:lang w:val="en-AU"/>
        </w:rPr>
        <w:t>onide conjugates in contrast to other estrogens, which are mainly excreted through the bile.</w:t>
      </w:r>
      <w:r w:rsidR="00D87BF0">
        <w:rPr>
          <w:lang w:val="en-AU"/>
        </w:rPr>
        <w:t xml:space="preserve"> </w:t>
      </w:r>
      <w:r w:rsidR="00D87BF0" w:rsidRPr="00D87BF0">
        <w:rPr>
          <w:lang w:val="en-AU"/>
        </w:rPr>
        <w:t xml:space="preserve">The glucuronide metabolites of </w:t>
      </w:r>
      <w:r w:rsidR="00D87BF0">
        <w:rPr>
          <w:lang w:val="en-AU"/>
        </w:rPr>
        <w:t>E4</w:t>
      </w:r>
      <w:r w:rsidR="00D87BF0" w:rsidRPr="00D87BF0">
        <w:rPr>
          <w:lang w:val="en-AU"/>
        </w:rPr>
        <w:t xml:space="preserve"> were shown to possess</w:t>
      </w:r>
      <w:r w:rsidR="00D87BF0">
        <w:rPr>
          <w:lang w:val="en-AU"/>
        </w:rPr>
        <w:t xml:space="preserve"> </w:t>
      </w:r>
      <w:r w:rsidR="00D87BF0" w:rsidRPr="00D87BF0">
        <w:rPr>
          <w:lang w:val="en-AU"/>
        </w:rPr>
        <w:t>negligible estrogenic activity.</w:t>
      </w:r>
    </w:p>
    <w:p w14:paraId="6C3DFC8E" w14:textId="6B99DE6D" w:rsidR="00183DBB" w:rsidRPr="00316FF7" w:rsidRDefault="00183DBB" w:rsidP="002D776B">
      <w:pPr>
        <w:pStyle w:val="C-BodyText"/>
        <w:rPr>
          <w:lang w:val="en-AU"/>
        </w:rPr>
      </w:pPr>
      <w:r w:rsidRPr="00316FF7">
        <w:rPr>
          <w:lang w:val="en-AU"/>
        </w:rPr>
        <w:t xml:space="preserve">Drospirenone is extensively metabolised after oral administration. The major metabolites in the plasma are the acid form of drospirenone, generated by opening of the lactone ring, and the 4,5-dihydro-drospirenone-3-sulfate, formed by reduction and subsequent sulfation. Drospirenone is also subject to oxidative metabolism catalysed by </w:t>
      </w:r>
      <w:r w:rsidR="00D87BF0">
        <w:rPr>
          <w:lang w:val="en-AU"/>
        </w:rPr>
        <w:t>CYP</w:t>
      </w:r>
      <w:r w:rsidRPr="00316FF7">
        <w:rPr>
          <w:lang w:val="en-AU"/>
        </w:rPr>
        <w:t xml:space="preserve">3A4 and has demonstrated a capacity to inhibit this enzyme and </w:t>
      </w:r>
      <w:r w:rsidR="00D87BF0">
        <w:rPr>
          <w:lang w:val="en-AU"/>
        </w:rPr>
        <w:t>CYP</w:t>
      </w:r>
      <w:r w:rsidRPr="00316FF7">
        <w:rPr>
          <w:lang w:val="en-AU"/>
        </w:rPr>
        <w:t xml:space="preserve">1A1, </w:t>
      </w:r>
      <w:r w:rsidR="00D87BF0">
        <w:rPr>
          <w:lang w:val="en-AU"/>
        </w:rPr>
        <w:t>CYP</w:t>
      </w:r>
      <w:r w:rsidRPr="00316FF7">
        <w:rPr>
          <w:lang w:val="en-AU"/>
        </w:rPr>
        <w:t xml:space="preserve">2C9 and  </w:t>
      </w:r>
      <w:r w:rsidR="00D87BF0">
        <w:rPr>
          <w:lang w:val="en-AU"/>
        </w:rPr>
        <w:t>CYP</w:t>
      </w:r>
      <w:r w:rsidRPr="00316FF7">
        <w:rPr>
          <w:lang w:val="en-AU"/>
        </w:rPr>
        <w:t xml:space="preserve">2C19 </w:t>
      </w:r>
      <w:r w:rsidRPr="00316FF7">
        <w:rPr>
          <w:i/>
          <w:lang w:val="en-AU"/>
        </w:rPr>
        <w:t>in vitro</w:t>
      </w:r>
      <w:r w:rsidRPr="00316FF7">
        <w:rPr>
          <w:lang w:val="en-AU"/>
        </w:rPr>
        <w:t>.</w:t>
      </w:r>
    </w:p>
    <w:p w14:paraId="626555C0" w14:textId="77777777" w:rsidR="004E0498" w:rsidRPr="00316FF7" w:rsidRDefault="004E0498" w:rsidP="00DE770A">
      <w:pPr>
        <w:pStyle w:val="C-Heading3non-numbered"/>
        <w:rPr>
          <w:lang w:val="en-AU"/>
        </w:rPr>
      </w:pPr>
      <w:r w:rsidRPr="00316FF7">
        <w:rPr>
          <w:lang w:val="en-AU"/>
        </w:rPr>
        <w:t>Ex</w:t>
      </w:r>
      <w:r w:rsidR="003400C9" w:rsidRPr="00316FF7">
        <w:rPr>
          <w:lang w:val="en-AU"/>
        </w:rPr>
        <w:t>cre</w:t>
      </w:r>
      <w:r w:rsidRPr="00316FF7">
        <w:rPr>
          <w:lang w:val="en-AU"/>
        </w:rPr>
        <w:t>tion</w:t>
      </w:r>
    </w:p>
    <w:p w14:paraId="64979B30" w14:textId="7909209D" w:rsidR="002D776B" w:rsidRPr="00316FF7" w:rsidRDefault="002D776B" w:rsidP="00BC7EB1">
      <w:pPr>
        <w:pStyle w:val="C-BodyText"/>
        <w:rPr>
          <w:lang w:val="en-AU"/>
        </w:rPr>
      </w:pPr>
      <w:r w:rsidRPr="00316FF7">
        <w:rPr>
          <w:lang w:val="en-AU"/>
        </w:rPr>
        <w:t xml:space="preserve">The terminal elimination half-life of </w:t>
      </w:r>
      <w:r w:rsidR="002A0E3F" w:rsidRPr="00316FF7">
        <w:rPr>
          <w:lang w:val="en-AU"/>
        </w:rPr>
        <w:t>E4</w:t>
      </w:r>
      <w:r w:rsidRPr="00316FF7">
        <w:rPr>
          <w:lang w:val="en-AU"/>
        </w:rPr>
        <w:t xml:space="preserve"> was observed around 24 hours under steady-state conditions. Following administration of a single oral solution of 15 mg [</w:t>
      </w:r>
      <w:r w:rsidRPr="00316FF7">
        <w:rPr>
          <w:vertAlign w:val="superscript"/>
          <w:lang w:val="en-AU"/>
        </w:rPr>
        <w:t>14</w:t>
      </w:r>
      <w:r w:rsidRPr="00316FF7">
        <w:rPr>
          <w:lang w:val="en-AU"/>
        </w:rPr>
        <w:t>C]-estetrol (monohydrate), approximately 70% of the total recovered radioactivity was detected in urine as glucuronide and sulphate conjugated metabolites and 22% in f</w:t>
      </w:r>
      <w:r w:rsidR="002B25FC">
        <w:rPr>
          <w:lang w:val="en-AU"/>
        </w:rPr>
        <w:t>a</w:t>
      </w:r>
      <w:r w:rsidRPr="00316FF7">
        <w:rPr>
          <w:lang w:val="en-AU"/>
        </w:rPr>
        <w:t xml:space="preserve">eces as unconjugated </w:t>
      </w:r>
      <w:r w:rsidR="002A0E3F" w:rsidRPr="00316FF7">
        <w:rPr>
          <w:lang w:val="en-AU"/>
        </w:rPr>
        <w:t>E4</w:t>
      </w:r>
      <w:r w:rsidRPr="00316FF7">
        <w:rPr>
          <w:lang w:val="en-AU"/>
        </w:rPr>
        <w:t>.</w:t>
      </w:r>
    </w:p>
    <w:p w14:paraId="2729649E" w14:textId="56AC32DC" w:rsidR="00DE770A" w:rsidRPr="00316FF7" w:rsidRDefault="003301C7" w:rsidP="00B845D7">
      <w:pPr>
        <w:pStyle w:val="C-BodyText"/>
        <w:rPr>
          <w:lang w:val="en-AU"/>
        </w:rPr>
      </w:pPr>
      <w:r w:rsidRPr="00316FF7">
        <w:rPr>
          <w:lang w:val="en-AU"/>
        </w:rPr>
        <w:t xml:space="preserve">The metabolic clearance rate of drospirenone in serum is 1.5 ± 0.2 mL/min/kg. Drospirenone is excreted only in trace amounts in unchanged form. The metabolites of drospirenone are excreted with the faeces and urine at an excretion ratio of about 1.2 to 1.4. The </w:t>
      </w:r>
      <w:r w:rsidR="00AE047A" w:rsidRPr="00316FF7">
        <w:rPr>
          <w:lang w:val="en-AU"/>
        </w:rPr>
        <w:t>half-life</w:t>
      </w:r>
      <w:r w:rsidRPr="00316FF7">
        <w:rPr>
          <w:lang w:val="en-AU"/>
        </w:rPr>
        <w:t xml:space="preserve"> of metabolite excretion with the urine and faeces is about 40 h</w:t>
      </w:r>
      <w:r w:rsidR="00AE047A" w:rsidRPr="00316FF7">
        <w:rPr>
          <w:lang w:val="en-AU"/>
        </w:rPr>
        <w:t>ours</w:t>
      </w:r>
      <w:r w:rsidRPr="00316FF7">
        <w:rPr>
          <w:lang w:val="en-AU"/>
        </w:rPr>
        <w:t>.</w:t>
      </w:r>
    </w:p>
    <w:p w14:paraId="7A05D59D" w14:textId="77777777" w:rsidR="00DE770A" w:rsidRPr="00316FF7" w:rsidRDefault="007F49AA" w:rsidP="006E0396">
      <w:pPr>
        <w:pStyle w:val="C-Heading2"/>
        <w:rPr>
          <w:lang w:val="en-AU"/>
        </w:rPr>
      </w:pPr>
      <w:r w:rsidRPr="00316FF7">
        <w:rPr>
          <w:lang w:val="en-AU"/>
        </w:rPr>
        <w:t>Preclinical Safety Data</w:t>
      </w:r>
    </w:p>
    <w:p w14:paraId="7E01A535" w14:textId="77777777" w:rsidR="00564402" w:rsidRPr="00316FF7" w:rsidRDefault="00D600AF" w:rsidP="00564402">
      <w:pPr>
        <w:pStyle w:val="C-Heading3non-numbered"/>
        <w:rPr>
          <w:lang w:val="en-AU"/>
        </w:rPr>
      </w:pPr>
      <w:r w:rsidRPr="00316FF7">
        <w:rPr>
          <w:lang w:val="en-AU"/>
        </w:rPr>
        <w:t>Genotoxicity</w:t>
      </w:r>
    </w:p>
    <w:p w14:paraId="64944A73" w14:textId="7AD87FC4" w:rsidR="00BC7EB1" w:rsidRPr="00BC7EB1" w:rsidRDefault="00BC7EB1" w:rsidP="00BC7EB1">
      <w:pPr>
        <w:pStyle w:val="C-BodyText"/>
        <w:rPr>
          <w:lang w:val="en-AU"/>
        </w:rPr>
      </w:pPr>
      <w:r>
        <w:rPr>
          <w:lang w:val="en-AU"/>
        </w:rPr>
        <w:t>E4</w:t>
      </w:r>
      <w:r w:rsidRPr="00BC7EB1">
        <w:rPr>
          <w:lang w:val="en-AU"/>
        </w:rPr>
        <w:t xml:space="preserve"> is not</w:t>
      </w:r>
      <w:r>
        <w:rPr>
          <w:lang w:val="en-AU"/>
        </w:rPr>
        <w:t xml:space="preserve"> </w:t>
      </w:r>
      <w:r w:rsidRPr="00BC7EB1">
        <w:rPr>
          <w:lang w:val="en-AU"/>
        </w:rPr>
        <w:t xml:space="preserve">considered to be genotoxic based on the weight of evidence from a set of </w:t>
      </w:r>
      <w:r w:rsidRPr="00BC7EB1">
        <w:rPr>
          <w:i/>
          <w:iCs/>
          <w:lang w:val="en-AU"/>
        </w:rPr>
        <w:t>in vitro</w:t>
      </w:r>
      <w:r w:rsidRPr="00BC7EB1">
        <w:rPr>
          <w:lang w:val="en-AU"/>
        </w:rPr>
        <w:t xml:space="preserve"> and </w:t>
      </w:r>
      <w:r w:rsidRPr="00BC7EB1">
        <w:rPr>
          <w:i/>
          <w:iCs/>
          <w:lang w:val="en-AU"/>
        </w:rPr>
        <w:t>in vivo</w:t>
      </w:r>
      <w:r>
        <w:rPr>
          <w:lang w:val="en-AU"/>
        </w:rPr>
        <w:t xml:space="preserve"> </w:t>
      </w:r>
      <w:r w:rsidRPr="00BC7EB1">
        <w:rPr>
          <w:lang w:val="en-AU"/>
        </w:rPr>
        <w:t>studies, comprising assays for mutagenicity in bacterial and mammalian cells, and the rat</w:t>
      </w:r>
      <w:r>
        <w:rPr>
          <w:lang w:val="en-AU"/>
        </w:rPr>
        <w:t xml:space="preserve"> </w:t>
      </w:r>
      <w:r w:rsidRPr="00BC7EB1">
        <w:rPr>
          <w:lang w:val="en-AU"/>
        </w:rPr>
        <w:t>bone marrow micronucleus test and Comet assay.</w:t>
      </w:r>
    </w:p>
    <w:p w14:paraId="3C6D2429" w14:textId="03E73182" w:rsidR="00D40ED3" w:rsidRPr="00316FF7" w:rsidRDefault="00BC7EB1" w:rsidP="00BC7EB1">
      <w:pPr>
        <w:pStyle w:val="C-BodyText"/>
        <w:rPr>
          <w:lang w:val="en-AU"/>
        </w:rPr>
      </w:pPr>
      <w:r w:rsidRPr="00BC7EB1">
        <w:rPr>
          <w:lang w:val="en-AU"/>
        </w:rPr>
        <w:t>Drospirenone was found to induce chromosome aberrations in human peripheral</w:t>
      </w:r>
      <w:r>
        <w:rPr>
          <w:lang w:val="en-AU"/>
        </w:rPr>
        <w:t xml:space="preserve"> </w:t>
      </w:r>
      <w:r w:rsidRPr="00BC7EB1">
        <w:rPr>
          <w:lang w:val="en-AU"/>
        </w:rPr>
        <w:t>lymphocytes. However, drospirenone was not mutagenic in bacterial and mammalian cell</w:t>
      </w:r>
      <w:r>
        <w:rPr>
          <w:lang w:val="en-AU"/>
        </w:rPr>
        <w:t xml:space="preserve"> </w:t>
      </w:r>
      <w:r w:rsidRPr="00BC7EB1">
        <w:rPr>
          <w:lang w:val="en-AU"/>
        </w:rPr>
        <w:t xml:space="preserve">gene mutation assays </w:t>
      </w:r>
      <w:r w:rsidRPr="00BC7EB1">
        <w:rPr>
          <w:i/>
          <w:iCs/>
          <w:lang w:val="en-AU"/>
        </w:rPr>
        <w:t>in vitro</w:t>
      </w:r>
      <w:r w:rsidRPr="00BC7EB1">
        <w:rPr>
          <w:lang w:val="en-AU"/>
        </w:rPr>
        <w:t xml:space="preserve"> and was not clastogenic in mouse micronucleus assays </w:t>
      </w:r>
      <w:r w:rsidRPr="00BC7EB1">
        <w:rPr>
          <w:i/>
          <w:iCs/>
          <w:lang w:val="en-AU"/>
        </w:rPr>
        <w:t>in vivo</w:t>
      </w:r>
      <w:r w:rsidRPr="00BC7EB1">
        <w:rPr>
          <w:lang w:val="en-AU"/>
        </w:rPr>
        <w:t>.</w:t>
      </w:r>
      <w:r>
        <w:rPr>
          <w:lang w:val="en-AU"/>
        </w:rPr>
        <w:t xml:space="preserve"> </w:t>
      </w:r>
      <w:r w:rsidRPr="00BC7EB1">
        <w:rPr>
          <w:lang w:val="en-AU"/>
        </w:rPr>
        <w:t>Interactions between drospirenone and the DNA of liver cells, which indicate a genotoxic</w:t>
      </w:r>
      <w:r>
        <w:rPr>
          <w:lang w:val="en-AU"/>
        </w:rPr>
        <w:t xml:space="preserve"> </w:t>
      </w:r>
      <w:r w:rsidRPr="00BC7EB1">
        <w:rPr>
          <w:lang w:val="en-AU"/>
        </w:rPr>
        <w:t xml:space="preserve">potential, were found in </w:t>
      </w:r>
      <w:r w:rsidRPr="00BC7EB1">
        <w:rPr>
          <w:i/>
          <w:iCs/>
          <w:lang w:val="en-AU"/>
        </w:rPr>
        <w:t>in vitro</w:t>
      </w:r>
      <w:r w:rsidRPr="00BC7EB1">
        <w:rPr>
          <w:lang w:val="en-AU"/>
        </w:rPr>
        <w:t xml:space="preserve"> and </w:t>
      </w:r>
      <w:r w:rsidRPr="00BC7EB1">
        <w:rPr>
          <w:i/>
          <w:iCs/>
          <w:lang w:val="en-AU"/>
        </w:rPr>
        <w:t>in vivo</w:t>
      </w:r>
      <w:r w:rsidRPr="00BC7EB1">
        <w:rPr>
          <w:lang w:val="en-AU"/>
        </w:rPr>
        <w:t xml:space="preserve"> studies in rats. No such finding was observed in</w:t>
      </w:r>
      <w:r>
        <w:rPr>
          <w:lang w:val="en-AU"/>
        </w:rPr>
        <w:t xml:space="preserve"> </w:t>
      </w:r>
      <w:r w:rsidRPr="00BC7EB1">
        <w:rPr>
          <w:lang w:val="en-AU"/>
        </w:rPr>
        <w:t xml:space="preserve">human liver cells </w:t>
      </w:r>
      <w:r w:rsidRPr="00BC7EB1">
        <w:rPr>
          <w:i/>
          <w:iCs/>
          <w:lang w:val="en-AU"/>
        </w:rPr>
        <w:t>in vitro</w:t>
      </w:r>
      <w:r w:rsidRPr="00BC7EB1">
        <w:rPr>
          <w:lang w:val="en-AU"/>
        </w:rPr>
        <w:t>.</w:t>
      </w:r>
    </w:p>
    <w:p w14:paraId="4210FB35" w14:textId="77777777" w:rsidR="00D600AF" w:rsidRPr="00316FF7" w:rsidRDefault="00D600AF" w:rsidP="00D600AF">
      <w:pPr>
        <w:pStyle w:val="C-Heading3non-numbered"/>
        <w:rPr>
          <w:lang w:val="en-AU"/>
        </w:rPr>
      </w:pPr>
      <w:r w:rsidRPr="00316FF7">
        <w:rPr>
          <w:lang w:val="en-AU"/>
        </w:rPr>
        <w:t>Carcinogenicity</w:t>
      </w:r>
    </w:p>
    <w:p w14:paraId="2081F094" w14:textId="0ED3E736" w:rsidR="00D600AF" w:rsidRPr="00484E75" w:rsidRDefault="00C443ED" w:rsidP="00D600AF">
      <w:pPr>
        <w:pStyle w:val="C-BodyText"/>
        <w:rPr>
          <w:u w:color="FF0000"/>
          <w:lang w:val="en-AU"/>
        </w:rPr>
      </w:pPr>
      <w:r w:rsidRPr="00484E75">
        <w:rPr>
          <w:u w:color="FF0000"/>
          <w:lang w:val="en-AU"/>
        </w:rPr>
        <w:t>Carcinogenicity studies have not been performed with E4 and drospirenone in combination.</w:t>
      </w:r>
      <w:r w:rsidR="00D600AF" w:rsidRPr="00484E75">
        <w:rPr>
          <w:vanish/>
          <w:u w:color="FF0000"/>
          <w:lang w:val="en-AU"/>
        </w:rPr>
        <w:t>This subheading is mandatory standard text. If no data are available, then a cross-reference to another relevant section or the below standard text is included.</w:t>
      </w:r>
    </w:p>
    <w:p w14:paraId="7E570201" w14:textId="4645DE73" w:rsidR="00803217" w:rsidRPr="00316FF7" w:rsidRDefault="009B3382" w:rsidP="00830814">
      <w:pPr>
        <w:pStyle w:val="C-BodyText"/>
        <w:rPr>
          <w:lang w:val="en-AU"/>
        </w:rPr>
      </w:pPr>
      <w:r w:rsidRPr="00316FF7">
        <w:rPr>
          <w:lang w:val="en-AU"/>
        </w:rPr>
        <w:t xml:space="preserve">In a </w:t>
      </w:r>
      <w:r w:rsidR="00B61918" w:rsidRPr="00316FF7">
        <w:rPr>
          <w:lang w:val="en-AU"/>
        </w:rPr>
        <w:t>2-year</w:t>
      </w:r>
      <w:r w:rsidRPr="00316FF7">
        <w:rPr>
          <w:lang w:val="en-AU"/>
        </w:rPr>
        <w:t xml:space="preserve"> oral carcinogenicity study </w:t>
      </w:r>
      <w:r w:rsidR="00FA097E">
        <w:rPr>
          <w:lang w:val="en-AU"/>
        </w:rPr>
        <w:t xml:space="preserve">with E4 </w:t>
      </w:r>
      <w:r w:rsidRPr="00316FF7">
        <w:rPr>
          <w:lang w:val="en-AU"/>
        </w:rPr>
        <w:t xml:space="preserve">in mice, </w:t>
      </w:r>
      <w:r w:rsidR="00304AE6" w:rsidRPr="00316FF7">
        <w:rPr>
          <w:lang w:val="en-AU"/>
        </w:rPr>
        <w:t xml:space="preserve">an increase of </w:t>
      </w:r>
      <w:r w:rsidRPr="00316FF7">
        <w:rPr>
          <w:lang w:val="en-AU"/>
        </w:rPr>
        <w:t xml:space="preserve">uterine and </w:t>
      </w:r>
      <w:r w:rsidR="00E13FC6" w:rsidRPr="00316FF7">
        <w:rPr>
          <w:lang w:val="en-AU"/>
        </w:rPr>
        <w:t xml:space="preserve">cervix </w:t>
      </w:r>
      <w:r w:rsidR="00304AE6" w:rsidRPr="00316FF7">
        <w:rPr>
          <w:lang w:val="en-AU"/>
        </w:rPr>
        <w:t>neoplasms</w:t>
      </w:r>
      <w:r w:rsidRPr="00316FF7">
        <w:rPr>
          <w:lang w:val="en-AU"/>
        </w:rPr>
        <w:t xml:space="preserve"> </w:t>
      </w:r>
      <w:r w:rsidR="00304AE6" w:rsidRPr="00316FF7">
        <w:rPr>
          <w:lang w:val="en-AU"/>
        </w:rPr>
        <w:t xml:space="preserve">was </w:t>
      </w:r>
      <w:r w:rsidRPr="00316FF7">
        <w:rPr>
          <w:lang w:val="en-AU"/>
        </w:rPr>
        <w:t xml:space="preserve">found at ≥ 0.25 mg/kg/day and </w:t>
      </w:r>
      <w:r w:rsidR="00304AE6" w:rsidRPr="00316FF7">
        <w:rPr>
          <w:lang w:val="en-AU"/>
        </w:rPr>
        <w:t xml:space="preserve">of mammary gland and pituitary gland </w:t>
      </w:r>
      <w:r w:rsidRPr="00316FF7">
        <w:rPr>
          <w:lang w:val="en-AU"/>
        </w:rPr>
        <w:t xml:space="preserve">at 1 </w:t>
      </w:r>
      <w:r w:rsidRPr="00316FF7">
        <w:rPr>
          <w:lang w:val="en-AU"/>
        </w:rPr>
        <w:lastRenderedPageBreak/>
        <w:t xml:space="preserve">mg/kg/day. </w:t>
      </w:r>
      <w:r w:rsidR="00484E75" w:rsidRPr="00484E75">
        <w:rPr>
          <w:lang w:val="en-AU"/>
        </w:rPr>
        <w:t>Systemic exposure in animals at these doses was 1.4</w:t>
      </w:r>
      <w:r w:rsidR="00484E75">
        <w:rPr>
          <w:lang w:val="en-AU"/>
        </w:rPr>
        <w:t>-</w:t>
      </w:r>
      <w:r w:rsidR="00484E75" w:rsidRPr="00484E75">
        <w:rPr>
          <w:lang w:val="en-AU"/>
        </w:rPr>
        <w:t>6 times lower</w:t>
      </w:r>
      <w:r w:rsidR="00484E75">
        <w:rPr>
          <w:lang w:val="en-AU"/>
        </w:rPr>
        <w:t xml:space="preserve"> </w:t>
      </w:r>
      <w:r w:rsidR="00484E75" w:rsidRPr="00484E75">
        <w:rPr>
          <w:lang w:val="en-AU"/>
        </w:rPr>
        <w:t>than in patients treated with NEXTSTELLIS (based on plasma AUC).</w:t>
      </w:r>
      <w:r w:rsidR="00484E75">
        <w:rPr>
          <w:lang w:val="en-AU"/>
        </w:rPr>
        <w:t xml:space="preserve"> </w:t>
      </w:r>
      <w:r w:rsidRPr="00316FF7">
        <w:rPr>
          <w:lang w:val="en-AU"/>
        </w:rPr>
        <w:t xml:space="preserve">In a similar study in rats, </w:t>
      </w:r>
      <w:r w:rsidR="00484E75">
        <w:rPr>
          <w:lang w:val="en-AU"/>
        </w:rPr>
        <w:t xml:space="preserve">E4 caused </w:t>
      </w:r>
      <w:r w:rsidRPr="00316FF7">
        <w:rPr>
          <w:lang w:val="en-AU"/>
        </w:rPr>
        <w:t xml:space="preserve">an increased incidence of mammary </w:t>
      </w:r>
      <w:r w:rsidR="00304AE6" w:rsidRPr="00316FF7">
        <w:rPr>
          <w:lang w:val="en-AU"/>
        </w:rPr>
        <w:t xml:space="preserve">gland neoplasms </w:t>
      </w:r>
      <w:r w:rsidRPr="00316FF7">
        <w:rPr>
          <w:lang w:val="en-AU"/>
        </w:rPr>
        <w:t>(adenocarcinoma)</w:t>
      </w:r>
      <w:r w:rsidR="00484E75">
        <w:rPr>
          <w:lang w:val="en-AU"/>
        </w:rPr>
        <w:t xml:space="preserve"> </w:t>
      </w:r>
      <w:r w:rsidR="00484E75" w:rsidRPr="00484E75">
        <w:rPr>
          <w:lang w:val="en-AU"/>
        </w:rPr>
        <w:t>with dosing at 0.8 mg/kg/day, yielding systemic exposure around half that</w:t>
      </w:r>
      <w:r w:rsidR="00484E75">
        <w:rPr>
          <w:lang w:val="en-AU"/>
        </w:rPr>
        <w:t xml:space="preserve"> </w:t>
      </w:r>
      <w:r w:rsidR="00484E75" w:rsidRPr="00484E75">
        <w:rPr>
          <w:lang w:val="en-AU"/>
        </w:rPr>
        <w:t>of patients</w:t>
      </w:r>
      <w:r w:rsidRPr="00316FF7">
        <w:rPr>
          <w:lang w:val="en-AU"/>
        </w:rPr>
        <w:t>.</w:t>
      </w:r>
      <w:r w:rsidR="00830814">
        <w:rPr>
          <w:lang w:val="en-AU"/>
        </w:rPr>
        <w:t xml:space="preserve"> </w:t>
      </w:r>
      <w:r w:rsidR="00830814" w:rsidRPr="00830814">
        <w:rPr>
          <w:lang w:val="en-AU"/>
        </w:rPr>
        <w:t>The tumours observed in rodents after E4 treatment are consistent with its estrogenic</w:t>
      </w:r>
      <w:r w:rsidR="00830814">
        <w:rPr>
          <w:lang w:val="en-AU"/>
        </w:rPr>
        <w:t xml:space="preserve"> </w:t>
      </w:r>
      <w:r w:rsidR="00830814" w:rsidRPr="00830814">
        <w:rPr>
          <w:lang w:val="en-AU"/>
        </w:rPr>
        <w:t>properties. Rodents are recognised to be particularly sensitive to the development of tumours</w:t>
      </w:r>
      <w:r w:rsidR="00830814">
        <w:rPr>
          <w:lang w:val="en-AU"/>
        </w:rPr>
        <w:t xml:space="preserve"> </w:t>
      </w:r>
      <w:r w:rsidR="00830814" w:rsidRPr="00830814">
        <w:rPr>
          <w:lang w:val="en-AU"/>
        </w:rPr>
        <w:t>following hormonal perturbation.</w:t>
      </w:r>
      <w:r w:rsidR="00803217" w:rsidRPr="00316FF7">
        <w:rPr>
          <w:lang w:val="en-AU"/>
        </w:rPr>
        <w:t xml:space="preserve"> </w:t>
      </w:r>
    </w:p>
    <w:p w14:paraId="4F4CCB71" w14:textId="22616A29" w:rsidR="0006508B" w:rsidRPr="00316FF7" w:rsidRDefault="0006508B" w:rsidP="009B3382">
      <w:pPr>
        <w:pStyle w:val="C-BodyText"/>
        <w:rPr>
          <w:lang w:val="en-AU"/>
        </w:rPr>
      </w:pPr>
      <w:r w:rsidRPr="00316FF7">
        <w:rPr>
          <w:lang w:val="en-AU"/>
        </w:rPr>
        <w:t>Long-term carcinogenicity studies were performed in mice and rats with drospirenone. After 2 years oral treatment of mice and rats, there were no increases in the incidence of neoplastic lesions. Exposure to drospirenone (based on AUC) was up to 3-fold (mice) and 8-fold (rats) than that anticipated in humans at the recommended clinical dose.</w:t>
      </w:r>
    </w:p>
    <w:p w14:paraId="67BEEF5F" w14:textId="7FEE8849" w:rsidR="00803217" w:rsidRPr="00316FF7" w:rsidRDefault="00857680" w:rsidP="009B3382">
      <w:pPr>
        <w:pStyle w:val="C-BodyText"/>
        <w:rPr>
          <w:lang w:val="en-AU"/>
        </w:rPr>
      </w:pPr>
      <w:r>
        <w:rPr>
          <w:lang w:val="en-AU"/>
        </w:rPr>
        <w:t>I</w:t>
      </w:r>
      <w:r w:rsidR="00803217" w:rsidRPr="00316FF7">
        <w:rPr>
          <w:lang w:val="en-AU"/>
        </w:rPr>
        <w:t xml:space="preserve">t should be </w:t>
      </w:r>
      <w:r w:rsidR="00830814">
        <w:rPr>
          <w:lang w:val="en-AU"/>
        </w:rPr>
        <w:t xml:space="preserve">borne in mind </w:t>
      </w:r>
      <w:r w:rsidR="00803217" w:rsidRPr="00316FF7">
        <w:rPr>
          <w:lang w:val="en-AU"/>
        </w:rPr>
        <w:t>that sex steroids can promote the growth of certain hormone-dependent tumours.</w:t>
      </w:r>
      <w:r>
        <w:rPr>
          <w:lang w:val="en-AU"/>
        </w:rPr>
        <w:t xml:space="preserve"> L</w:t>
      </w:r>
      <w:r w:rsidRPr="00857680">
        <w:rPr>
          <w:lang w:val="en-AU"/>
        </w:rPr>
        <w:t xml:space="preserve">ong-term animal </w:t>
      </w:r>
      <w:proofErr w:type="gramStart"/>
      <w:r w:rsidRPr="00857680">
        <w:rPr>
          <w:lang w:val="en-AU"/>
        </w:rPr>
        <w:t>studies</w:t>
      </w:r>
      <w:proofErr w:type="gramEnd"/>
      <w:r>
        <w:rPr>
          <w:lang w:val="en-AU"/>
        </w:rPr>
        <w:t xml:space="preserve"> however,</w:t>
      </w:r>
      <w:r w:rsidRPr="00857680">
        <w:rPr>
          <w:lang w:val="en-AU"/>
        </w:rPr>
        <w:t xml:space="preserve"> did not definitively indicate a tumourigenic potential for the clinical use of either drospirenone or estetrol</w:t>
      </w:r>
      <w:r>
        <w:rPr>
          <w:lang w:val="en-AU"/>
        </w:rPr>
        <w:t>.</w:t>
      </w:r>
    </w:p>
    <w:p w14:paraId="3B464C6E" w14:textId="77777777" w:rsidR="00B845D7" w:rsidRPr="00316FF7" w:rsidRDefault="00B845D7" w:rsidP="00B845D7">
      <w:pPr>
        <w:pStyle w:val="C-Heading1nopagebreak"/>
        <w:rPr>
          <w:lang w:val="en-AU"/>
        </w:rPr>
      </w:pPr>
      <w:r w:rsidRPr="00316FF7">
        <w:rPr>
          <w:lang w:val="en-AU"/>
        </w:rPr>
        <w:t>PHARMACEUTICAL PARTICULARS</w:t>
      </w:r>
    </w:p>
    <w:p w14:paraId="12EEEC1C" w14:textId="77777777" w:rsidR="00B845D7" w:rsidRPr="00316FF7" w:rsidRDefault="007F49AA" w:rsidP="006E0396">
      <w:pPr>
        <w:pStyle w:val="C-Heading2"/>
        <w:rPr>
          <w:lang w:val="en-AU"/>
        </w:rPr>
      </w:pPr>
      <w:r w:rsidRPr="00316FF7">
        <w:rPr>
          <w:lang w:val="en-AU"/>
        </w:rPr>
        <w:t>List of Excipients</w:t>
      </w:r>
    </w:p>
    <w:p w14:paraId="1E4379BB" w14:textId="516D56F8" w:rsidR="0061569F" w:rsidRPr="00316FF7" w:rsidRDefault="0061569F" w:rsidP="0061569F">
      <w:pPr>
        <w:pStyle w:val="C-BodyText"/>
        <w:rPr>
          <w:lang w:val="en-AU"/>
        </w:rPr>
      </w:pPr>
      <w:r w:rsidRPr="00316FF7">
        <w:rPr>
          <w:lang w:val="en-AU"/>
        </w:rPr>
        <w:t xml:space="preserve">Active tablet: </w:t>
      </w:r>
      <w:r w:rsidR="00B93AB4">
        <w:rPr>
          <w:lang w:val="en-AU"/>
        </w:rPr>
        <w:t>L</w:t>
      </w:r>
      <w:r w:rsidRPr="00316FF7">
        <w:rPr>
          <w:lang w:val="en-AU"/>
        </w:rPr>
        <w:t xml:space="preserve">actose monohydrate, </w:t>
      </w:r>
      <w:r w:rsidR="00324FAF" w:rsidRPr="00316FF7">
        <w:rPr>
          <w:lang w:val="en-AU"/>
        </w:rPr>
        <w:t>s</w:t>
      </w:r>
      <w:r w:rsidR="001E60E3" w:rsidRPr="00316FF7">
        <w:rPr>
          <w:lang w:val="en-AU"/>
        </w:rPr>
        <w:t>odium starch glycollate type A</w:t>
      </w:r>
      <w:r w:rsidRPr="00316FF7">
        <w:rPr>
          <w:lang w:val="en-AU"/>
        </w:rPr>
        <w:t xml:space="preserve">, </w:t>
      </w:r>
      <w:r w:rsidR="00324FAF" w:rsidRPr="00316FF7">
        <w:rPr>
          <w:lang w:val="en-AU"/>
        </w:rPr>
        <w:t>maize</w:t>
      </w:r>
      <w:r w:rsidRPr="00316FF7">
        <w:rPr>
          <w:lang w:val="en-AU"/>
        </w:rPr>
        <w:t xml:space="preserve"> starch, </w:t>
      </w:r>
      <w:proofErr w:type="gramStart"/>
      <w:r w:rsidRPr="00316FF7">
        <w:rPr>
          <w:lang w:val="en-AU"/>
        </w:rPr>
        <w:t>povidone</w:t>
      </w:r>
      <w:proofErr w:type="gramEnd"/>
      <w:r w:rsidR="00F10B98" w:rsidRPr="00316FF7">
        <w:rPr>
          <w:lang w:val="en-AU"/>
        </w:rPr>
        <w:t xml:space="preserve"> </w:t>
      </w:r>
      <w:r w:rsidR="00324FAF" w:rsidRPr="00316FF7">
        <w:rPr>
          <w:lang w:val="en-AU"/>
        </w:rPr>
        <w:t xml:space="preserve">and </w:t>
      </w:r>
      <w:r w:rsidRPr="00316FF7">
        <w:rPr>
          <w:lang w:val="en-AU"/>
        </w:rPr>
        <w:t>magnesium stearate</w:t>
      </w:r>
      <w:r w:rsidR="00B93AB4">
        <w:rPr>
          <w:lang w:val="en-AU"/>
        </w:rPr>
        <w:t>; f</w:t>
      </w:r>
      <w:r w:rsidRPr="00316FF7">
        <w:rPr>
          <w:lang w:val="en-AU"/>
        </w:rPr>
        <w:t>ilm-coating</w:t>
      </w:r>
      <w:r w:rsidR="00506BAA">
        <w:rPr>
          <w:lang w:val="en-AU"/>
        </w:rPr>
        <w:t>:</w:t>
      </w:r>
      <w:r w:rsidRPr="00316FF7">
        <w:rPr>
          <w:lang w:val="en-AU"/>
        </w:rPr>
        <w:t xml:space="preserve"> </w:t>
      </w:r>
      <w:r w:rsidR="00324FAF" w:rsidRPr="00316FF7">
        <w:rPr>
          <w:lang w:val="en-AU"/>
        </w:rPr>
        <w:t>AquaPolish Pink 044.08 MS (hypromellose, hyprolose, purified</w:t>
      </w:r>
      <w:r w:rsidRPr="00316FF7">
        <w:rPr>
          <w:lang w:val="en-AU"/>
        </w:rPr>
        <w:t xml:space="preserve"> talc, hydrogenated cottonseed oil, titanium dioxide and iron oxide red</w:t>
      </w:r>
      <w:r w:rsidR="00324FAF" w:rsidRPr="00316FF7">
        <w:rPr>
          <w:lang w:val="en-AU"/>
        </w:rPr>
        <w:t>)</w:t>
      </w:r>
      <w:r w:rsidR="002808B3" w:rsidRPr="00316FF7">
        <w:rPr>
          <w:lang w:val="en-AU"/>
        </w:rPr>
        <w:t>.</w:t>
      </w:r>
    </w:p>
    <w:p w14:paraId="626CD89F" w14:textId="274E468D" w:rsidR="0061569F" w:rsidRPr="00316FF7" w:rsidRDefault="00A5150F" w:rsidP="00DE770A">
      <w:pPr>
        <w:pStyle w:val="C-BodyText"/>
        <w:rPr>
          <w:lang w:val="en-AU"/>
        </w:rPr>
      </w:pPr>
      <w:r w:rsidRPr="00316FF7">
        <w:rPr>
          <w:lang w:val="en-AU"/>
        </w:rPr>
        <w:t>Inactive</w:t>
      </w:r>
      <w:r w:rsidR="0061569F" w:rsidRPr="00316FF7">
        <w:rPr>
          <w:lang w:val="en-AU"/>
        </w:rPr>
        <w:t xml:space="preserve"> tablet: </w:t>
      </w:r>
      <w:r w:rsidR="00324FAF" w:rsidRPr="00316FF7">
        <w:rPr>
          <w:lang w:val="en-AU"/>
        </w:rPr>
        <w:t>StarLac (</w:t>
      </w:r>
      <w:r w:rsidR="0061569F" w:rsidRPr="00316FF7">
        <w:rPr>
          <w:lang w:val="en-AU"/>
        </w:rPr>
        <w:t xml:space="preserve">lactose monohydrate </w:t>
      </w:r>
      <w:r w:rsidR="00324FAF" w:rsidRPr="00316FF7">
        <w:rPr>
          <w:lang w:val="en-AU"/>
        </w:rPr>
        <w:t>and maize</w:t>
      </w:r>
      <w:r w:rsidR="0061569F" w:rsidRPr="00316FF7">
        <w:rPr>
          <w:lang w:val="en-AU"/>
        </w:rPr>
        <w:t xml:space="preserve"> starch</w:t>
      </w:r>
      <w:r w:rsidR="00324FAF" w:rsidRPr="00316FF7">
        <w:rPr>
          <w:lang w:val="en-AU"/>
        </w:rPr>
        <w:t>) and magnesium stearate</w:t>
      </w:r>
      <w:r w:rsidR="00B93AB4">
        <w:rPr>
          <w:lang w:val="en-AU"/>
        </w:rPr>
        <w:t>; f</w:t>
      </w:r>
      <w:r w:rsidR="0061569F" w:rsidRPr="00316FF7">
        <w:rPr>
          <w:lang w:val="en-AU"/>
        </w:rPr>
        <w:t>ilm-coating</w:t>
      </w:r>
      <w:r w:rsidR="00506BAA">
        <w:rPr>
          <w:lang w:val="en-AU"/>
        </w:rPr>
        <w:t>:</w:t>
      </w:r>
      <w:r w:rsidR="0061569F" w:rsidRPr="00316FF7">
        <w:rPr>
          <w:lang w:val="en-AU"/>
        </w:rPr>
        <w:t xml:space="preserve"> </w:t>
      </w:r>
      <w:r w:rsidR="00324FAF" w:rsidRPr="00316FF7">
        <w:rPr>
          <w:lang w:val="en-AU"/>
        </w:rPr>
        <w:t>AquaPolish White 014.17 MS (hypromellose, hyprolose, purified talc, hydrogenated cottonseed oil and titanium dioxide)</w:t>
      </w:r>
      <w:r w:rsidR="0061569F" w:rsidRPr="00316FF7">
        <w:rPr>
          <w:lang w:val="en-AU"/>
        </w:rPr>
        <w:t>.</w:t>
      </w:r>
    </w:p>
    <w:p w14:paraId="04BF29CD" w14:textId="77777777" w:rsidR="00B845D7" w:rsidRPr="00316FF7" w:rsidRDefault="007F49AA" w:rsidP="006E0396">
      <w:pPr>
        <w:pStyle w:val="C-Heading2"/>
        <w:rPr>
          <w:lang w:val="en-AU"/>
        </w:rPr>
      </w:pPr>
      <w:r w:rsidRPr="00316FF7">
        <w:rPr>
          <w:lang w:val="en-AU"/>
        </w:rPr>
        <w:t>Incompatibilities</w:t>
      </w:r>
    </w:p>
    <w:p w14:paraId="4BF21416" w14:textId="3ADDDE26" w:rsidR="00DE770A" w:rsidRPr="00316FF7" w:rsidRDefault="004600E1" w:rsidP="00DE770A">
      <w:pPr>
        <w:pStyle w:val="C-BodyText"/>
        <w:rPr>
          <w:lang w:val="en-AU"/>
        </w:rPr>
      </w:pPr>
      <w:r w:rsidRPr="00316FF7">
        <w:rPr>
          <w:lang w:val="en-AU"/>
        </w:rPr>
        <w:t>See</w:t>
      </w:r>
      <w:r w:rsidR="00EE2497" w:rsidRPr="00316FF7">
        <w:rPr>
          <w:lang w:val="en-AU"/>
        </w:rPr>
        <w:t xml:space="preserve"> </w:t>
      </w:r>
      <w:r w:rsidRPr="00316FF7">
        <w:rPr>
          <w:i/>
          <w:lang w:val="en-AU"/>
        </w:rPr>
        <w:t>section 4.5 Interactions with Other Medicines and Other Forms of Interactions</w:t>
      </w:r>
      <w:r w:rsidR="00EE2497" w:rsidRPr="00316FF7">
        <w:rPr>
          <w:lang w:val="en-AU"/>
        </w:rPr>
        <w:t>.</w:t>
      </w:r>
    </w:p>
    <w:p w14:paraId="20F97F56" w14:textId="77777777" w:rsidR="00B845D7" w:rsidRPr="00316FF7" w:rsidRDefault="007F49AA" w:rsidP="006E0396">
      <w:pPr>
        <w:pStyle w:val="C-Heading2"/>
        <w:rPr>
          <w:lang w:val="en-AU"/>
        </w:rPr>
      </w:pPr>
      <w:r w:rsidRPr="00316FF7">
        <w:rPr>
          <w:lang w:val="en-AU"/>
        </w:rPr>
        <w:t>Shelf Life</w:t>
      </w:r>
    </w:p>
    <w:p w14:paraId="70F9DB7E" w14:textId="77777777" w:rsidR="00A0296F" w:rsidRPr="00316FF7" w:rsidRDefault="00A0296F" w:rsidP="00DE770A">
      <w:pPr>
        <w:pStyle w:val="C-BodyText"/>
        <w:rPr>
          <w:lang w:val="en-AU"/>
        </w:rPr>
      </w:pPr>
      <w:r w:rsidRPr="00316FF7">
        <w:rPr>
          <w:lang w:val="en-AU"/>
        </w:rPr>
        <w:t>In Australia, information on the shelf life can be found on the public summary of the Australian Register of Therapeutic Goods (ARTG). The expiry date can be found on the packaging.</w:t>
      </w:r>
    </w:p>
    <w:p w14:paraId="3C665D58" w14:textId="77777777" w:rsidR="00B845D7" w:rsidRPr="00316FF7" w:rsidRDefault="007F49AA" w:rsidP="006E0396">
      <w:pPr>
        <w:pStyle w:val="C-Heading2"/>
        <w:rPr>
          <w:lang w:val="en-AU"/>
        </w:rPr>
      </w:pPr>
      <w:r w:rsidRPr="00316FF7">
        <w:rPr>
          <w:lang w:val="en-AU"/>
        </w:rPr>
        <w:t>Special Precautions for Storage</w:t>
      </w:r>
    </w:p>
    <w:p w14:paraId="342453AE" w14:textId="77777777" w:rsidR="00DE770A" w:rsidRPr="00316FF7" w:rsidRDefault="00B111E8" w:rsidP="00DE770A">
      <w:pPr>
        <w:pStyle w:val="C-BodyText"/>
        <w:rPr>
          <w:lang w:val="en-AU"/>
        </w:rPr>
      </w:pPr>
      <w:r w:rsidRPr="00316FF7">
        <w:rPr>
          <w:lang w:val="en-AU"/>
        </w:rPr>
        <w:t>Store below 30°C.</w:t>
      </w:r>
    </w:p>
    <w:p w14:paraId="70AB153F" w14:textId="77777777" w:rsidR="00B845D7" w:rsidRPr="00316FF7" w:rsidRDefault="007F49AA" w:rsidP="006E0396">
      <w:pPr>
        <w:pStyle w:val="C-Heading2"/>
        <w:rPr>
          <w:lang w:val="en-AU"/>
        </w:rPr>
      </w:pPr>
      <w:r w:rsidRPr="00316FF7">
        <w:rPr>
          <w:lang w:val="en-AU"/>
        </w:rPr>
        <w:lastRenderedPageBreak/>
        <w:t>Nature and Contents of Container</w:t>
      </w:r>
    </w:p>
    <w:p w14:paraId="08B08AEB" w14:textId="5E005A05" w:rsidR="00627B8A" w:rsidRPr="00316FF7" w:rsidRDefault="00F12FE1" w:rsidP="00627B8A">
      <w:pPr>
        <w:pStyle w:val="C-BodyText"/>
        <w:rPr>
          <w:lang w:val="en-AU"/>
        </w:rPr>
      </w:pPr>
      <w:r w:rsidRPr="00316FF7">
        <w:rPr>
          <w:lang w:val="en-AU"/>
        </w:rPr>
        <w:t>NEXTSTELLIS</w:t>
      </w:r>
      <w:r w:rsidR="004A7114" w:rsidRPr="00316FF7">
        <w:rPr>
          <w:lang w:val="en-AU"/>
        </w:rPr>
        <w:t xml:space="preserve"> is supplied in </w:t>
      </w:r>
      <w:r w:rsidR="001A382D" w:rsidRPr="00316FF7">
        <w:rPr>
          <w:lang w:val="en-AU"/>
        </w:rPr>
        <w:t>PVC/</w:t>
      </w:r>
      <w:r w:rsidR="00D77335" w:rsidRPr="00316FF7">
        <w:rPr>
          <w:lang w:val="en-AU"/>
        </w:rPr>
        <w:t>aluminium</w:t>
      </w:r>
      <w:r w:rsidR="001A382D" w:rsidRPr="00316FF7">
        <w:rPr>
          <w:lang w:val="en-AU"/>
        </w:rPr>
        <w:t xml:space="preserve"> blister </w:t>
      </w:r>
      <w:r w:rsidR="00B70791" w:rsidRPr="00316FF7">
        <w:rPr>
          <w:lang w:val="en-AU"/>
        </w:rPr>
        <w:t>packs</w:t>
      </w:r>
      <w:r w:rsidR="004A7114" w:rsidRPr="00316FF7">
        <w:rPr>
          <w:lang w:val="en-AU"/>
        </w:rPr>
        <w:t>, each containing 24 film</w:t>
      </w:r>
      <w:r w:rsidR="0061569F" w:rsidRPr="00316FF7">
        <w:rPr>
          <w:lang w:val="en-AU"/>
        </w:rPr>
        <w:t>-</w:t>
      </w:r>
      <w:r w:rsidR="004A7114" w:rsidRPr="00316FF7">
        <w:rPr>
          <w:lang w:val="en-AU"/>
        </w:rPr>
        <w:t>coated pink tablets and 4 film-coated white tablets.</w:t>
      </w:r>
    </w:p>
    <w:p w14:paraId="356D8F01" w14:textId="4F352C66" w:rsidR="00EE2497" w:rsidRPr="00316FF7" w:rsidRDefault="00F12FE1" w:rsidP="00EE2497">
      <w:pPr>
        <w:pStyle w:val="C-BodyText"/>
        <w:rPr>
          <w:lang w:val="en-AU"/>
        </w:rPr>
      </w:pPr>
      <w:r w:rsidRPr="00316FF7">
        <w:rPr>
          <w:lang w:val="en-AU"/>
        </w:rPr>
        <w:t>NEXTSTELLIS</w:t>
      </w:r>
      <w:r w:rsidR="00EE2497" w:rsidRPr="00316FF7">
        <w:rPr>
          <w:lang w:val="en-AU"/>
        </w:rPr>
        <w:t xml:space="preserve"> is supplied in cardboard cartons containing 1, 3 or 6 blister </w:t>
      </w:r>
      <w:r w:rsidR="007737BA" w:rsidRPr="00316FF7">
        <w:rPr>
          <w:lang w:val="en-AU"/>
        </w:rPr>
        <w:t xml:space="preserve">packs </w:t>
      </w:r>
      <w:r w:rsidR="00EE2497" w:rsidRPr="00316FF7">
        <w:rPr>
          <w:lang w:val="en-AU"/>
        </w:rPr>
        <w:t xml:space="preserve">as provided </w:t>
      </w:r>
      <w:r w:rsidR="00FB7A9E" w:rsidRPr="00316FF7">
        <w:rPr>
          <w:lang w:val="en-AU"/>
        </w:rPr>
        <w:t>below</w:t>
      </w:r>
      <w:r w:rsidR="00EE2497" w:rsidRPr="00316FF7">
        <w:rPr>
          <w:lang w:val="en-AU"/>
        </w:rPr>
        <w:t>:</w:t>
      </w:r>
    </w:p>
    <w:p w14:paraId="4713E14B" w14:textId="45F52EC7" w:rsidR="00EE2497" w:rsidRPr="00316FF7" w:rsidRDefault="00EE2497" w:rsidP="00EE2497">
      <w:pPr>
        <w:pStyle w:val="C-BodyText"/>
        <w:rPr>
          <w:lang w:val="en-AU"/>
        </w:rPr>
      </w:pPr>
      <w:r w:rsidRPr="00316FF7">
        <w:rPr>
          <w:lang w:val="en-AU"/>
        </w:rPr>
        <w:t xml:space="preserve">1 blister </w:t>
      </w:r>
      <w:r w:rsidR="007737BA" w:rsidRPr="00316FF7">
        <w:rPr>
          <w:lang w:val="en-AU"/>
        </w:rPr>
        <w:t xml:space="preserve">pack </w:t>
      </w:r>
      <w:r w:rsidRPr="00316FF7">
        <w:rPr>
          <w:lang w:val="en-AU"/>
        </w:rPr>
        <w:t>(1 x 28 tablets)</w:t>
      </w:r>
    </w:p>
    <w:p w14:paraId="60B6E278" w14:textId="6A106D72" w:rsidR="00EE2497" w:rsidRPr="00316FF7" w:rsidRDefault="00EE2497" w:rsidP="00EE2497">
      <w:pPr>
        <w:pStyle w:val="C-BodyText"/>
        <w:rPr>
          <w:lang w:val="en-AU"/>
        </w:rPr>
      </w:pPr>
      <w:r w:rsidRPr="00316FF7">
        <w:rPr>
          <w:lang w:val="en-AU"/>
        </w:rPr>
        <w:t xml:space="preserve">3 blister </w:t>
      </w:r>
      <w:r w:rsidR="007737BA" w:rsidRPr="00316FF7">
        <w:rPr>
          <w:lang w:val="en-AU"/>
        </w:rPr>
        <w:t xml:space="preserve">packs </w:t>
      </w:r>
      <w:r w:rsidRPr="00316FF7">
        <w:rPr>
          <w:lang w:val="en-AU"/>
        </w:rPr>
        <w:t>(3 x 28 tablets)</w:t>
      </w:r>
    </w:p>
    <w:p w14:paraId="631B08D5" w14:textId="13439080" w:rsidR="00EE2497" w:rsidRPr="00316FF7" w:rsidRDefault="00EE2497" w:rsidP="00EE2497">
      <w:pPr>
        <w:pStyle w:val="C-BodyText"/>
        <w:rPr>
          <w:lang w:val="en-AU"/>
        </w:rPr>
      </w:pPr>
      <w:r w:rsidRPr="00316FF7">
        <w:rPr>
          <w:lang w:val="en-AU"/>
        </w:rPr>
        <w:t xml:space="preserve">6 blister </w:t>
      </w:r>
      <w:r w:rsidR="007737BA" w:rsidRPr="00316FF7">
        <w:rPr>
          <w:lang w:val="en-AU"/>
        </w:rPr>
        <w:t xml:space="preserve">packs </w:t>
      </w:r>
      <w:r w:rsidRPr="00316FF7">
        <w:rPr>
          <w:lang w:val="en-AU"/>
        </w:rPr>
        <w:t>(6 x 28 tablets)</w:t>
      </w:r>
    </w:p>
    <w:p w14:paraId="084FCD7A" w14:textId="220B2910" w:rsidR="00F86441" w:rsidRPr="00316FF7" w:rsidRDefault="00903223" w:rsidP="00F86441">
      <w:pPr>
        <w:pStyle w:val="C-BodyText"/>
        <w:rPr>
          <w:lang w:val="en-AU"/>
        </w:rPr>
      </w:pPr>
      <w:r w:rsidRPr="00316FF7">
        <w:rPr>
          <w:lang w:val="en-AU"/>
        </w:rPr>
        <w:t>P</w:t>
      </w:r>
      <w:r w:rsidR="00F86441" w:rsidRPr="00316FF7">
        <w:rPr>
          <w:lang w:val="en-AU"/>
        </w:rPr>
        <w:t>hysician sample pack</w:t>
      </w:r>
      <w:r w:rsidR="00E5780C" w:rsidRPr="00316FF7">
        <w:rPr>
          <w:lang w:val="en-AU"/>
        </w:rPr>
        <w:t>,</w:t>
      </w:r>
      <w:r w:rsidR="00F86441" w:rsidRPr="00316FF7">
        <w:rPr>
          <w:lang w:val="en-AU"/>
        </w:rPr>
        <w:t xml:space="preserve"> 1 blister </w:t>
      </w:r>
      <w:r w:rsidR="007737BA" w:rsidRPr="00316FF7">
        <w:rPr>
          <w:lang w:val="en-AU"/>
        </w:rPr>
        <w:t xml:space="preserve">pack </w:t>
      </w:r>
      <w:r w:rsidR="00F86441" w:rsidRPr="00316FF7">
        <w:rPr>
          <w:lang w:val="en-AU"/>
        </w:rPr>
        <w:t>(1 x 28 tablets)</w:t>
      </w:r>
    </w:p>
    <w:p w14:paraId="287A8C80" w14:textId="688D67D3" w:rsidR="00A5150F" w:rsidRPr="00316FF7" w:rsidRDefault="00A5150F" w:rsidP="00EE2497">
      <w:pPr>
        <w:pStyle w:val="C-BodyText"/>
        <w:rPr>
          <w:lang w:val="en-AU"/>
        </w:rPr>
      </w:pPr>
      <w:r w:rsidRPr="00316FF7">
        <w:rPr>
          <w:lang w:val="en-AU"/>
        </w:rPr>
        <w:t>Not all pack sizes may be marketed.</w:t>
      </w:r>
    </w:p>
    <w:p w14:paraId="3B4DD582" w14:textId="292EA92A" w:rsidR="00B845D7" w:rsidRPr="00316FF7" w:rsidRDefault="007F49AA" w:rsidP="006E0396">
      <w:pPr>
        <w:pStyle w:val="C-Heading2"/>
        <w:rPr>
          <w:lang w:val="en-AU"/>
        </w:rPr>
      </w:pPr>
      <w:r w:rsidRPr="00316FF7">
        <w:rPr>
          <w:lang w:val="en-AU"/>
        </w:rPr>
        <w:t>Special Precautions for Disposal</w:t>
      </w:r>
    </w:p>
    <w:p w14:paraId="2ADBC5D4" w14:textId="65D31246" w:rsidR="00B7777A" w:rsidRDefault="00893AD9" w:rsidP="00893AD9">
      <w:pPr>
        <w:pStyle w:val="C-BodyText"/>
        <w:rPr>
          <w:lang w:val="en-AU"/>
        </w:rPr>
      </w:pPr>
      <w:r w:rsidRPr="00316FF7">
        <w:rPr>
          <w:lang w:val="en-AU"/>
        </w:rPr>
        <w:t>In Australia, any unused medicine or waste material should be disposed of in accordance with local requirements.</w:t>
      </w:r>
    </w:p>
    <w:p w14:paraId="11240E73" w14:textId="77777777" w:rsidR="00B845D7" w:rsidRPr="00316FF7" w:rsidRDefault="007F49AA" w:rsidP="006E0396">
      <w:pPr>
        <w:pStyle w:val="C-Heading2"/>
        <w:rPr>
          <w:lang w:val="en-AU"/>
        </w:rPr>
      </w:pPr>
      <w:r w:rsidRPr="00316FF7">
        <w:rPr>
          <w:lang w:val="en-AU"/>
        </w:rPr>
        <w:t>Physicochemical Properties</w:t>
      </w:r>
    </w:p>
    <w:p w14:paraId="2F4B0F72" w14:textId="56CF85E1" w:rsidR="00B845D7" w:rsidRPr="00316FF7" w:rsidRDefault="004E0498" w:rsidP="00DE770A">
      <w:pPr>
        <w:pStyle w:val="C-Heading3non-numbered"/>
        <w:rPr>
          <w:lang w:val="en-AU"/>
        </w:rPr>
      </w:pPr>
      <w:r w:rsidRPr="00316FF7">
        <w:rPr>
          <w:lang w:val="en-AU"/>
        </w:rPr>
        <w:t xml:space="preserve">Chemical </w:t>
      </w:r>
      <w:r w:rsidR="00944786" w:rsidRPr="00316FF7">
        <w:rPr>
          <w:lang w:val="en-AU"/>
        </w:rPr>
        <w:t>S</w:t>
      </w:r>
      <w:r w:rsidRPr="00316FF7">
        <w:rPr>
          <w:lang w:val="en-AU"/>
        </w:rPr>
        <w:t>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887EDC" w:rsidRPr="00316FF7" w14:paraId="26AAE4B0" w14:textId="77777777" w:rsidTr="2D9331BE">
        <w:tc>
          <w:tcPr>
            <w:tcW w:w="4315" w:type="dxa"/>
          </w:tcPr>
          <w:p w14:paraId="5B9AFF3E" w14:textId="541EA6AF" w:rsidR="00003ED2" w:rsidRPr="00316FF7" w:rsidRDefault="00887EDC" w:rsidP="00DE770A">
            <w:pPr>
              <w:pStyle w:val="C-BodyText"/>
              <w:rPr>
                <w:rFonts w:ascii="Times New Roman" w:hAnsi="Times New Roman" w:cs="Times New Roman"/>
                <w:lang w:val="en-AU"/>
              </w:rPr>
            </w:pPr>
            <w:proofErr w:type="spellStart"/>
            <w:r w:rsidRPr="00316FF7">
              <w:rPr>
                <w:rFonts w:ascii="Times New Roman" w:hAnsi="Times New Roman" w:cs="Times New Roman"/>
                <w:lang w:val="en-AU"/>
              </w:rPr>
              <w:t>Estetrol</w:t>
            </w:r>
            <w:proofErr w:type="spellEnd"/>
            <w:r w:rsidRPr="00316FF7">
              <w:rPr>
                <w:rFonts w:ascii="Times New Roman" w:hAnsi="Times New Roman" w:cs="Times New Roman"/>
                <w:lang w:val="en-AU"/>
              </w:rPr>
              <w:t xml:space="preserve"> monohydrate</w:t>
            </w:r>
          </w:p>
          <w:p w14:paraId="5C6D1A8B" w14:textId="0094A1F7" w:rsidR="00887EDC" w:rsidRPr="00316FF7" w:rsidRDefault="0009261C" w:rsidP="00DE770A">
            <w:pPr>
              <w:pStyle w:val="C-BodyText"/>
              <w:rPr>
                <w:rFonts w:ascii="Times New Roman" w:hAnsi="Times New Roman" w:cs="Times New Roman"/>
                <w:lang w:val="en-AU"/>
              </w:rPr>
            </w:pPr>
            <w:r w:rsidRPr="00316FF7">
              <w:rPr>
                <w:noProof/>
                <w:lang w:val="en-AU" w:eastAsia="en-GB"/>
              </w:rPr>
              <w:drawing>
                <wp:anchor distT="0" distB="0" distL="114300" distR="114300" simplePos="0" relativeHeight="251658240" behindDoc="0" locked="0" layoutInCell="1" allowOverlap="1" wp14:anchorId="5273A20E" wp14:editId="38657320">
                  <wp:simplePos x="0" y="0"/>
                  <wp:positionH relativeFrom="column">
                    <wp:posOffset>128270</wp:posOffset>
                  </wp:positionH>
                  <wp:positionV relativeFrom="paragraph">
                    <wp:posOffset>63500</wp:posOffset>
                  </wp:positionV>
                  <wp:extent cx="2070100" cy="1256978"/>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677" t="49119" r="51474" b="26215"/>
                          <a:stretch/>
                        </pic:blipFill>
                        <pic:spPr bwMode="auto">
                          <a:xfrm>
                            <a:off x="0" y="0"/>
                            <a:ext cx="2070100" cy="1256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7290B" w14:textId="77777777" w:rsidR="0009261C" w:rsidRPr="00316FF7" w:rsidRDefault="0009261C" w:rsidP="00DE770A">
            <w:pPr>
              <w:pStyle w:val="C-BodyText"/>
              <w:rPr>
                <w:rFonts w:ascii="Times New Roman" w:hAnsi="Times New Roman" w:cs="Times New Roman"/>
                <w:lang w:val="en-AU"/>
              </w:rPr>
            </w:pPr>
          </w:p>
          <w:p w14:paraId="7BBA4141" w14:textId="20EE613E" w:rsidR="005851FC" w:rsidRPr="00316FF7" w:rsidRDefault="005851FC" w:rsidP="005851FC">
            <w:pPr>
              <w:pStyle w:val="C-BodyText"/>
              <w:rPr>
                <w:rFonts w:ascii="Times New Roman" w:hAnsi="Times New Roman" w:cs="Times New Roman"/>
                <w:lang w:val="en-AU"/>
              </w:rPr>
            </w:pPr>
          </w:p>
          <w:p w14:paraId="74153D9E" w14:textId="77777777" w:rsidR="0009261C" w:rsidRPr="00316FF7" w:rsidRDefault="0009261C" w:rsidP="005851FC">
            <w:pPr>
              <w:pStyle w:val="C-BodyText"/>
              <w:rPr>
                <w:rFonts w:ascii="Times New Roman" w:hAnsi="Times New Roman" w:cs="Times New Roman"/>
                <w:lang w:val="en-AU"/>
              </w:rPr>
            </w:pPr>
          </w:p>
          <w:p w14:paraId="3972AFC3" w14:textId="77777777" w:rsidR="0009261C" w:rsidRPr="00316FF7" w:rsidRDefault="0009261C" w:rsidP="00DE770A">
            <w:pPr>
              <w:pStyle w:val="C-BodyText"/>
              <w:rPr>
                <w:rFonts w:ascii="Times New Roman" w:hAnsi="Times New Roman" w:cs="Times New Roman"/>
                <w:lang w:val="en-AU"/>
              </w:rPr>
            </w:pPr>
          </w:p>
          <w:p w14:paraId="2DFA0E9D" w14:textId="77777777" w:rsidR="0009261C" w:rsidRPr="00316FF7" w:rsidRDefault="0009261C" w:rsidP="00DE770A">
            <w:pPr>
              <w:pStyle w:val="C-BodyText"/>
              <w:rPr>
                <w:rFonts w:ascii="Times New Roman" w:hAnsi="Times New Roman" w:cs="Times New Roman"/>
                <w:lang w:val="en-AU"/>
              </w:rPr>
            </w:pPr>
          </w:p>
          <w:p w14:paraId="7A8F9781" w14:textId="6116424B" w:rsidR="00887EDC" w:rsidRPr="00316FF7" w:rsidRDefault="00887EDC" w:rsidP="00DE770A">
            <w:pPr>
              <w:pStyle w:val="C-BodyText"/>
              <w:rPr>
                <w:rFonts w:ascii="Times New Roman" w:hAnsi="Times New Roman" w:cs="Times New Roman"/>
                <w:lang w:val="en-AU"/>
              </w:rPr>
            </w:pPr>
            <w:r w:rsidRPr="00316FF7">
              <w:rPr>
                <w:rFonts w:ascii="Times New Roman" w:hAnsi="Times New Roman" w:cs="Times New Roman"/>
                <w:lang w:val="en-AU"/>
              </w:rPr>
              <w:t>C</w:t>
            </w:r>
            <w:r w:rsidRPr="00316FF7">
              <w:rPr>
                <w:rFonts w:ascii="Times New Roman" w:hAnsi="Times New Roman" w:cs="Times New Roman"/>
                <w:vertAlign w:val="subscript"/>
                <w:lang w:val="en-AU"/>
              </w:rPr>
              <w:t>18</w:t>
            </w:r>
            <w:r w:rsidRPr="00316FF7">
              <w:rPr>
                <w:rFonts w:ascii="Times New Roman" w:hAnsi="Times New Roman" w:cs="Times New Roman"/>
                <w:lang w:val="en-AU"/>
              </w:rPr>
              <w:t>H</w:t>
            </w:r>
            <w:r w:rsidRPr="00316FF7">
              <w:rPr>
                <w:rFonts w:ascii="Times New Roman" w:hAnsi="Times New Roman" w:cs="Times New Roman"/>
                <w:vertAlign w:val="subscript"/>
                <w:lang w:val="en-AU"/>
              </w:rPr>
              <w:t>24</w:t>
            </w:r>
            <w:r w:rsidRPr="00316FF7">
              <w:rPr>
                <w:rFonts w:ascii="Times New Roman" w:hAnsi="Times New Roman" w:cs="Times New Roman"/>
                <w:lang w:val="en-AU"/>
              </w:rPr>
              <w:t>O</w:t>
            </w:r>
            <w:r w:rsidRPr="00316FF7">
              <w:rPr>
                <w:rFonts w:ascii="Times New Roman" w:hAnsi="Times New Roman" w:cs="Times New Roman"/>
                <w:vertAlign w:val="subscript"/>
                <w:lang w:val="en-AU"/>
              </w:rPr>
              <w:t>4</w:t>
            </w:r>
            <w:r w:rsidRPr="00316FF7">
              <w:rPr>
                <w:rFonts w:ascii="Times New Roman" w:hAnsi="Times New Roman" w:cs="Times New Roman"/>
                <w:lang w:val="en-AU"/>
              </w:rPr>
              <w:t>.H</w:t>
            </w:r>
            <w:r w:rsidRPr="00316FF7">
              <w:rPr>
                <w:rFonts w:ascii="Times New Roman" w:hAnsi="Times New Roman" w:cs="Times New Roman"/>
                <w:vertAlign w:val="subscript"/>
                <w:lang w:val="en-AU"/>
              </w:rPr>
              <w:t>2</w:t>
            </w:r>
            <w:r w:rsidRPr="00316FF7">
              <w:rPr>
                <w:rFonts w:ascii="Times New Roman" w:hAnsi="Times New Roman" w:cs="Times New Roman"/>
                <w:lang w:val="en-AU"/>
              </w:rPr>
              <w:t>O</w:t>
            </w:r>
          </w:p>
        </w:tc>
        <w:tc>
          <w:tcPr>
            <w:tcW w:w="4315" w:type="dxa"/>
          </w:tcPr>
          <w:p w14:paraId="0F9A5793" w14:textId="4B20B5EF" w:rsidR="00003ED2" w:rsidRPr="00316FF7" w:rsidRDefault="00620F2C" w:rsidP="00DE770A">
            <w:pPr>
              <w:pStyle w:val="C-BodyText"/>
              <w:rPr>
                <w:rFonts w:ascii="Times New Roman" w:hAnsi="Times New Roman" w:cs="Times New Roman"/>
                <w:lang w:val="en-AU"/>
              </w:rPr>
            </w:pPr>
            <w:r w:rsidRPr="00316FF7">
              <w:rPr>
                <w:noProof/>
                <w:lang w:val="en-AU" w:eastAsia="en-GB"/>
              </w:rPr>
              <w:drawing>
                <wp:anchor distT="0" distB="0" distL="114300" distR="114300" simplePos="0" relativeHeight="251658241" behindDoc="0" locked="0" layoutInCell="1" allowOverlap="1" wp14:anchorId="09201F61" wp14:editId="69610E4C">
                  <wp:simplePos x="0" y="0"/>
                  <wp:positionH relativeFrom="column">
                    <wp:posOffset>194945</wp:posOffset>
                  </wp:positionH>
                  <wp:positionV relativeFrom="paragraph">
                    <wp:posOffset>260350</wp:posOffset>
                  </wp:positionV>
                  <wp:extent cx="1854200" cy="1579245"/>
                  <wp:effectExtent l="0" t="0" r="0" b="1905"/>
                  <wp:wrapNone/>
                  <wp:docPr id="2" name="Picture 2" descr="https://82879-229730-raikfcquaxqncofqfm.stackpathdns.com/wp-content/uploads/2018/10/HY-B0111-Drospire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2879-229730-raikfcquaxqncofqfm.stackpathdns.com/wp-content/uploads/2018/10/HY-B0111-Drospirenone.gif"/>
                          <pic:cNvPicPr>
                            <a:picLocks noChangeAspect="1" noChangeArrowheads="1"/>
                          </pic:cNvPicPr>
                        </pic:nvPicPr>
                        <pic:blipFill rotWithShape="1">
                          <a:blip r:embed="rId14">
                            <a:extLst>
                              <a:ext uri="{28A0092B-C50C-407E-A947-70E740481C1C}">
                                <a14:useLocalDpi xmlns:a14="http://schemas.microsoft.com/office/drawing/2010/main" val="0"/>
                              </a:ext>
                            </a:extLst>
                          </a:blip>
                          <a:srcRect t="8356" b="6469"/>
                          <a:stretch/>
                        </pic:blipFill>
                        <pic:spPr bwMode="auto">
                          <a:xfrm>
                            <a:off x="0" y="0"/>
                            <a:ext cx="1854200" cy="1579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EDC" w:rsidRPr="00316FF7">
              <w:rPr>
                <w:rFonts w:ascii="Times New Roman" w:hAnsi="Times New Roman" w:cs="Times New Roman"/>
                <w:lang w:val="en-AU"/>
              </w:rPr>
              <w:t>Drospirenone</w:t>
            </w:r>
          </w:p>
          <w:p w14:paraId="0A7B93F4" w14:textId="41A0DC85" w:rsidR="00887EDC" w:rsidRPr="00316FF7" w:rsidRDefault="00887EDC" w:rsidP="00DE770A">
            <w:pPr>
              <w:pStyle w:val="C-BodyText"/>
              <w:rPr>
                <w:rFonts w:ascii="Times New Roman" w:hAnsi="Times New Roman" w:cs="Times New Roman"/>
                <w:lang w:val="en-AU"/>
              </w:rPr>
            </w:pPr>
          </w:p>
          <w:p w14:paraId="0E8ADF33" w14:textId="63680E2B" w:rsidR="0009261C" w:rsidRPr="00316FF7" w:rsidRDefault="0009261C" w:rsidP="00DE770A">
            <w:pPr>
              <w:pStyle w:val="C-BodyText"/>
              <w:rPr>
                <w:rFonts w:ascii="Times New Roman" w:hAnsi="Times New Roman" w:cs="Times New Roman"/>
                <w:lang w:val="en-AU"/>
              </w:rPr>
            </w:pPr>
          </w:p>
          <w:p w14:paraId="6A0F0611" w14:textId="6DE9DC25" w:rsidR="0009261C" w:rsidRPr="00316FF7" w:rsidRDefault="0009261C" w:rsidP="00DE770A">
            <w:pPr>
              <w:pStyle w:val="C-BodyText"/>
              <w:rPr>
                <w:rFonts w:ascii="Times New Roman" w:hAnsi="Times New Roman" w:cs="Times New Roman"/>
                <w:lang w:val="en-AU"/>
              </w:rPr>
            </w:pPr>
          </w:p>
          <w:p w14:paraId="3FAF5A1F" w14:textId="77777777" w:rsidR="0009261C" w:rsidRPr="00316FF7" w:rsidRDefault="0009261C" w:rsidP="00DE770A">
            <w:pPr>
              <w:pStyle w:val="C-BodyText"/>
              <w:rPr>
                <w:rFonts w:ascii="Times New Roman" w:hAnsi="Times New Roman" w:cs="Times New Roman"/>
                <w:lang w:val="en-AU"/>
              </w:rPr>
            </w:pPr>
          </w:p>
          <w:p w14:paraId="124D94BF" w14:textId="77777777" w:rsidR="0009261C" w:rsidRPr="00316FF7" w:rsidRDefault="0009261C" w:rsidP="00DE770A">
            <w:pPr>
              <w:pStyle w:val="C-BodyText"/>
              <w:rPr>
                <w:rFonts w:ascii="Times New Roman" w:hAnsi="Times New Roman" w:cs="Times New Roman"/>
                <w:lang w:val="en-AU"/>
              </w:rPr>
            </w:pPr>
          </w:p>
          <w:p w14:paraId="05D75AF9" w14:textId="77777777" w:rsidR="0009261C" w:rsidRPr="00316FF7" w:rsidRDefault="0009261C" w:rsidP="00DE770A">
            <w:pPr>
              <w:pStyle w:val="C-BodyText"/>
              <w:rPr>
                <w:rFonts w:ascii="Times New Roman" w:hAnsi="Times New Roman" w:cs="Times New Roman"/>
                <w:lang w:val="en-AU"/>
              </w:rPr>
            </w:pPr>
          </w:p>
          <w:p w14:paraId="71B422E0" w14:textId="6D0F7A65" w:rsidR="00887EDC" w:rsidRPr="00316FF7" w:rsidRDefault="00887EDC" w:rsidP="00DE770A">
            <w:pPr>
              <w:pStyle w:val="C-BodyText"/>
              <w:rPr>
                <w:rFonts w:ascii="Times New Roman" w:hAnsi="Times New Roman" w:cs="Times New Roman"/>
                <w:lang w:val="en-AU"/>
              </w:rPr>
            </w:pPr>
            <w:r w:rsidRPr="00316FF7">
              <w:rPr>
                <w:rFonts w:ascii="Times New Roman" w:hAnsi="Times New Roman" w:cs="Times New Roman"/>
                <w:lang w:val="en-AU"/>
              </w:rPr>
              <w:t>C</w:t>
            </w:r>
            <w:r w:rsidRPr="00316FF7">
              <w:rPr>
                <w:rFonts w:ascii="Times New Roman" w:hAnsi="Times New Roman" w:cs="Times New Roman"/>
                <w:vertAlign w:val="subscript"/>
                <w:lang w:val="en-AU"/>
              </w:rPr>
              <w:t>24</w:t>
            </w:r>
            <w:r w:rsidRPr="00316FF7">
              <w:rPr>
                <w:rFonts w:ascii="Times New Roman" w:hAnsi="Times New Roman" w:cs="Times New Roman"/>
                <w:lang w:val="en-AU"/>
              </w:rPr>
              <w:t>H</w:t>
            </w:r>
            <w:r w:rsidRPr="00316FF7">
              <w:rPr>
                <w:rFonts w:ascii="Times New Roman" w:hAnsi="Times New Roman" w:cs="Times New Roman"/>
                <w:vertAlign w:val="subscript"/>
                <w:lang w:val="en-AU"/>
              </w:rPr>
              <w:t>30</w:t>
            </w:r>
            <w:r w:rsidRPr="00316FF7">
              <w:rPr>
                <w:rFonts w:ascii="Times New Roman" w:hAnsi="Times New Roman" w:cs="Times New Roman"/>
                <w:lang w:val="en-AU"/>
              </w:rPr>
              <w:t>O</w:t>
            </w:r>
            <w:r w:rsidRPr="00316FF7">
              <w:rPr>
                <w:rFonts w:ascii="Times New Roman" w:hAnsi="Times New Roman" w:cs="Times New Roman"/>
                <w:vertAlign w:val="subscript"/>
                <w:lang w:val="en-AU"/>
              </w:rPr>
              <w:t>3</w:t>
            </w:r>
          </w:p>
        </w:tc>
      </w:tr>
    </w:tbl>
    <w:p w14:paraId="522B5FA6" w14:textId="77777777" w:rsidR="006D123C" w:rsidRPr="00316FF7" w:rsidRDefault="006D123C" w:rsidP="00DE770A">
      <w:pPr>
        <w:pStyle w:val="C-Heading3non-numbered"/>
        <w:rPr>
          <w:lang w:val="en-AU"/>
        </w:rPr>
      </w:pPr>
      <w:r w:rsidRPr="00316FF7">
        <w:rPr>
          <w:lang w:val="en-AU"/>
        </w:rPr>
        <w:t xml:space="preserve">CAS </w:t>
      </w:r>
      <w:r w:rsidR="00944786" w:rsidRPr="00316FF7">
        <w:rPr>
          <w:lang w:val="en-AU"/>
        </w:rPr>
        <w:t>N</w:t>
      </w:r>
      <w:r w:rsidRPr="00316FF7">
        <w:rPr>
          <w:lang w:val="en-AU"/>
        </w:rPr>
        <w:t>umber</w:t>
      </w:r>
    </w:p>
    <w:p w14:paraId="7C42DE39" w14:textId="77777777" w:rsidR="00DE770A" w:rsidRPr="00316FF7" w:rsidRDefault="001A382D" w:rsidP="00DE770A">
      <w:pPr>
        <w:pStyle w:val="C-BodyText"/>
        <w:rPr>
          <w:lang w:val="en-AU"/>
        </w:rPr>
      </w:pPr>
      <w:proofErr w:type="spellStart"/>
      <w:r w:rsidRPr="00316FF7">
        <w:rPr>
          <w:lang w:val="en-AU"/>
        </w:rPr>
        <w:t>Estetrol</w:t>
      </w:r>
      <w:proofErr w:type="spellEnd"/>
      <w:r w:rsidRPr="00316FF7">
        <w:rPr>
          <w:lang w:val="en-AU"/>
        </w:rPr>
        <w:t xml:space="preserve"> monohydrate: 2055649-81-3</w:t>
      </w:r>
    </w:p>
    <w:p w14:paraId="2C541B42" w14:textId="77777777" w:rsidR="001A382D" w:rsidRPr="00316FF7" w:rsidRDefault="001A382D" w:rsidP="00DE770A">
      <w:pPr>
        <w:pStyle w:val="C-BodyText"/>
        <w:rPr>
          <w:lang w:val="en-AU"/>
        </w:rPr>
      </w:pPr>
      <w:r w:rsidRPr="00316FF7">
        <w:rPr>
          <w:lang w:val="en-AU"/>
        </w:rPr>
        <w:t xml:space="preserve">Drospirenone: </w:t>
      </w:r>
      <w:r w:rsidR="00CE7462" w:rsidRPr="00316FF7">
        <w:rPr>
          <w:lang w:val="en-AU"/>
        </w:rPr>
        <w:t>67392-87-4</w:t>
      </w:r>
    </w:p>
    <w:p w14:paraId="31A671D8" w14:textId="77777777" w:rsidR="00B845D7" w:rsidRPr="00316FF7" w:rsidRDefault="00B845D7" w:rsidP="00B845D7">
      <w:pPr>
        <w:pStyle w:val="C-Heading1nopagebreak"/>
        <w:rPr>
          <w:lang w:val="en-AU"/>
        </w:rPr>
      </w:pPr>
      <w:r w:rsidRPr="00316FF7">
        <w:rPr>
          <w:lang w:val="en-AU"/>
        </w:rPr>
        <w:t>MEDICINE SCHEDULE (POISONS STANDARD)</w:t>
      </w:r>
    </w:p>
    <w:p w14:paraId="59798155" w14:textId="0D7D4A56" w:rsidR="00DE770A" w:rsidRPr="00316FF7" w:rsidRDefault="00CE7462" w:rsidP="00DE770A">
      <w:pPr>
        <w:pStyle w:val="C-BodyText"/>
        <w:rPr>
          <w:lang w:val="en-AU"/>
        </w:rPr>
      </w:pPr>
      <w:r w:rsidRPr="00316FF7">
        <w:rPr>
          <w:lang w:val="en-AU"/>
        </w:rPr>
        <w:t xml:space="preserve">Schedule 4 </w:t>
      </w:r>
      <w:r w:rsidR="00BE3AEE" w:rsidRPr="00316FF7">
        <w:rPr>
          <w:lang w:val="en-AU"/>
        </w:rPr>
        <w:t>–</w:t>
      </w:r>
      <w:r w:rsidRPr="00316FF7">
        <w:rPr>
          <w:lang w:val="en-AU"/>
        </w:rPr>
        <w:t xml:space="preserve"> Prescription Only Medicine</w:t>
      </w:r>
    </w:p>
    <w:p w14:paraId="25637AB0" w14:textId="77777777" w:rsidR="00B845D7" w:rsidRPr="00316FF7" w:rsidRDefault="00B845D7" w:rsidP="00B845D7">
      <w:pPr>
        <w:pStyle w:val="C-Heading1nopagebreak"/>
        <w:rPr>
          <w:lang w:val="en-AU"/>
        </w:rPr>
      </w:pPr>
      <w:r w:rsidRPr="00316FF7">
        <w:rPr>
          <w:lang w:val="en-AU"/>
        </w:rPr>
        <w:lastRenderedPageBreak/>
        <w:t>SPONSOR</w:t>
      </w:r>
    </w:p>
    <w:p w14:paraId="76E76133" w14:textId="77777777" w:rsidR="00DE770A" w:rsidRPr="00316FF7" w:rsidRDefault="002E6F5C" w:rsidP="00DE770A">
      <w:pPr>
        <w:pStyle w:val="C-BodyText"/>
        <w:rPr>
          <w:lang w:val="en-AU"/>
        </w:rPr>
      </w:pPr>
      <w:r w:rsidRPr="00316FF7">
        <w:rPr>
          <w:lang w:val="en-AU"/>
        </w:rPr>
        <w:t>Mayne Pharma International Pty Ltd</w:t>
      </w:r>
    </w:p>
    <w:p w14:paraId="2588CCFA" w14:textId="77777777" w:rsidR="002E6F5C" w:rsidRPr="00316FF7" w:rsidRDefault="002E6F5C" w:rsidP="00DE770A">
      <w:pPr>
        <w:pStyle w:val="C-BodyText"/>
        <w:rPr>
          <w:lang w:val="en-AU"/>
        </w:rPr>
      </w:pPr>
      <w:r w:rsidRPr="00316FF7">
        <w:rPr>
          <w:lang w:val="en-AU"/>
        </w:rPr>
        <w:t>ABN 88 007 870 984</w:t>
      </w:r>
    </w:p>
    <w:p w14:paraId="0C2C5895" w14:textId="77777777" w:rsidR="002E6F5C" w:rsidRPr="00316FF7" w:rsidRDefault="002E6F5C" w:rsidP="00DE770A">
      <w:pPr>
        <w:pStyle w:val="C-BodyText"/>
        <w:rPr>
          <w:lang w:val="en-AU"/>
        </w:rPr>
      </w:pPr>
      <w:r w:rsidRPr="00316FF7">
        <w:rPr>
          <w:lang w:val="en-AU"/>
        </w:rPr>
        <w:t>1538 Main North Road</w:t>
      </w:r>
    </w:p>
    <w:p w14:paraId="1C4F03BA" w14:textId="24AC2A9A" w:rsidR="002E6F5C" w:rsidRPr="00316FF7" w:rsidRDefault="002E6F5C" w:rsidP="00DE770A">
      <w:pPr>
        <w:pStyle w:val="C-BodyText"/>
        <w:rPr>
          <w:lang w:val="en-AU"/>
        </w:rPr>
      </w:pPr>
      <w:r w:rsidRPr="00316FF7">
        <w:rPr>
          <w:lang w:val="en-AU"/>
        </w:rPr>
        <w:t>Salisbury South, SA 5106</w:t>
      </w:r>
    </w:p>
    <w:p w14:paraId="7BEB25D1" w14:textId="56B6CC7F" w:rsidR="00CB2EAB" w:rsidRPr="00316FF7" w:rsidRDefault="00DD02EF" w:rsidP="00DE770A">
      <w:pPr>
        <w:pStyle w:val="C-BodyText"/>
        <w:rPr>
          <w:lang w:val="en-AU"/>
        </w:rPr>
      </w:pPr>
      <w:r w:rsidRPr="006F2982">
        <w:rPr>
          <w:color w:val="0000FF"/>
          <w:u w:val="single"/>
          <w:lang w:val="en-AU"/>
        </w:rPr>
        <w:t>maynepharma.com.au</w:t>
      </w:r>
    </w:p>
    <w:p w14:paraId="4F566C8F" w14:textId="77777777" w:rsidR="00B845D7" w:rsidRPr="00316FF7" w:rsidRDefault="00B845D7" w:rsidP="00B845D7">
      <w:pPr>
        <w:pStyle w:val="C-Heading1nopagebreak"/>
        <w:rPr>
          <w:lang w:val="en-AU"/>
        </w:rPr>
      </w:pPr>
      <w:r w:rsidRPr="00316FF7">
        <w:rPr>
          <w:lang w:val="en-AU"/>
        </w:rPr>
        <w:t>DATE OF FIRST APPROVAL</w:t>
      </w:r>
    </w:p>
    <w:p w14:paraId="3B189E89" w14:textId="02593775" w:rsidR="00DE770A" w:rsidRPr="00316FF7" w:rsidRDefault="002533D0" w:rsidP="00DE770A">
      <w:pPr>
        <w:pStyle w:val="C-BodyText"/>
        <w:rPr>
          <w:lang w:val="en-AU"/>
        </w:rPr>
      </w:pPr>
      <w:r>
        <w:rPr>
          <w:lang w:val="en-AU"/>
        </w:rPr>
        <w:t>26 November 2021</w:t>
      </w:r>
    </w:p>
    <w:p w14:paraId="3A86CB5B" w14:textId="77777777" w:rsidR="00B845D7" w:rsidRPr="00316FF7" w:rsidRDefault="00B845D7" w:rsidP="00B845D7">
      <w:pPr>
        <w:pStyle w:val="C-Heading1nopagebreak"/>
        <w:rPr>
          <w:lang w:val="en-AU"/>
        </w:rPr>
      </w:pPr>
      <w:r w:rsidRPr="00316FF7">
        <w:rPr>
          <w:lang w:val="en-AU"/>
        </w:rPr>
        <w:t>DATE OF REVISION</w:t>
      </w:r>
    </w:p>
    <w:p w14:paraId="0E9BC5CD" w14:textId="0163A803" w:rsidR="00D557A1" w:rsidRPr="00D557A1" w:rsidRDefault="00D557A1" w:rsidP="00E92403">
      <w:pPr>
        <w:pStyle w:val="C-BodyText"/>
        <w:rPr>
          <w:b/>
          <w:bCs/>
          <w:vanish/>
          <w:color w:val="FF0000"/>
          <w:u w:color="FF0000"/>
          <w:lang w:val="en-AU"/>
        </w:rPr>
      </w:pPr>
      <w:r>
        <w:rPr>
          <w:lang w:val="en-AU"/>
        </w:rPr>
        <w:t>Not applicable</w:t>
      </w:r>
    </w:p>
    <w:p w14:paraId="4E2A20E4" w14:textId="77777777" w:rsidR="00DE770A" w:rsidRPr="00316FF7" w:rsidRDefault="00DE770A" w:rsidP="00DE770A">
      <w:pPr>
        <w:pStyle w:val="C-BodyText"/>
        <w:rPr>
          <w:lang w:val="en-AU"/>
        </w:rPr>
      </w:pPr>
    </w:p>
    <w:p w14:paraId="7344CE33" w14:textId="77777777" w:rsidR="004A4883" w:rsidRPr="00316FF7" w:rsidRDefault="0007434B" w:rsidP="00C81A5C">
      <w:pPr>
        <w:pStyle w:val="C-Heading1nopagebreak0"/>
        <w:rPr>
          <w:lang w:val="en-AU"/>
        </w:rPr>
      </w:pPr>
      <w:r w:rsidRPr="00316FF7">
        <w:rPr>
          <w:lang w:val="en-AU"/>
        </w:rPr>
        <w:t>SUMMARY TABLE OF CHANGES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6763"/>
      </w:tblGrid>
      <w:tr w:rsidR="00B845D7" w:rsidRPr="00316FF7" w14:paraId="3C5DA561" w14:textId="77777777" w:rsidTr="00B845D7">
        <w:trPr>
          <w:cantSplit/>
          <w:tblHeader/>
          <w:jc w:val="center"/>
        </w:trPr>
        <w:tc>
          <w:tcPr>
            <w:tcW w:w="2093" w:type="dxa"/>
            <w:shd w:val="clear" w:color="auto" w:fill="auto"/>
          </w:tcPr>
          <w:p w14:paraId="31A7776F" w14:textId="77777777" w:rsidR="00B845D7" w:rsidRPr="00316FF7" w:rsidRDefault="00B845D7" w:rsidP="00B845D7">
            <w:pPr>
              <w:pStyle w:val="C-TableHeader"/>
              <w:rPr>
                <w:lang w:val="en-AU"/>
              </w:rPr>
            </w:pPr>
            <w:r w:rsidRPr="00316FF7">
              <w:rPr>
                <w:lang w:val="en-AU"/>
              </w:rPr>
              <w:t xml:space="preserve">Section </w:t>
            </w:r>
            <w:r w:rsidR="004A4883" w:rsidRPr="00316FF7">
              <w:rPr>
                <w:lang w:val="en-AU"/>
              </w:rPr>
              <w:t>c</w:t>
            </w:r>
            <w:r w:rsidRPr="00316FF7">
              <w:rPr>
                <w:lang w:val="en-AU"/>
              </w:rPr>
              <w:t>hanged</w:t>
            </w:r>
          </w:p>
        </w:tc>
        <w:tc>
          <w:tcPr>
            <w:tcW w:w="6763" w:type="dxa"/>
            <w:shd w:val="clear" w:color="auto" w:fill="auto"/>
          </w:tcPr>
          <w:p w14:paraId="009DAF60" w14:textId="77777777" w:rsidR="00B845D7" w:rsidRPr="00316FF7" w:rsidRDefault="00B845D7" w:rsidP="00B845D7">
            <w:pPr>
              <w:pStyle w:val="C-TableHeader"/>
              <w:rPr>
                <w:lang w:val="en-AU"/>
              </w:rPr>
            </w:pPr>
            <w:r w:rsidRPr="00316FF7">
              <w:rPr>
                <w:lang w:val="en-AU"/>
              </w:rPr>
              <w:t>Summary of new information</w:t>
            </w:r>
          </w:p>
        </w:tc>
      </w:tr>
      <w:tr w:rsidR="00B845D7" w:rsidRPr="00316FF7" w14:paraId="50690BE6" w14:textId="77777777" w:rsidTr="00B845D7">
        <w:trPr>
          <w:cantSplit/>
          <w:jc w:val="center"/>
        </w:trPr>
        <w:tc>
          <w:tcPr>
            <w:tcW w:w="2093" w:type="dxa"/>
            <w:shd w:val="clear" w:color="auto" w:fill="auto"/>
          </w:tcPr>
          <w:p w14:paraId="6F9E5A38" w14:textId="77777777" w:rsidR="00B845D7" w:rsidRPr="00316FF7" w:rsidRDefault="00B845D7" w:rsidP="00B845D7">
            <w:pPr>
              <w:pStyle w:val="C-TableText"/>
              <w:rPr>
                <w:lang w:val="en-AU"/>
              </w:rPr>
            </w:pPr>
          </w:p>
        </w:tc>
        <w:tc>
          <w:tcPr>
            <w:tcW w:w="6763" w:type="dxa"/>
            <w:shd w:val="clear" w:color="auto" w:fill="auto"/>
          </w:tcPr>
          <w:p w14:paraId="28F815CC" w14:textId="77777777" w:rsidR="00B845D7" w:rsidRPr="00316FF7" w:rsidRDefault="00B845D7" w:rsidP="00B845D7">
            <w:pPr>
              <w:pStyle w:val="C-TableText"/>
              <w:rPr>
                <w:lang w:val="en-AU"/>
              </w:rPr>
            </w:pPr>
          </w:p>
        </w:tc>
      </w:tr>
      <w:tr w:rsidR="00B845D7" w:rsidRPr="00316FF7" w14:paraId="5C74F182" w14:textId="77777777" w:rsidTr="00B845D7">
        <w:trPr>
          <w:cantSplit/>
          <w:jc w:val="center"/>
        </w:trPr>
        <w:tc>
          <w:tcPr>
            <w:tcW w:w="2093" w:type="dxa"/>
            <w:tcBorders>
              <w:bottom w:val="single" w:sz="6" w:space="0" w:color="auto"/>
            </w:tcBorders>
            <w:shd w:val="clear" w:color="auto" w:fill="auto"/>
          </w:tcPr>
          <w:p w14:paraId="68FA59C2" w14:textId="77777777" w:rsidR="00B845D7" w:rsidRPr="00316FF7" w:rsidRDefault="00B845D7" w:rsidP="00B845D7">
            <w:pPr>
              <w:pStyle w:val="C-TableText"/>
              <w:rPr>
                <w:lang w:val="en-AU"/>
              </w:rPr>
            </w:pPr>
          </w:p>
        </w:tc>
        <w:tc>
          <w:tcPr>
            <w:tcW w:w="6763" w:type="dxa"/>
            <w:tcBorders>
              <w:bottom w:val="single" w:sz="6" w:space="0" w:color="auto"/>
            </w:tcBorders>
            <w:shd w:val="clear" w:color="auto" w:fill="auto"/>
          </w:tcPr>
          <w:p w14:paraId="67525432" w14:textId="77777777" w:rsidR="00B845D7" w:rsidRPr="00316FF7" w:rsidRDefault="00B845D7" w:rsidP="00B845D7">
            <w:pPr>
              <w:pStyle w:val="C-TableText"/>
              <w:rPr>
                <w:lang w:val="en-AU"/>
              </w:rPr>
            </w:pPr>
          </w:p>
        </w:tc>
      </w:tr>
      <w:tr w:rsidR="00B845D7" w:rsidRPr="00316FF7" w14:paraId="03B739D1" w14:textId="77777777" w:rsidTr="00B845D7">
        <w:trPr>
          <w:cantSplit/>
          <w:jc w:val="center"/>
        </w:trPr>
        <w:tc>
          <w:tcPr>
            <w:tcW w:w="2093" w:type="dxa"/>
            <w:shd w:val="clear" w:color="auto" w:fill="auto"/>
          </w:tcPr>
          <w:p w14:paraId="0D61DEEC" w14:textId="77777777" w:rsidR="00B845D7" w:rsidRPr="00316FF7" w:rsidRDefault="00B845D7" w:rsidP="00B845D7">
            <w:pPr>
              <w:pStyle w:val="C-TableText"/>
              <w:rPr>
                <w:lang w:val="en-AU"/>
              </w:rPr>
            </w:pPr>
          </w:p>
        </w:tc>
        <w:tc>
          <w:tcPr>
            <w:tcW w:w="6763" w:type="dxa"/>
            <w:shd w:val="clear" w:color="auto" w:fill="auto"/>
          </w:tcPr>
          <w:p w14:paraId="7EB1BD47" w14:textId="77777777" w:rsidR="00B845D7" w:rsidRPr="00316FF7" w:rsidRDefault="00B845D7" w:rsidP="00B845D7">
            <w:pPr>
              <w:pStyle w:val="C-TableText"/>
              <w:rPr>
                <w:lang w:val="en-AU"/>
              </w:rPr>
            </w:pPr>
          </w:p>
        </w:tc>
      </w:tr>
    </w:tbl>
    <w:p w14:paraId="2731C57E" w14:textId="77777777" w:rsidR="00DF019A" w:rsidRPr="00316FF7" w:rsidRDefault="00DF019A" w:rsidP="0061569F">
      <w:pPr>
        <w:pStyle w:val="C-BodyText"/>
        <w:rPr>
          <w:lang w:val="en-AU"/>
        </w:rPr>
      </w:pPr>
    </w:p>
    <w:sectPr w:rsidR="00DF019A" w:rsidRPr="00316FF7" w:rsidSect="00CA2860">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A2F9C" w14:textId="77777777" w:rsidR="005F52DF" w:rsidRDefault="005F52DF">
      <w:r>
        <w:separator/>
      </w:r>
    </w:p>
  </w:endnote>
  <w:endnote w:type="continuationSeparator" w:id="0">
    <w:p w14:paraId="22CF1945" w14:textId="77777777" w:rsidR="005F52DF" w:rsidRDefault="005F52DF">
      <w:r>
        <w:continuationSeparator/>
      </w:r>
    </w:p>
  </w:endnote>
  <w:endnote w:type="continuationNotice" w:id="1">
    <w:p w14:paraId="412E1099" w14:textId="77777777" w:rsidR="005F52DF" w:rsidRDefault="005F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734497"/>
      <w:docPartObj>
        <w:docPartGallery w:val="Page Numbers (Bottom of Page)"/>
        <w:docPartUnique/>
      </w:docPartObj>
    </w:sdtPr>
    <w:sdtEndPr>
      <w:rPr>
        <w:noProof/>
      </w:rPr>
    </w:sdtEndPr>
    <w:sdtContent>
      <w:p w14:paraId="63D8C4CB" w14:textId="1F1D82C8" w:rsidR="008A3212" w:rsidRPr="005A14DC" w:rsidRDefault="008A3212" w:rsidP="005A14DC">
        <w:pPr>
          <w:pStyle w:val="Footer"/>
        </w:pPr>
        <w:r w:rsidRPr="005A14DC">
          <w:t xml:space="preserve">v </w:t>
        </w:r>
        <w:r w:rsidR="002533D0">
          <w:t>1.0</w:t>
        </w:r>
        <w:r w:rsidRPr="005A14DC">
          <w:tab/>
        </w: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491CB" w14:textId="77777777" w:rsidR="005F52DF" w:rsidRDefault="005F52DF">
      <w:r>
        <w:separator/>
      </w:r>
    </w:p>
  </w:footnote>
  <w:footnote w:type="continuationSeparator" w:id="0">
    <w:p w14:paraId="4581B597" w14:textId="77777777" w:rsidR="005F52DF" w:rsidRDefault="005F52DF">
      <w:r>
        <w:continuationSeparator/>
      </w:r>
    </w:p>
  </w:footnote>
  <w:footnote w:type="continuationNotice" w:id="1">
    <w:p w14:paraId="1C260743" w14:textId="77777777" w:rsidR="005F52DF" w:rsidRDefault="005F52DF"/>
  </w:footnote>
  <w:footnote w:id="2">
    <w:p w14:paraId="4A5E5B41" w14:textId="2DEDC964" w:rsidR="008A3212" w:rsidRPr="00DC35A9" w:rsidRDefault="008A3212" w:rsidP="006C18C3">
      <w:pPr>
        <w:pStyle w:val="FootnoteText"/>
        <w:rPr>
          <w:rFonts w:ascii="Times New Roman" w:hAnsi="Times New Roman" w:cs="Times New Roman"/>
        </w:rPr>
      </w:pPr>
      <w:r w:rsidRPr="00DC35A9">
        <w:rPr>
          <w:rStyle w:val="FootnoteReference"/>
          <w:rFonts w:ascii="Times New Roman" w:hAnsi="Times New Roman" w:cs="Times New Roman"/>
        </w:rPr>
        <w:footnoteRef/>
      </w:r>
      <w:r w:rsidRPr="00DC35A9">
        <w:rPr>
          <w:rFonts w:ascii="Times New Roman" w:hAnsi="Times New Roman" w:cs="Times New Roman"/>
        </w:rPr>
        <w:t xml:space="preserve"> </w:t>
      </w:r>
      <w:r w:rsidRPr="006C18C3">
        <w:rPr>
          <w:rFonts w:ascii="Times New Roman" w:hAnsi="Times New Roman" w:cs="Times New Roman"/>
        </w:rPr>
        <w:t>The Pearl Index (PI) is defined as the number of pregnancies divided by the exposure time in woman years (WY) multiplied by 100</w:t>
      </w:r>
      <w:r>
        <w:rPr>
          <w:rFonts w:ascii="Times New Roman" w:hAnsi="Times New Roman" w:cs="Times New Roman"/>
        </w:rPr>
        <w:t>.</w:t>
      </w:r>
    </w:p>
  </w:footnote>
  <w:footnote w:id="3">
    <w:p w14:paraId="6B7296D5" w14:textId="1B6E50AF" w:rsidR="008A3212" w:rsidRPr="003932A6" w:rsidRDefault="008A3212">
      <w:pPr>
        <w:pStyle w:val="FootnoteText"/>
        <w:rPr>
          <w:lang w:val="en-AU"/>
        </w:rPr>
      </w:pPr>
      <w:r>
        <w:rPr>
          <w:rStyle w:val="FootnoteReference"/>
        </w:rPr>
        <w:footnoteRef/>
      </w:r>
      <w:r>
        <w:t xml:space="preserve"> </w:t>
      </w:r>
      <w:r w:rsidRPr="003932A6">
        <w:t>Trussell J &amp; Portman D (2013). The Creeping Pearl: Why Has the Rate of Contraceptive Failure Increased in Clinical Trials of Combined Hormonal Contraceptive Pills? Contraception. Nov: 88(5): 604-610. doi:10.1016/j.contraception.2013.04.001.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630"/>
    </w:tblGrid>
    <w:tr w:rsidR="00833BA6" w:rsidRPr="000B2145" w14:paraId="14FAD6EE" w14:textId="77777777" w:rsidTr="000777C5">
      <w:trPr>
        <w:trHeight w:val="1012"/>
      </w:trPr>
      <w:tc>
        <w:tcPr>
          <w:tcW w:w="9039" w:type="dxa"/>
          <w:shd w:val="clear" w:color="auto" w:fill="E4F2E0"/>
        </w:tcPr>
        <w:p w14:paraId="11B2D750" w14:textId="77777777" w:rsidR="00833BA6" w:rsidRPr="000E4791" w:rsidRDefault="00833BA6" w:rsidP="00833BA6">
          <w:pPr>
            <w:pStyle w:val="Footer"/>
            <w:rPr>
              <w:b/>
              <w:sz w:val="18"/>
              <w:szCs w:val="18"/>
            </w:rPr>
          </w:pPr>
          <w:bookmarkStart w:id="6" w:name="_Hlk110255651"/>
          <w:r w:rsidRPr="00E74845">
            <w:rPr>
              <w:b/>
              <w:sz w:val="18"/>
              <w:szCs w:val="18"/>
            </w:rPr>
            <w:t xml:space="preserve">Attachment </w:t>
          </w:r>
          <w:proofErr w:type="spellStart"/>
          <w:r w:rsidRPr="00E74845">
            <w:rPr>
              <w:b/>
            </w:rPr>
            <w:t>AusPAR</w:t>
          </w:r>
          <w:proofErr w:type="spellEnd"/>
          <w:r w:rsidRPr="00E74845">
            <w:rPr>
              <w:b/>
            </w:rPr>
            <w:t xml:space="preserve"> - </w:t>
          </w:r>
          <w:proofErr w:type="spellStart"/>
          <w:r w:rsidRPr="00E74845">
            <w:rPr>
              <w:b/>
            </w:rPr>
            <w:t>Nextstellis</w:t>
          </w:r>
          <w:proofErr w:type="spellEnd"/>
          <w:r w:rsidRPr="00E74845">
            <w:rPr>
              <w:b/>
            </w:rPr>
            <w:t xml:space="preserve"> - </w:t>
          </w:r>
          <w:proofErr w:type="spellStart"/>
          <w:r w:rsidRPr="00E74845">
            <w:rPr>
              <w:b/>
            </w:rPr>
            <w:t>estetrol</w:t>
          </w:r>
          <w:proofErr w:type="spellEnd"/>
          <w:r w:rsidRPr="00E74845">
            <w:rPr>
              <w:b/>
            </w:rPr>
            <w:t xml:space="preserve"> monohydrate/</w:t>
          </w:r>
          <w:proofErr w:type="spellStart"/>
          <w:r w:rsidRPr="00E74845">
            <w:rPr>
              <w:b/>
            </w:rPr>
            <w:t>drospirenone</w:t>
          </w:r>
          <w:proofErr w:type="spellEnd"/>
          <w:r w:rsidRPr="00E74845">
            <w:rPr>
              <w:b/>
            </w:rPr>
            <w:t xml:space="preserve"> - Mayne Pharma International Pty Ltd - PM-2020-04185-1-5 Final 21 July 2022</w:t>
          </w:r>
          <w:r w:rsidRPr="00E74845">
            <w:rPr>
              <w:b/>
              <w:sz w:val="18"/>
              <w:szCs w:val="18"/>
            </w:rPr>
            <w:t xml:space="preserve">. </w:t>
          </w:r>
          <w:r w:rsidRPr="00EE2A41">
            <w:rPr>
              <w:b/>
              <w:sz w:val="18"/>
              <w:szCs w:val="18"/>
            </w:rPr>
            <w:t xml:space="preserve">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6F5F5DAF" w14:textId="77777777" w:rsidR="00833BA6" w:rsidRDefault="0083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027C1"/>
    <w:multiLevelType w:val="hybridMultilevel"/>
    <w:tmpl w:val="C8806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742E5"/>
    <w:multiLevelType w:val="hybridMultilevel"/>
    <w:tmpl w:val="2188C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4"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6" w15:restartNumberingAfterBreak="0">
    <w:nsid w:val="154950B6"/>
    <w:multiLevelType w:val="hybridMultilevel"/>
    <w:tmpl w:val="2090B1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18568B"/>
    <w:multiLevelType w:val="hybridMultilevel"/>
    <w:tmpl w:val="E6B069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CE60BE6E">
      <w:numFmt w:val="bullet"/>
      <w:lvlText w:val="-"/>
      <w:lvlJc w:val="left"/>
      <w:pPr>
        <w:ind w:left="2520" w:hanging="360"/>
      </w:pPr>
      <w:rPr>
        <w:rFonts w:ascii="Times New Roman" w:eastAsia="Times New Roman" w:hAnsi="Times New Roman" w:cs="Times New Roman"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102548"/>
    <w:multiLevelType w:val="hybridMultilevel"/>
    <w:tmpl w:val="FE7A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45C6F"/>
    <w:multiLevelType w:val="hybridMultilevel"/>
    <w:tmpl w:val="9BBE2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30511F5"/>
    <w:multiLevelType w:val="hybridMultilevel"/>
    <w:tmpl w:val="3CE45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40011A"/>
    <w:multiLevelType w:val="hybridMultilevel"/>
    <w:tmpl w:val="C974FA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2430F6"/>
    <w:multiLevelType w:val="hybridMultilevel"/>
    <w:tmpl w:val="00725F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E61EE3"/>
    <w:multiLevelType w:val="hybridMultilevel"/>
    <w:tmpl w:val="2A126C20"/>
    <w:lvl w:ilvl="0" w:tplc="6E1CBA22">
      <w:numFmt w:val="bullet"/>
      <w:lvlText w:val="•"/>
      <w:lvlJc w:val="left"/>
      <w:pPr>
        <w:ind w:left="36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6"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25BB6"/>
    <w:multiLevelType w:val="hybridMultilevel"/>
    <w:tmpl w:val="D86C4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4A847C78"/>
    <w:multiLevelType w:val="hybridMultilevel"/>
    <w:tmpl w:val="68FAC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2"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3" w15:restartNumberingAfterBreak="0">
    <w:nsid w:val="5400391C"/>
    <w:multiLevelType w:val="hybridMultilevel"/>
    <w:tmpl w:val="E4948928"/>
    <w:lvl w:ilvl="0" w:tplc="6E1CBA22">
      <w:numFmt w:val="bullet"/>
      <w:lvlText w:val="•"/>
      <w:lvlJc w:val="left"/>
      <w:pPr>
        <w:ind w:left="360" w:hanging="360"/>
      </w:pPr>
      <w:rPr>
        <w:rFonts w:ascii="Times New Roman" w:eastAsia="Times New Roman" w:hAnsi="Times New Roman" w:cs="Times New Roman" w:hint="default"/>
        <w:b/>
      </w:rPr>
    </w:lvl>
    <w:lvl w:ilvl="1" w:tplc="27AA1BC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DB7662"/>
    <w:multiLevelType w:val="hybridMultilevel"/>
    <w:tmpl w:val="BE821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AD05F1"/>
    <w:multiLevelType w:val="hybridMultilevel"/>
    <w:tmpl w:val="2A14A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7"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5C1632"/>
    <w:multiLevelType w:val="hybridMultilevel"/>
    <w:tmpl w:val="6EFC3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FF4913"/>
    <w:multiLevelType w:val="hybridMultilevel"/>
    <w:tmpl w:val="FFFFFFFF"/>
    <w:lvl w:ilvl="0" w:tplc="5A8E81B8">
      <w:start w:val="1"/>
      <w:numFmt w:val="bullet"/>
      <w:lvlText w:val=""/>
      <w:lvlJc w:val="left"/>
      <w:pPr>
        <w:ind w:left="720" w:hanging="360"/>
      </w:pPr>
      <w:rPr>
        <w:rFonts w:ascii="Symbol" w:hAnsi="Symbol" w:hint="default"/>
      </w:rPr>
    </w:lvl>
    <w:lvl w:ilvl="1" w:tplc="D0EC62C2">
      <w:start w:val="1"/>
      <w:numFmt w:val="bullet"/>
      <w:lvlText w:val="o"/>
      <w:lvlJc w:val="left"/>
      <w:pPr>
        <w:ind w:left="1440" w:hanging="360"/>
      </w:pPr>
      <w:rPr>
        <w:rFonts w:ascii="Courier New" w:hAnsi="Courier New" w:hint="default"/>
      </w:rPr>
    </w:lvl>
    <w:lvl w:ilvl="2" w:tplc="1BE47F1E">
      <w:start w:val="1"/>
      <w:numFmt w:val="bullet"/>
      <w:lvlText w:val=""/>
      <w:lvlJc w:val="left"/>
      <w:pPr>
        <w:ind w:left="2160" w:hanging="360"/>
      </w:pPr>
      <w:rPr>
        <w:rFonts w:ascii="Wingdings" w:hAnsi="Wingdings" w:hint="default"/>
      </w:rPr>
    </w:lvl>
    <w:lvl w:ilvl="3" w:tplc="1F545818">
      <w:start w:val="1"/>
      <w:numFmt w:val="bullet"/>
      <w:lvlText w:val=""/>
      <w:lvlJc w:val="left"/>
      <w:pPr>
        <w:ind w:left="2880" w:hanging="360"/>
      </w:pPr>
      <w:rPr>
        <w:rFonts w:ascii="Symbol" w:hAnsi="Symbol" w:hint="default"/>
      </w:rPr>
    </w:lvl>
    <w:lvl w:ilvl="4" w:tplc="E522DF24">
      <w:start w:val="1"/>
      <w:numFmt w:val="bullet"/>
      <w:lvlText w:val="o"/>
      <w:lvlJc w:val="left"/>
      <w:pPr>
        <w:ind w:left="3600" w:hanging="360"/>
      </w:pPr>
      <w:rPr>
        <w:rFonts w:ascii="Courier New" w:hAnsi="Courier New" w:hint="default"/>
      </w:rPr>
    </w:lvl>
    <w:lvl w:ilvl="5" w:tplc="F27076E4">
      <w:start w:val="1"/>
      <w:numFmt w:val="bullet"/>
      <w:lvlText w:val=""/>
      <w:lvlJc w:val="left"/>
      <w:pPr>
        <w:ind w:left="4320" w:hanging="360"/>
      </w:pPr>
      <w:rPr>
        <w:rFonts w:ascii="Wingdings" w:hAnsi="Wingdings" w:hint="default"/>
      </w:rPr>
    </w:lvl>
    <w:lvl w:ilvl="6" w:tplc="69A8D69E">
      <w:start w:val="1"/>
      <w:numFmt w:val="bullet"/>
      <w:lvlText w:val=""/>
      <w:lvlJc w:val="left"/>
      <w:pPr>
        <w:ind w:left="5040" w:hanging="360"/>
      </w:pPr>
      <w:rPr>
        <w:rFonts w:ascii="Symbol" w:hAnsi="Symbol" w:hint="default"/>
      </w:rPr>
    </w:lvl>
    <w:lvl w:ilvl="7" w:tplc="0B482654">
      <w:start w:val="1"/>
      <w:numFmt w:val="bullet"/>
      <w:lvlText w:val="o"/>
      <w:lvlJc w:val="left"/>
      <w:pPr>
        <w:ind w:left="5760" w:hanging="360"/>
      </w:pPr>
      <w:rPr>
        <w:rFonts w:ascii="Courier New" w:hAnsi="Courier New" w:hint="default"/>
      </w:rPr>
    </w:lvl>
    <w:lvl w:ilvl="8" w:tplc="C18EFD34">
      <w:start w:val="1"/>
      <w:numFmt w:val="bullet"/>
      <w:lvlText w:val=""/>
      <w:lvlJc w:val="left"/>
      <w:pPr>
        <w:ind w:left="6480" w:hanging="360"/>
      </w:pPr>
      <w:rPr>
        <w:rFonts w:ascii="Wingdings" w:hAnsi="Wingdings" w:hint="default"/>
      </w:rPr>
    </w:lvl>
  </w:abstractNum>
  <w:abstractNum w:abstractNumId="31"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1644817"/>
    <w:multiLevelType w:val="hybridMultilevel"/>
    <w:tmpl w:val="9C387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34" w15:restartNumberingAfterBreak="0">
    <w:nsid w:val="780B0CBF"/>
    <w:multiLevelType w:val="hybridMultilevel"/>
    <w:tmpl w:val="D0307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31"/>
  </w:num>
  <w:num w:numId="3">
    <w:abstractNumId w:val="27"/>
  </w:num>
  <w:num w:numId="4">
    <w:abstractNumId w:val="16"/>
  </w:num>
  <w:num w:numId="5">
    <w:abstractNumId w:val="21"/>
  </w:num>
  <w:num w:numId="6">
    <w:abstractNumId w:val="33"/>
  </w:num>
  <w:num w:numId="7">
    <w:abstractNumId w:val="28"/>
  </w:num>
  <w:num w:numId="8">
    <w:abstractNumId w:val="10"/>
  </w:num>
  <w:num w:numId="9">
    <w:abstractNumId w:val="20"/>
  </w:num>
  <w:num w:numId="10">
    <w:abstractNumId w:val="22"/>
  </w:num>
  <w:num w:numId="11">
    <w:abstractNumId w:val="18"/>
  </w:num>
  <w:num w:numId="12">
    <w:abstractNumId w:val="4"/>
  </w:num>
  <w:num w:numId="13">
    <w:abstractNumId w:val="26"/>
  </w:num>
  <w:num w:numId="14">
    <w:abstractNumId w:val="8"/>
  </w:num>
  <w:num w:numId="15">
    <w:abstractNumId w:val="19"/>
  </w:num>
  <w:num w:numId="16">
    <w:abstractNumId w:val="1"/>
  </w:num>
  <w:num w:numId="17">
    <w:abstractNumId w:val="2"/>
  </w:num>
  <w:num w:numId="18">
    <w:abstractNumId w:val="14"/>
  </w:num>
  <w:num w:numId="19">
    <w:abstractNumId w:val="23"/>
  </w:num>
  <w:num w:numId="20">
    <w:abstractNumId w:val="24"/>
  </w:num>
  <w:num w:numId="21">
    <w:abstractNumId w:val="32"/>
  </w:num>
  <w:num w:numId="22">
    <w:abstractNumId w:val="9"/>
  </w:num>
  <w:num w:numId="23">
    <w:abstractNumId w:val="11"/>
  </w:num>
  <w:num w:numId="24">
    <w:abstractNumId w:val="7"/>
  </w:num>
  <w:num w:numId="25">
    <w:abstractNumId w:val="30"/>
  </w:num>
  <w:num w:numId="26">
    <w:abstractNumId w:val="34"/>
  </w:num>
  <w:num w:numId="27">
    <w:abstractNumId w:val="25"/>
  </w:num>
  <w:num w:numId="28">
    <w:abstractNumId w:val="17"/>
  </w:num>
  <w:num w:numId="29">
    <w:abstractNumId w:val="6"/>
  </w:num>
  <w:num w:numId="30">
    <w:abstractNumId w:val="12"/>
  </w:num>
  <w:num w:numId="31">
    <w:abstractNumId w:val="29"/>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hyphenationZone w:val="425"/>
  <w:drawingGridHorizontalSpacing w:val="187"/>
  <w:displayVertic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P_INTERNAL_QA_CHECKS" w:val="1111111111111111111111"/>
    <w:docVar w:name="SP_INTERNAL_QA_FORM_POSITION" w:val="150.75 457.5"/>
    <w:docVar w:name="SP_INTERNAL_QA_OPTIONS" w:val="1"/>
  </w:docVars>
  <w:rsids>
    <w:rsidRoot w:val="00FE4CA6"/>
    <w:rsid w:val="00000161"/>
    <w:rsid w:val="000015C6"/>
    <w:rsid w:val="00001A39"/>
    <w:rsid w:val="00002196"/>
    <w:rsid w:val="000026C8"/>
    <w:rsid w:val="00002930"/>
    <w:rsid w:val="0000303C"/>
    <w:rsid w:val="0000314E"/>
    <w:rsid w:val="00003787"/>
    <w:rsid w:val="00003ED2"/>
    <w:rsid w:val="000053DE"/>
    <w:rsid w:val="000055D9"/>
    <w:rsid w:val="00005620"/>
    <w:rsid w:val="00005C0F"/>
    <w:rsid w:val="000063A3"/>
    <w:rsid w:val="00006AC2"/>
    <w:rsid w:val="00006B64"/>
    <w:rsid w:val="000074EC"/>
    <w:rsid w:val="00007635"/>
    <w:rsid w:val="00007655"/>
    <w:rsid w:val="0001056E"/>
    <w:rsid w:val="000109F4"/>
    <w:rsid w:val="00010F79"/>
    <w:rsid w:val="0001331E"/>
    <w:rsid w:val="0001391C"/>
    <w:rsid w:val="00013DFE"/>
    <w:rsid w:val="00014095"/>
    <w:rsid w:val="000145EE"/>
    <w:rsid w:val="0001509F"/>
    <w:rsid w:val="00015814"/>
    <w:rsid w:val="00015EEF"/>
    <w:rsid w:val="00016448"/>
    <w:rsid w:val="0001721A"/>
    <w:rsid w:val="0002077E"/>
    <w:rsid w:val="0002078F"/>
    <w:rsid w:val="00020A59"/>
    <w:rsid w:val="00020EC9"/>
    <w:rsid w:val="00021288"/>
    <w:rsid w:val="00022687"/>
    <w:rsid w:val="00022A21"/>
    <w:rsid w:val="00023818"/>
    <w:rsid w:val="000238B7"/>
    <w:rsid w:val="000238C5"/>
    <w:rsid w:val="00023F25"/>
    <w:rsid w:val="000240B1"/>
    <w:rsid w:val="00024374"/>
    <w:rsid w:val="00024B1E"/>
    <w:rsid w:val="000253B6"/>
    <w:rsid w:val="0002597A"/>
    <w:rsid w:val="00026B90"/>
    <w:rsid w:val="0002718A"/>
    <w:rsid w:val="00030076"/>
    <w:rsid w:val="00030587"/>
    <w:rsid w:val="00030969"/>
    <w:rsid w:val="0003178E"/>
    <w:rsid w:val="00033514"/>
    <w:rsid w:val="000335F6"/>
    <w:rsid w:val="00034067"/>
    <w:rsid w:val="00034A63"/>
    <w:rsid w:val="00034F41"/>
    <w:rsid w:val="00035750"/>
    <w:rsid w:val="00035A80"/>
    <w:rsid w:val="000375C6"/>
    <w:rsid w:val="000401E9"/>
    <w:rsid w:val="00040720"/>
    <w:rsid w:val="00040D1E"/>
    <w:rsid w:val="0004102B"/>
    <w:rsid w:val="00041936"/>
    <w:rsid w:val="00041DEF"/>
    <w:rsid w:val="00042ABE"/>
    <w:rsid w:val="00042B8F"/>
    <w:rsid w:val="00043573"/>
    <w:rsid w:val="00045835"/>
    <w:rsid w:val="0004675F"/>
    <w:rsid w:val="00046A6B"/>
    <w:rsid w:val="00046D32"/>
    <w:rsid w:val="00046DAD"/>
    <w:rsid w:val="00047223"/>
    <w:rsid w:val="00047554"/>
    <w:rsid w:val="00047B7C"/>
    <w:rsid w:val="00050159"/>
    <w:rsid w:val="000503D4"/>
    <w:rsid w:val="00051EC9"/>
    <w:rsid w:val="00052058"/>
    <w:rsid w:val="0005229F"/>
    <w:rsid w:val="000522A1"/>
    <w:rsid w:val="0005269D"/>
    <w:rsid w:val="00052930"/>
    <w:rsid w:val="0005334D"/>
    <w:rsid w:val="000545AC"/>
    <w:rsid w:val="00054EC6"/>
    <w:rsid w:val="00055E12"/>
    <w:rsid w:val="00056455"/>
    <w:rsid w:val="000574E5"/>
    <w:rsid w:val="00057788"/>
    <w:rsid w:val="000600F8"/>
    <w:rsid w:val="00060355"/>
    <w:rsid w:val="000603C9"/>
    <w:rsid w:val="00061051"/>
    <w:rsid w:val="000613A9"/>
    <w:rsid w:val="000623F2"/>
    <w:rsid w:val="00062E70"/>
    <w:rsid w:val="00063394"/>
    <w:rsid w:val="000633C0"/>
    <w:rsid w:val="00064117"/>
    <w:rsid w:val="00064543"/>
    <w:rsid w:val="00064995"/>
    <w:rsid w:val="0006508B"/>
    <w:rsid w:val="000655B2"/>
    <w:rsid w:val="00065641"/>
    <w:rsid w:val="00066006"/>
    <w:rsid w:val="000667C0"/>
    <w:rsid w:val="000670C0"/>
    <w:rsid w:val="00067108"/>
    <w:rsid w:val="0006785E"/>
    <w:rsid w:val="000704CB"/>
    <w:rsid w:val="00070B28"/>
    <w:rsid w:val="00070D19"/>
    <w:rsid w:val="000726CA"/>
    <w:rsid w:val="0007376F"/>
    <w:rsid w:val="00074217"/>
    <w:rsid w:val="0007434B"/>
    <w:rsid w:val="00075063"/>
    <w:rsid w:val="00076379"/>
    <w:rsid w:val="00076835"/>
    <w:rsid w:val="00076EEA"/>
    <w:rsid w:val="00080530"/>
    <w:rsid w:val="00081B72"/>
    <w:rsid w:val="00082ADE"/>
    <w:rsid w:val="000846ED"/>
    <w:rsid w:val="00084D85"/>
    <w:rsid w:val="00084E28"/>
    <w:rsid w:val="000852E4"/>
    <w:rsid w:val="0008634C"/>
    <w:rsid w:val="000865B6"/>
    <w:rsid w:val="00086710"/>
    <w:rsid w:val="00086B9D"/>
    <w:rsid w:val="00087797"/>
    <w:rsid w:val="00087847"/>
    <w:rsid w:val="00090677"/>
    <w:rsid w:val="00090F62"/>
    <w:rsid w:val="00091253"/>
    <w:rsid w:val="000920DB"/>
    <w:rsid w:val="00092196"/>
    <w:rsid w:val="0009261C"/>
    <w:rsid w:val="00093BB3"/>
    <w:rsid w:val="00093C1C"/>
    <w:rsid w:val="000943D8"/>
    <w:rsid w:val="000954FB"/>
    <w:rsid w:val="00095797"/>
    <w:rsid w:val="00095A91"/>
    <w:rsid w:val="00096040"/>
    <w:rsid w:val="00096F0E"/>
    <w:rsid w:val="00097B57"/>
    <w:rsid w:val="000A025C"/>
    <w:rsid w:val="000A0FE9"/>
    <w:rsid w:val="000A215A"/>
    <w:rsid w:val="000A2AEB"/>
    <w:rsid w:val="000A30BD"/>
    <w:rsid w:val="000A375F"/>
    <w:rsid w:val="000A387D"/>
    <w:rsid w:val="000A3A0E"/>
    <w:rsid w:val="000A3CF1"/>
    <w:rsid w:val="000A3D74"/>
    <w:rsid w:val="000A4204"/>
    <w:rsid w:val="000A5025"/>
    <w:rsid w:val="000A55BC"/>
    <w:rsid w:val="000A633C"/>
    <w:rsid w:val="000A6A30"/>
    <w:rsid w:val="000A769A"/>
    <w:rsid w:val="000A7E55"/>
    <w:rsid w:val="000B0119"/>
    <w:rsid w:val="000B10E6"/>
    <w:rsid w:val="000B24C4"/>
    <w:rsid w:val="000B2E62"/>
    <w:rsid w:val="000B2E93"/>
    <w:rsid w:val="000B35BD"/>
    <w:rsid w:val="000B3CAB"/>
    <w:rsid w:val="000B4246"/>
    <w:rsid w:val="000B49FB"/>
    <w:rsid w:val="000B50E1"/>
    <w:rsid w:val="000B57EC"/>
    <w:rsid w:val="000B593A"/>
    <w:rsid w:val="000B5CD8"/>
    <w:rsid w:val="000B718F"/>
    <w:rsid w:val="000B781A"/>
    <w:rsid w:val="000B7B0C"/>
    <w:rsid w:val="000C0CFB"/>
    <w:rsid w:val="000C1A38"/>
    <w:rsid w:val="000C25BD"/>
    <w:rsid w:val="000C289E"/>
    <w:rsid w:val="000C31CB"/>
    <w:rsid w:val="000C31DE"/>
    <w:rsid w:val="000C3DCB"/>
    <w:rsid w:val="000C4055"/>
    <w:rsid w:val="000C41DD"/>
    <w:rsid w:val="000C7598"/>
    <w:rsid w:val="000D099A"/>
    <w:rsid w:val="000D0A70"/>
    <w:rsid w:val="000D0EC1"/>
    <w:rsid w:val="000D14B0"/>
    <w:rsid w:val="000D2263"/>
    <w:rsid w:val="000D38C5"/>
    <w:rsid w:val="000D3E2F"/>
    <w:rsid w:val="000D4876"/>
    <w:rsid w:val="000D5717"/>
    <w:rsid w:val="000D6459"/>
    <w:rsid w:val="000D7160"/>
    <w:rsid w:val="000D7800"/>
    <w:rsid w:val="000E0F57"/>
    <w:rsid w:val="000E106F"/>
    <w:rsid w:val="000E10D5"/>
    <w:rsid w:val="000E22C4"/>
    <w:rsid w:val="000E2821"/>
    <w:rsid w:val="000E2852"/>
    <w:rsid w:val="000E3582"/>
    <w:rsid w:val="000E4262"/>
    <w:rsid w:val="000E509D"/>
    <w:rsid w:val="000E5226"/>
    <w:rsid w:val="000E52E0"/>
    <w:rsid w:val="000E6B28"/>
    <w:rsid w:val="000E701F"/>
    <w:rsid w:val="000E76BA"/>
    <w:rsid w:val="000E7BC6"/>
    <w:rsid w:val="000E7E63"/>
    <w:rsid w:val="000F041F"/>
    <w:rsid w:val="000F08DF"/>
    <w:rsid w:val="000F10AE"/>
    <w:rsid w:val="000F1310"/>
    <w:rsid w:val="000F24A2"/>
    <w:rsid w:val="000F2501"/>
    <w:rsid w:val="000F2EBD"/>
    <w:rsid w:val="000F3472"/>
    <w:rsid w:val="000F3726"/>
    <w:rsid w:val="000F3F94"/>
    <w:rsid w:val="000F4322"/>
    <w:rsid w:val="000F451F"/>
    <w:rsid w:val="000F4532"/>
    <w:rsid w:val="000F4543"/>
    <w:rsid w:val="000F5665"/>
    <w:rsid w:val="000F5738"/>
    <w:rsid w:val="000F5C29"/>
    <w:rsid w:val="000F62D6"/>
    <w:rsid w:val="000F6DB0"/>
    <w:rsid w:val="000F70F1"/>
    <w:rsid w:val="000F7167"/>
    <w:rsid w:val="000F77B7"/>
    <w:rsid w:val="0010102C"/>
    <w:rsid w:val="0010115C"/>
    <w:rsid w:val="00102098"/>
    <w:rsid w:val="001021BD"/>
    <w:rsid w:val="00102218"/>
    <w:rsid w:val="00102508"/>
    <w:rsid w:val="0010257B"/>
    <w:rsid w:val="0010297E"/>
    <w:rsid w:val="00104541"/>
    <w:rsid w:val="001058AB"/>
    <w:rsid w:val="0010640C"/>
    <w:rsid w:val="001072FA"/>
    <w:rsid w:val="00107E29"/>
    <w:rsid w:val="00107E99"/>
    <w:rsid w:val="00110022"/>
    <w:rsid w:val="0011016C"/>
    <w:rsid w:val="001102B3"/>
    <w:rsid w:val="00110431"/>
    <w:rsid w:val="001105A9"/>
    <w:rsid w:val="00110701"/>
    <w:rsid w:val="00111F9C"/>
    <w:rsid w:val="00112546"/>
    <w:rsid w:val="00112819"/>
    <w:rsid w:val="0011282E"/>
    <w:rsid w:val="0011286C"/>
    <w:rsid w:val="001134FB"/>
    <w:rsid w:val="00114093"/>
    <w:rsid w:val="00114A21"/>
    <w:rsid w:val="00114A5A"/>
    <w:rsid w:val="00114EB3"/>
    <w:rsid w:val="001152EB"/>
    <w:rsid w:val="00116CFB"/>
    <w:rsid w:val="00116E9D"/>
    <w:rsid w:val="00120057"/>
    <w:rsid w:val="00120B5F"/>
    <w:rsid w:val="00120E19"/>
    <w:rsid w:val="00122C6A"/>
    <w:rsid w:val="00123503"/>
    <w:rsid w:val="00123955"/>
    <w:rsid w:val="00123A71"/>
    <w:rsid w:val="00123E28"/>
    <w:rsid w:val="00123E99"/>
    <w:rsid w:val="0012405C"/>
    <w:rsid w:val="00125D49"/>
    <w:rsid w:val="00126006"/>
    <w:rsid w:val="00126304"/>
    <w:rsid w:val="00126732"/>
    <w:rsid w:val="00127127"/>
    <w:rsid w:val="001271B7"/>
    <w:rsid w:val="001274FC"/>
    <w:rsid w:val="001300FE"/>
    <w:rsid w:val="001305DA"/>
    <w:rsid w:val="00130C65"/>
    <w:rsid w:val="00130D6B"/>
    <w:rsid w:val="001316C5"/>
    <w:rsid w:val="00131FC3"/>
    <w:rsid w:val="0013331A"/>
    <w:rsid w:val="001337F1"/>
    <w:rsid w:val="00133B1B"/>
    <w:rsid w:val="001341B2"/>
    <w:rsid w:val="001341ED"/>
    <w:rsid w:val="0013421C"/>
    <w:rsid w:val="00134A8A"/>
    <w:rsid w:val="00134E8C"/>
    <w:rsid w:val="00135523"/>
    <w:rsid w:val="00135A11"/>
    <w:rsid w:val="00135CDA"/>
    <w:rsid w:val="001364D4"/>
    <w:rsid w:val="0013653C"/>
    <w:rsid w:val="00136988"/>
    <w:rsid w:val="00137548"/>
    <w:rsid w:val="00137D0F"/>
    <w:rsid w:val="001406A6"/>
    <w:rsid w:val="00141178"/>
    <w:rsid w:val="00141303"/>
    <w:rsid w:val="0014142B"/>
    <w:rsid w:val="00141C85"/>
    <w:rsid w:val="00142683"/>
    <w:rsid w:val="00142BE4"/>
    <w:rsid w:val="00143867"/>
    <w:rsid w:val="001438BF"/>
    <w:rsid w:val="00143EBF"/>
    <w:rsid w:val="0014443F"/>
    <w:rsid w:val="00144A55"/>
    <w:rsid w:val="00144E01"/>
    <w:rsid w:val="001458F4"/>
    <w:rsid w:val="00145A49"/>
    <w:rsid w:val="00145D38"/>
    <w:rsid w:val="00145F57"/>
    <w:rsid w:val="0015040D"/>
    <w:rsid w:val="00150BFB"/>
    <w:rsid w:val="00150EAD"/>
    <w:rsid w:val="00151DE2"/>
    <w:rsid w:val="00151E9C"/>
    <w:rsid w:val="00153AE6"/>
    <w:rsid w:val="001549E2"/>
    <w:rsid w:val="0015525E"/>
    <w:rsid w:val="001554C6"/>
    <w:rsid w:val="0015594A"/>
    <w:rsid w:val="00155BA7"/>
    <w:rsid w:val="00155FB9"/>
    <w:rsid w:val="0015626D"/>
    <w:rsid w:val="00156574"/>
    <w:rsid w:val="001565DC"/>
    <w:rsid w:val="00157F4D"/>
    <w:rsid w:val="00161740"/>
    <w:rsid w:val="00161838"/>
    <w:rsid w:val="00161FD6"/>
    <w:rsid w:val="00162CD6"/>
    <w:rsid w:val="00163CB6"/>
    <w:rsid w:val="001647B2"/>
    <w:rsid w:val="00164AE7"/>
    <w:rsid w:val="001667BC"/>
    <w:rsid w:val="001667F4"/>
    <w:rsid w:val="001668DB"/>
    <w:rsid w:val="00166A05"/>
    <w:rsid w:val="00170E96"/>
    <w:rsid w:val="00171455"/>
    <w:rsid w:val="00171CE4"/>
    <w:rsid w:val="001723BF"/>
    <w:rsid w:val="0017348B"/>
    <w:rsid w:val="001738E3"/>
    <w:rsid w:val="0017464F"/>
    <w:rsid w:val="00174C67"/>
    <w:rsid w:val="00174E28"/>
    <w:rsid w:val="00176E41"/>
    <w:rsid w:val="0017788E"/>
    <w:rsid w:val="0017790B"/>
    <w:rsid w:val="00180B04"/>
    <w:rsid w:val="00180CF3"/>
    <w:rsid w:val="00181712"/>
    <w:rsid w:val="00181D4C"/>
    <w:rsid w:val="00183024"/>
    <w:rsid w:val="001838E2"/>
    <w:rsid w:val="001838F7"/>
    <w:rsid w:val="00183BA0"/>
    <w:rsid w:val="00183DBB"/>
    <w:rsid w:val="00184146"/>
    <w:rsid w:val="00184661"/>
    <w:rsid w:val="00184CEB"/>
    <w:rsid w:val="00184EEF"/>
    <w:rsid w:val="00185381"/>
    <w:rsid w:val="00185518"/>
    <w:rsid w:val="0018600B"/>
    <w:rsid w:val="00186214"/>
    <w:rsid w:val="00186893"/>
    <w:rsid w:val="0018690D"/>
    <w:rsid w:val="001904E2"/>
    <w:rsid w:val="0019068B"/>
    <w:rsid w:val="001916C2"/>
    <w:rsid w:val="00191F53"/>
    <w:rsid w:val="0019208C"/>
    <w:rsid w:val="0019220F"/>
    <w:rsid w:val="00192B46"/>
    <w:rsid w:val="00193E1C"/>
    <w:rsid w:val="00194341"/>
    <w:rsid w:val="00194787"/>
    <w:rsid w:val="0019484F"/>
    <w:rsid w:val="0019515D"/>
    <w:rsid w:val="00195E3C"/>
    <w:rsid w:val="001961AB"/>
    <w:rsid w:val="00196721"/>
    <w:rsid w:val="00196B3C"/>
    <w:rsid w:val="001971F2"/>
    <w:rsid w:val="0019778D"/>
    <w:rsid w:val="001A07E1"/>
    <w:rsid w:val="001A1EC3"/>
    <w:rsid w:val="001A1F56"/>
    <w:rsid w:val="001A382D"/>
    <w:rsid w:val="001A44C2"/>
    <w:rsid w:val="001A5997"/>
    <w:rsid w:val="001A59EC"/>
    <w:rsid w:val="001A67E2"/>
    <w:rsid w:val="001A6FE9"/>
    <w:rsid w:val="001A772B"/>
    <w:rsid w:val="001B0717"/>
    <w:rsid w:val="001B0761"/>
    <w:rsid w:val="001B0AEE"/>
    <w:rsid w:val="001B1226"/>
    <w:rsid w:val="001B1E0B"/>
    <w:rsid w:val="001B1FE0"/>
    <w:rsid w:val="001B2461"/>
    <w:rsid w:val="001B2B20"/>
    <w:rsid w:val="001B2E70"/>
    <w:rsid w:val="001B39E6"/>
    <w:rsid w:val="001B430F"/>
    <w:rsid w:val="001B586C"/>
    <w:rsid w:val="001B5BEF"/>
    <w:rsid w:val="001B5D7D"/>
    <w:rsid w:val="001B7B64"/>
    <w:rsid w:val="001B7BDA"/>
    <w:rsid w:val="001C0F11"/>
    <w:rsid w:val="001C1757"/>
    <w:rsid w:val="001C1ACA"/>
    <w:rsid w:val="001C1B65"/>
    <w:rsid w:val="001C2300"/>
    <w:rsid w:val="001C315C"/>
    <w:rsid w:val="001C386B"/>
    <w:rsid w:val="001C3ADC"/>
    <w:rsid w:val="001C3E7A"/>
    <w:rsid w:val="001C4023"/>
    <w:rsid w:val="001C45BD"/>
    <w:rsid w:val="001C4DB4"/>
    <w:rsid w:val="001C5538"/>
    <w:rsid w:val="001C563F"/>
    <w:rsid w:val="001D067D"/>
    <w:rsid w:val="001D249F"/>
    <w:rsid w:val="001D267D"/>
    <w:rsid w:val="001D3447"/>
    <w:rsid w:val="001D44A1"/>
    <w:rsid w:val="001D5082"/>
    <w:rsid w:val="001D5110"/>
    <w:rsid w:val="001D542E"/>
    <w:rsid w:val="001D5926"/>
    <w:rsid w:val="001D5B84"/>
    <w:rsid w:val="001D5CC2"/>
    <w:rsid w:val="001D5F7F"/>
    <w:rsid w:val="001D6160"/>
    <w:rsid w:val="001D6248"/>
    <w:rsid w:val="001D6E7B"/>
    <w:rsid w:val="001D71D5"/>
    <w:rsid w:val="001D7B7B"/>
    <w:rsid w:val="001D7C4B"/>
    <w:rsid w:val="001E04F6"/>
    <w:rsid w:val="001E05B1"/>
    <w:rsid w:val="001E1122"/>
    <w:rsid w:val="001E176E"/>
    <w:rsid w:val="001E20C8"/>
    <w:rsid w:val="001E27BF"/>
    <w:rsid w:val="001E2A1E"/>
    <w:rsid w:val="001E33D7"/>
    <w:rsid w:val="001E37F7"/>
    <w:rsid w:val="001E43FD"/>
    <w:rsid w:val="001E4A36"/>
    <w:rsid w:val="001E503C"/>
    <w:rsid w:val="001E536F"/>
    <w:rsid w:val="001E59BA"/>
    <w:rsid w:val="001E5AB6"/>
    <w:rsid w:val="001E60E3"/>
    <w:rsid w:val="001E7684"/>
    <w:rsid w:val="001E7735"/>
    <w:rsid w:val="001E786F"/>
    <w:rsid w:val="001E7AE7"/>
    <w:rsid w:val="001F0F01"/>
    <w:rsid w:val="001F1197"/>
    <w:rsid w:val="001F133F"/>
    <w:rsid w:val="001F1747"/>
    <w:rsid w:val="001F183D"/>
    <w:rsid w:val="001F2555"/>
    <w:rsid w:val="001F26A5"/>
    <w:rsid w:val="001F2C96"/>
    <w:rsid w:val="001F3D4F"/>
    <w:rsid w:val="001F414F"/>
    <w:rsid w:val="001F51AC"/>
    <w:rsid w:val="001F58DC"/>
    <w:rsid w:val="001F5CCB"/>
    <w:rsid w:val="001F6156"/>
    <w:rsid w:val="001F6161"/>
    <w:rsid w:val="001F6F4F"/>
    <w:rsid w:val="001F703A"/>
    <w:rsid w:val="001F74EB"/>
    <w:rsid w:val="001F78DE"/>
    <w:rsid w:val="001F7EBD"/>
    <w:rsid w:val="001F7F1F"/>
    <w:rsid w:val="002002BA"/>
    <w:rsid w:val="00200891"/>
    <w:rsid w:val="002008C4"/>
    <w:rsid w:val="00201079"/>
    <w:rsid w:val="00201E5F"/>
    <w:rsid w:val="00203F27"/>
    <w:rsid w:val="0020460E"/>
    <w:rsid w:val="00205283"/>
    <w:rsid w:val="00205904"/>
    <w:rsid w:val="00206919"/>
    <w:rsid w:val="00206CC1"/>
    <w:rsid w:val="002074C3"/>
    <w:rsid w:val="002104AF"/>
    <w:rsid w:val="002108E2"/>
    <w:rsid w:val="00210972"/>
    <w:rsid w:val="00210AFD"/>
    <w:rsid w:val="00210E15"/>
    <w:rsid w:val="00212101"/>
    <w:rsid w:val="0021268E"/>
    <w:rsid w:val="00212BF3"/>
    <w:rsid w:val="00213171"/>
    <w:rsid w:val="0021361C"/>
    <w:rsid w:val="002138D3"/>
    <w:rsid w:val="002142DA"/>
    <w:rsid w:val="00214924"/>
    <w:rsid w:val="00214C2B"/>
    <w:rsid w:val="002150F0"/>
    <w:rsid w:val="00215376"/>
    <w:rsid w:val="00215946"/>
    <w:rsid w:val="002163A0"/>
    <w:rsid w:val="002171FF"/>
    <w:rsid w:val="00217D1E"/>
    <w:rsid w:val="00217D40"/>
    <w:rsid w:val="00217EC2"/>
    <w:rsid w:val="002207F9"/>
    <w:rsid w:val="00220F2E"/>
    <w:rsid w:val="002215AA"/>
    <w:rsid w:val="0022187B"/>
    <w:rsid w:val="00221F69"/>
    <w:rsid w:val="00222062"/>
    <w:rsid w:val="00223CBA"/>
    <w:rsid w:val="00223ED1"/>
    <w:rsid w:val="00224125"/>
    <w:rsid w:val="00225370"/>
    <w:rsid w:val="0022634C"/>
    <w:rsid w:val="00226BC8"/>
    <w:rsid w:val="0022720F"/>
    <w:rsid w:val="002273EC"/>
    <w:rsid w:val="00227656"/>
    <w:rsid w:val="00227E94"/>
    <w:rsid w:val="00230067"/>
    <w:rsid w:val="0023009B"/>
    <w:rsid w:val="00231014"/>
    <w:rsid w:val="002312EC"/>
    <w:rsid w:val="00231C81"/>
    <w:rsid w:val="00231F51"/>
    <w:rsid w:val="00232DCA"/>
    <w:rsid w:val="002338A7"/>
    <w:rsid w:val="00233CB3"/>
    <w:rsid w:val="00235074"/>
    <w:rsid w:val="002350E1"/>
    <w:rsid w:val="0023592D"/>
    <w:rsid w:val="00235967"/>
    <w:rsid w:val="00235D32"/>
    <w:rsid w:val="002362A5"/>
    <w:rsid w:val="002366E4"/>
    <w:rsid w:val="002366F1"/>
    <w:rsid w:val="002369CD"/>
    <w:rsid w:val="00236D66"/>
    <w:rsid w:val="00236F5B"/>
    <w:rsid w:val="00237906"/>
    <w:rsid w:val="00240BEF"/>
    <w:rsid w:val="002411F0"/>
    <w:rsid w:val="00241DA9"/>
    <w:rsid w:val="00242A96"/>
    <w:rsid w:val="002433D3"/>
    <w:rsid w:val="00243AD1"/>
    <w:rsid w:val="00243CF0"/>
    <w:rsid w:val="002446DC"/>
    <w:rsid w:val="002451A3"/>
    <w:rsid w:val="00245701"/>
    <w:rsid w:val="002458C4"/>
    <w:rsid w:val="00246116"/>
    <w:rsid w:val="002468D8"/>
    <w:rsid w:val="00247A68"/>
    <w:rsid w:val="00251119"/>
    <w:rsid w:val="0025316D"/>
    <w:rsid w:val="002533D0"/>
    <w:rsid w:val="00253461"/>
    <w:rsid w:val="00253672"/>
    <w:rsid w:val="00253FA6"/>
    <w:rsid w:val="002540BE"/>
    <w:rsid w:val="002542EB"/>
    <w:rsid w:val="0025506A"/>
    <w:rsid w:val="00255A49"/>
    <w:rsid w:val="00256020"/>
    <w:rsid w:val="00257058"/>
    <w:rsid w:val="002606DD"/>
    <w:rsid w:val="00260B36"/>
    <w:rsid w:val="00261A7F"/>
    <w:rsid w:val="00261C87"/>
    <w:rsid w:val="002629CF"/>
    <w:rsid w:val="00262EDB"/>
    <w:rsid w:val="00262EE3"/>
    <w:rsid w:val="00263092"/>
    <w:rsid w:val="002635C5"/>
    <w:rsid w:val="00264239"/>
    <w:rsid w:val="0026464F"/>
    <w:rsid w:val="002653B3"/>
    <w:rsid w:val="00265759"/>
    <w:rsid w:val="00265B86"/>
    <w:rsid w:val="0026664E"/>
    <w:rsid w:val="002704BC"/>
    <w:rsid w:val="002714AC"/>
    <w:rsid w:val="00271A70"/>
    <w:rsid w:val="00271D4B"/>
    <w:rsid w:val="00271E4D"/>
    <w:rsid w:val="00271F11"/>
    <w:rsid w:val="002738D7"/>
    <w:rsid w:val="00273C40"/>
    <w:rsid w:val="00274F79"/>
    <w:rsid w:val="00275909"/>
    <w:rsid w:val="00276B16"/>
    <w:rsid w:val="00276EF0"/>
    <w:rsid w:val="002774A5"/>
    <w:rsid w:val="00277885"/>
    <w:rsid w:val="00277FF1"/>
    <w:rsid w:val="002800EF"/>
    <w:rsid w:val="002806F3"/>
    <w:rsid w:val="002808B3"/>
    <w:rsid w:val="00281647"/>
    <w:rsid w:val="00281C1D"/>
    <w:rsid w:val="00281DF8"/>
    <w:rsid w:val="00281E2D"/>
    <w:rsid w:val="00282197"/>
    <w:rsid w:val="00282711"/>
    <w:rsid w:val="00282E0E"/>
    <w:rsid w:val="0028325C"/>
    <w:rsid w:val="002834B9"/>
    <w:rsid w:val="00284327"/>
    <w:rsid w:val="002856DC"/>
    <w:rsid w:val="00285785"/>
    <w:rsid w:val="00287663"/>
    <w:rsid w:val="002879CC"/>
    <w:rsid w:val="00287EEF"/>
    <w:rsid w:val="00290CF6"/>
    <w:rsid w:val="002912E1"/>
    <w:rsid w:val="00291EAA"/>
    <w:rsid w:val="002921F5"/>
    <w:rsid w:val="00292320"/>
    <w:rsid w:val="00292B81"/>
    <w:rsid w:val="00292C29"/>
    <w:rsid w:val="00293B3A"/>
    <w:rsid w:val="002944A5"/>
    <w:rsid w:val="00294C67"/>
    <w:rsid w:val="002951CA"/>
    <w:rsid w:val="002960C1"/>
    <w:rsid w:val="00297A29"/>
    <w:rsid w:val="00297A71"/>
    <w:rsid w:val="00297E84"/>
    <w:rsid w:val="002A00A7"/>
    <w:rsid w:val="002A025C"/>
    <w:rsid w:val="002A06AB"/>
    <w:rsid w:val="002A0E3F"/>
    <w:rsid w:val="002A197D"/>
    <w:rsid w:val="002A21BF"/>
    <w:rsid w:val="002A2FBF"/>
    <w:rsid w:val="002A3165"/>
    <w:rsid w:val="002A3F80"/>
    <w:rsid w:val="002A40A9"/>
    <w:rsid w:val="002A44EA"/>
    <w:rsid w:val="002A47A7"/>
    <w:rsid w:val="002A57DB"/>
    <w:rsid w:val="002A6389"/>
    <w:rsid w:val="002A64AF"/>
    <w:rsid w:val="002A6B4B"/>
    <w:rsid w:val="002A6F85"/>
    <w:rsid w:val="002A7781"/>
    <w:rsid w:val="002A7DA8"/>
    <w:rsid w:val="002B0457"/>
    <w:rsid w:val="002B0549"/>
    <w:rsid w:val="002B12E4"/>
    <w:rsid w:val="002B1695"/>
    <w:rsid w:val="002B25FC"/>
    <w:rsid w:val="002B2E08"/>
    <w:rsid w:val="002B3693"/>
    <w:rsid w:val="002B3D17"/>
    <w:rsid w:val="002B441D"/>
    <w:rsid w:val="002B528C"/>
    <w:rsid w:val="002B5BC1"/>
    <w:rsid w:val="002C2707"/>
    <w:rsid w:val="002C2A7B"/>
    <w:rsid w:val="002C2E69"/>
    <w:rsid w:val="002C2F01"/>
    <w:rsid w:val="002C31D8"/>
    <w:rsid w:val="002C3CB8"/>
    <w:rsid w:val="002C3CD5"/>
    <w:rsid w:val="002C3E9A"/>
    <w:rsid w:val="002C4270"/>
    <w:rsid w:val="002C4CC3"/>
    <w:rsid w:val="002C549B"/>
    <w:rsid w:val="002C652C"/>
    <w:rsid w:val="002C6DDE"/>
    <w:rsid w:val="002C6E67"/>
    <w:rsid w:val="002C753E"/>
    <w:rsid w:val="002D0A77"/>
    <w:rsid w:val="002D0C85"/>
    <w:rsid w:val="002D0E85"/>
    <w:rsid w:val="002D115C"/>
    <w:rsid w:val="002D1220"/>
    <w:rsid w:val="002D130C"/>
    <w:rsid w:val="002D1CD5"/>
    <w:rsid w:val="002D1D6E"/>
    <w:rsid w:val="002D2001"/>
    <w:rsid w:val="002D211C"/>
    <w:rsid w:val="002D27FA"/>
    <w:rsid w:val="002D310C"/>
    <w:rsid w:val="002D389B"/>
    <w:rsid w:val="002D4312"/>
    <w:rsid w:val="002D45BE"/>
    <w:rsid w:val="002D4AD8"/>
    <w:rsid w:val="002D4B79"/>
    <w:rsid w:val="002D501F"/>
    <w:rsid w:val="002D562F"/>
    <w:rsid w:val="002D5849"/>
    <w:rsid w:val="002D5DE2"/>
    <w:rsid w:val="002D62F0"/>
    <w:rsid w:val="002D6E79"/>
    <w:rsid w:val="002D70DB"/>
    <w:rsid w:val="002D71FE"/>
    <w:rsid w:val="002D776B"/>
    <w:rsid w:val="002D77B8"/>
    <w:rsid w:val="002D78B7"/>
    <w:rsid w:val="002E066C"/>
    <w:rsid w:val="002E067D"/>
    <w:rsid w:val="002E0698"/>
    <w:rsid w:val="002E09A0"/>
    <w:rsid w:val="002E154D"/>
    <w:rsid w:val="002E199B"/>
    <w:rsid w:val="002E1AAF"/>
    <w:rsid w:val="002E1D05"/>
    <w:rsid w:val="002E3B3B"/>
    <w:rsid w:val="002E44CC"/>
    <w:rsid w:val="002E6193"/>
    <w:rsid w:val="002E69E3"/>
    <w:rsid w:val="002E6F5C"/>
    <w:rsid w:val="002E6FEE"/>
    <w:rsid w:val="002E7AA5"/>
    <w:rsid w:val="002F04AA"/>
    <w:rsid w:val="002F0684"/>
    <w:rsid w:val="002F09D5"/>
    <w:rsid w:val="002F1416"/>
    <w:rsid w:val="002F1AC6"/>
    <w:rsid w:val="002F21ED"/>
    <w:rsid w:val="002F25AF"/>
    <w:rsid w:val="002F25FE"/>
    <w:rsid w:val="002F2851"/>
    <w:rsid w:val="002F2AC2"/>
    <w:rsid w:val="002F2C6C"/>
    <w:rsid w:val="002F4067"/>
    <w:rsid w:val="002F406D"/>
    <w:rsid w:val="002F4388"/>
    <w:rsid w:val="002F5725"/>
    <w:rsid w:val="002F60C4"/>
    <w:rsid w:val="002F653B"/>
    <w:rsid w:val="002F680C"/>
    <w:rsid w:val="002F795D"/>
    <w:rsid w:val="002F7D5E"/>
    <w:rsid w:val="002F7E64"/>
    <w:rsid w:val="003001B5"/>
    <w:rsid w:val="00300FB1"/>
    <w:rsid w:val="003015BA"/>
    <w:rsid w:val="0030185C"/>
    <w:rsid w:val="00301CAD"/>
    <w:rsid w:val="00302A31"/>
    <w:rsid w:val="003033B6"/>
    <w:rsid w:val="00303AD3"/>
    <w:rsid w:val="00304AE6"/>
    <w:rsid w:val="0030580A"/>
    <w:rsid w:val="00305A3A"/>
    <w:rsid w:val="00305A99"/>
    <w:rsid w:val="00305D5E"/>
    <w:rsid w:val="00306273"/>
    <w:rsid w:val="003065E6"/>
    <w:rsid w:val="00307496"/>
    <w:rsid w:val="00307A1D"/>
    <w:rsid w:val="00310BA2"/>
    <w:rsid w:val="00310F6D"/>
    <w:rsid w:val="00311525"/>
    <w:rsid w:val="00311881"/>
    <w:rsid w:val="00311C73"/>
    <w:rsid w:val="0031271C"/>
    <w:rsid w:val="00313C5F"/>
    <w:rsid w:val="00313D04"/>
    <w:rsid w:val="00313DD3"/>
    <w:rsid w:val="003147E9"/>
    <w:rsid w:val="00315E56"/>
    <w:rsid w:val="003167DD"/>
    <w:rsid w:val="00316FF7"/>
    <w:rsid w:val="00317609"/>
    <w:rsid w:val="00317C3F"/>
    <w:rsid w:val="003206A3"/>
    <w:rsid w:val="00320B04"/>
    <w:rsid w:val="00320B35"/>
    <w:rsid w:val="00321847"/>
    <w:rsid w:val="00323FF5"/>
    <w:rsid w:val="003246A4"/>
    <w:rsid w:val="00324FAF"/>
    <w:rsid w:val="00325DE4"/>
    <w:rsid w:val="003260C9"/>
    <w:rsid w:val="0032719B"/>
    <w:rsid w:val="00327844"/>
    <w:rsid w:val="00327F00"/>
    <w:rsid w:val="003301C7"/>
    <w:rsid w:val="003305B5"/>
    <w:rsid w:val="0033068D"/>
    <w:rsid w:val="00330B79"/>
    <w:rsid w:val="0033161B"/>
    <w:rsid w:val="00331B22"/>
    <w:rsid w:val="00331FDC"/>
    <w:rsid w:val="00332B0D"/>
    <w:rsid w:val="003333B0"/>
    <w:rsid w:val="003349C6"/>
    <w:rsid w:val="00334B68"/>
    <w:rsid w:val="0033507F"/>
    <w:rsid w:val="0033664B"/>
    <w:rsid w:val="00336A6D"/>
    <w:rsid w:val="00336DBC"/>
    <w:rsid w:val="00336FE0"/>
    <w:rsid w:val="003371F9"/>
    <w:rsid w:val="00337D49"/>
    <w:rsid w:val="00337E61"/>
    <w:rsid w:val="003400C9"/>
    <w:rsid w:val="00340E96"/>
    <w:rsid w:val="0034158B"/>
    <w:rsid w:val="00341B00"/>
    <w:rsid w:val="00342769"/>
    <w:rsid w:val="00342A36"/>
    <w:rsid w:val="00342E6C"/>
    <w:rsid w:val="00342F01"/>
    <w:rsid w:val="00342F51"/>
    <w:rsid w:val="003434F8"/>
    <w:rsid w:val="0034368E"/>
    <w:rsid w:val="00345CBB"/>
    <w:rsid w:val="00347D69"/>
    <w:rsid w:val="00350639"/>
    <w:rsid w:val="003513D1"/>
    <w:rsid w:val="00352109"/>
    <w:rsid w:val="00353FC1"/>
    <w:rsid w:val="00354886"/>
    <w:rsid w:val="0035540E"/>
    <w:rsid w:val="00355B4A"/>
    <w:rsid w:val="003578A7"/>
    <w:rsid w:val="00357E9D"/>
    <w:rsid w:val="00357ED5"/>
    <w:rsid w:val="00361CA5"/>
    <w:rsid w:val="00362DCE"/>
    <w:rsid w:val="00362F13"/>
    <w:rsid w:val="0036311B"/>
    <w:rsid w:val="00363948"/>
    <w:rsid w:val="00364445"/>
    <w:rsid w:val="0036479C"/>
    <w:rsid w:val="00364875"/>
    <w:rsid w:val="00364D97"/>
    <w:rsid w:val="00364EBD"/>
    <w:rsid w:val="0036519C"/>
    <w:rsid w:val="00367766"/>
    <w:rsid w:val="00367BE7"/>
    <w:rsid w:val="00370A91"/>
    <w:rsid w:val="00371FBC"/>
    <w:rsid w:val="00372DFD"/>
    <w:rsid w:val="00373644"/>
    <w:rsid w:val="00374001"/>
    <w:rsid w:val="003745EC"/>
    <w:rsid w:val="00374945"/>
    <w:rsid w:val="00374DA4"/>
    <w:rsid w:val="003757C4"/>
    <w:rsid w:val="003763C5"/>
    <w:rsid w:val="0037686F"/>
    <w:rsid w:val="00377655"/>
    <w:rsid w:val="003800FB"/>
    <w:rsid w:val="00381CC4"/>
    <w:rsid w:val="00382EDC"/>
    <w:rsid w:val="00383F23"/>
    <w:rsid w:val="00384064"/>
    <w:rsid w:val="00384E3F"/>
    <w:rsid w:val="00384EB3"/>
    <w:rsid w:val="00384F1E"/>
    <w:rsid w:val="0038508D"/>
    <w:rsid w:val="00385BE2"/>
    <w:rsid w:val="00385F10"/>
    <w:rsid w:val="00386936"/>
    <w:rsid w:val="00387C72"/>
    <w:rsid w:val="00390A37"/>
    <w:rsid w:val="00391B89"/>
    <w:rsid w:val="00392B73"/>
    <w:rsid w:val="00392D64"/>
    <w:rsid w:val="003932A6"/>
    <w:rsid w:val="0039353A"/>
    <w:rsid w:val="0039484B"/>
    <w:rsid w:val="0039542A"/>
    <w:rsid w:val="0039564C"/>
    <w:rsid w:val="00395C15"/>
    <w:rsid w:val="00396055"/>
    <w:rsid w:val="0039669C"/>
    <w:rsid w:val="003968B1"/>
    <w:rsid w:val="00396A58"/>
    <w:rsid w:val="00396C6D"/>
    <w:rsid w:val="00397037"/>
    <w:rsid w:val="003974DA"/>
    <w:rsid w:val="003979A2"/>
    <w:rsid w:val="003A148D"/>
    <w:rsid w:val="003A163B"/>
    <w:rsid w:val="003A1E7D"/>
    <w:rsid w:val="003A20DF"/>
    <w:rsid w:val="003A446E"/>
    <w:rsid w:val="003A557F"/>
    <w:rsid w:val="003A58F0"/>
    <w:rsid w:val="003B0E9E"/>
    <w:rsid w:val="003B1221"/>
    <w:rsid w:val="003B1260"/>
    <w:rsid w:val="003B1748"/>
    <w:rsid w:val="003B1C86"/>
    <w:rsid w:val="003B1ED0"/>
    <w:rsid w:val="003B27EC"/>
    <w:rsid w:val="003B2C9D"/>
    <w:rsid w:val="003B3233"/>
    <w:rsid w:val="003B36DB"/>
    <w:rsid w:val="003B3739"/>
    <w:rsid w:val="003B3BC1"/>
    <w:rsid w:val="003B40CA"/>
    <w:rsid w:val="003B41C8"/>
    <w:rsid w:val="003B5045"/>
    <w:rsid w:val="003B5E63"/>
    <w:rsid w:val="003B6B5E"/>
    <w:rsid w:val="003B7517"/>
    <w:rsid w:val="003B7636"/>
    <w:rsid w:val="003B7D98"/>
    <w:rsid w:val="003C0B78"/>
    <w:rsid w:val="003C1052"/>
    <w:rsid w:val="003C16D9"/>
    <w:rsid w:val="003C29C8"/>
    <w:rsid w:val="003C2C5F"/>
    <w:rsid w:val="003C4972"/>
    <w:rsid w:val="003C4B6C"/>
    <w:rsid w:val="003C4DBB"/>
    <w:rsid w:val="003C62FE"/>
    <w:rsid w:val="003C6A50"/>
    <w:rsid w:val="003C74E9"/>
    <w:rsid w:val="003C794F"/>
    <w:rsid w:val="003C7C5B"/>
    <w:rsid w:val="003D022E"/>
    <w:rsid w:val="003D0237"/>
    <w:rsid w:val="003D0932"/>
    <w:rsid w:val="003D1493"/>
    <w:rsid w:val="003D218D"/>
    <w:rsid w:val="003D2464"/>
    <w:rsid w:val="003D2D11"/>
    <w:rsid w:val="003D35EF"/>
    <w:rsid w:val="003D39BD"/>
    <w:rsid w:val="003D4CFF"/>
    <w:rsid w:val="003D4F7B"/>
    <w:rsid w:val="003D54FF"/>
    <w:rsid w:val="003D6442"/>
    <w:rsid w:val="003D6D07"/>
    <w:rsid w:val="003D6E70"/>
    <w:rsid w:val="003E0012"/>
    <w:rsid w:val="003E0059"/>
    <w:rsid w:val="003E032E"/>
    <w:rsid w:val="003E052C"/>
    <w:rsid w:val="003E08A1"/>
    <w:rsid w:val="003E0F20"/>
    <w:rsid w:val="003E0F7B"/>
    <w:rsid w:val="003E2231"/>
    <w:rsid w:val="003E23E2"/>
    <w:rsid w:val="003E2F70"/>
    <w:rsid w:val="003E2FE4"/>
    <w:rsid w:val="003E3012"/>
    <w:rsid w:val="003E38DE"/>
    <w:rsid w:val="003E486B"/>
    <w:rsid w:val="003E4ADF"/>
    <w:rsid w:val="003E4F02"/>
    <w:rsid w:val="003E5233"/>
    <w:rsid w:val="003E5AFE"/>
    <w:rsid w:val="003E609C"/>
    <w:rsid w:val="003E6776"/>
    <w:rsid w:val="003E7F96"/>
    <w:rsid w:val="003F0100"/>
    <w:rsid w:val="003F06A4"/>
    <w:rsid w:val="003F0D09"/>
    <w:rsid w:val="003F12A7"/>
    <w:rsid w:val="003F1B4C"/>
    <w:rsid w:val="003F1F9A"/>
    <w:rsid w:val="003F2B64"/>
    <w:rsid w:val="003F2D69"/>
    <w:rsid w:val="003F326B"/>
    <w:rsid w:val="003F4BB1"/>
    <w:rsid w:val="003F4DEB"/>
    <w:rsid w:val="003F5ABE"/>
    <w:rsid w:val="003F6E09"/>
    <w:rsid w:val="003F725B"/>
    <w:rsid w:val="003F73C8"/>
    <w:rsid w:val="003F7DC1"/>
    <w:rsid w:val="00400173"/>
    <w:rsid w:val="004001D6"/>
    <w:rsid w:val="004003C9"/>
    <w:rsid w:val="004004CC"/>
    <w:rsid w:val="004006F2"/>
    <w:rsid w:val="00400B5E"/>
    <w:rsid w:val="00401261"/>
    <w:rsid w:val="004014AD"/>
    <w:rsid w:val="00401D66"/>
    <w:rsid w:val="0040213E"/>
    <w:rsid w:val="00402258"/>
    <w:rsid w:val="004031FA"/>
    <w:rsid w:val="004032DB"/>
    <w:rsid w:val="00403725"/>
    <w:rsid w:val="00404DC2"/>
    <w:rsid w:val="00405492"/>
    <w:rsid w:val="00405935"/>
    <w:rsid w:val="00406250"/>
    <w:rsid w:val="00406E6F"/>
    <w:rsid w:val="00407AE7"/>
    <w:rsid w:val="004105F2"/>
    <w:rsid w:val="00410A0B"/>
    <w:rsid w:val="00410EE6"/>
    <w:rsid w:val="00413645"/>
    <w:rsid w:val="00413A49"/>
    <w:rsid w:val="00414C1B"/>
    <w:rsid w:val="00415115"/>
    <w:rsid w:val="00415621"/>
    <w:rsid w:val="004156F8"/>
    <w:rsid w:val="00417C12"/>
    <w:rsid w:val="0042024B"/>
    <w:rsid w:val="004207EC"/>
    <w:rsid w:val="00420B36"/>
    <w:rsid w:val="00420D6A"/>
    <w:rsid w:val="00420EC4"/>
    <w:rsid w:val="004210D9"/>
    <w:rsid w:val="0042189E"/>
    <w:rsid w:val="004221D7"/>
    <w:rsid w:val="004223B6"/>
    <w:rsid w:val="00422EE4"/>
    <w:rsid w:val="0042307B"/>
    <w:rsid w:val="004230C2"/>
    <w:rsid w:val="00423820"/>
    <w:rsid w:val="00424BA5"/>
    <w:rsid w:val="00424E76"/>
    <w:rsid w:val="0042561D"/>
    <w:rsid w:val="00425DEA"/>
    <w:rsid w:val="004264F1"/>
    <w:rsid w:val="00426C0E"/>
    <w:rsid w:val="00427027"/>
    <w:rsid w:val="0042711B"/>
    <w:rsid w:val="0042737E"/>
    <w:rsid w:val="004273C7"/>
    <w:rsid w:val="004274AD"/>
    <w:rsid w:val="00427BF9"/>
    <w:rsid w:val="00430548"/>
    <w:rsid w:val="0043064A"/>
    <w:rsid w:val="00430CE2"/>
    <w:rsid w:val="00430E0B"/>
    <w:rsid w:val="004316C6"/>
    <w:rsid w:val="00431DF1"/>
    <w:rsid w:val="00432118"/>
    <w:rsid w:val="004321C7"/>
    <w:rsid w:val="00432931"/>
    <w:rsid w:val="00434E99"/>
    <w:rsid w:val="004350D3"/>
    <w:rsid w:val="00435F39"/>
    <w:rsid w:val="00436213"/>
    <w:rsid w:val="0043639B"/>
    <w:rsid w:val="00436744"/>
    <w:rsid w:val="004367EA"/>
    <w:rsid w:val="00436CF8"/>
    <w:rsid w:val="004402D1"/>
    <w:rsid w:val="00441990"/>
    <w:rsid w:val="00443716"/>
    <w:rsid w:val="00443962"/>
    <w:rsid w:val="00444616"/>
    <w:rsid w:val="00444671"/>
    <w:rsid w:val="00444F9E"/>
    <w:rsid w:val="00445782"/>
    <w:rsid w:val="00445CD2"/>
    <w:rsid w:val="00445F9B"/>
    <w:rsid w:val="00446B12"/>
    <w:rsid w:val="00446C50"/>
    <w:rsid w:val="00446C5B"/>
    <w:rsid w:val="00447463"/>
    <w:rsid w:val="0045066D"/>
    <w:rsid w:val="00450D29"/>
    <w:rsid w:val="00451481"/>
    <w:rsid w:val="004516BB"/>
    <w:rsid w:val="0045218D"/>
    <w:rsid w:val="004526D9"/>
    <w:rsid w:val="004529C3"/>
    <w:rsid w:val="0045338C"/>
    <w:rsid w:val="00455084"/>
    <w:rsid w:val="00455232"/>
    <w:rsid w:val="0045543E"/>
    <w:rsid w:val="0045573A"/>
    <w:rsid w:val="004577DC"/>
    <w:rsid w:val="004600E1"/>
    <w:rsid w:val="00460914"/>
    <w:rsid w:val="00460E4F"/>
    <w:rsid w:val="00461736"/>
    <w:rsid w:val="00462AB3"/>
    <w:rsid w:val="00463083"/>
    <w:rsid w:val="00463217"/>
    <w:rsid w:val="004649B2"/>
    <w:rsid w:val="00464B63"/>
    <w:rsid w:val="0046604A"/>
    <w:rsid w:val="0046682C"/>
    <w:rsid w:val="0046686E"/>
    <w:rsid w:val="00466C39"/>
    <w:rsid w:val="0046795C"/>
    <w:rsid w:val="00470675"/>
    <w:rsid w:val="00473821"/>
    <w:rsid w:val="00474784"/>
    <w:rsid w:val="00474BEB"/>
    <w:rsid w:val="0047542A"/>
    <w:rsid w:val="00476109"/>
    <w:rsid w:val="004763E0"/>
    <w:rsid w:val="00476C77"/>
    <w:rsid w:val="00476D97"/>
    <w:rsid w:val="00476F88"/>
    <w:rsid w:val="00477012"/>
    <w:rsid w:val="00477D2C"/>
    <w:rsid w:val="00480818"/>
    <w:rsid w:val="004809BA"/>
    <w:rsid w:val="00480E97"/>
    <w:rsid w:val="004813E4"/>
    <w:rsid w:val="0048194B"/>
    <w:rsid w:val="00481A2A"/>
    <w:rsid w:val="00481B15"/>
    <w:rsid w:val="00481C1C"/>
    <w:rsid w:val="00482756"/>
    <w:rsid w:val="004830EA"/>
    <w:rsid w:val="0048369C"/>
    <w:rsid w:val="00484E75"/>
    <w:rsid w:val="00484ED4"/>
    <w:rsid w:val="00484FF3"/>
    <w:rsid w:val="004854C5"/>
    <w:rsid w:val="00485B1D"/>
    <w:rsid w:val="0048659A"/>
    <w:rsid w:val="00486A79"/>
    <w:rsid w:val="00486C3F"/>
    <w:rsid w:val="00487105"/>
    <w:rsid w:val="004875F1"/>
    <w:rsid w:val="00487832"/>
    <w:rsid w:val="00487A8A"/>
    <w:rsid w:val="00487C24"/>
    <w:rsid w:val="004908EF"/>
    <w:rsid w:val="00490EE9"/>
    <w:rsid w:val="004928DD"/>
    <w:rsid w:val="00495AD9"/>
    <w:rsid w:val="00495EF3"/>
    <w:rsid w:val="00495F15"/>
    <w:rsid w:val="00497DBB"/>
    <w:rsid w:val="004A0559"/>
    <w:rsid w:val="004A0597"/>
    <w:rsid w:val="004A0E6A"/>
    <w:rsid w:val="004A1B98"/>
    <w:rsid w:val="004A1D0D"/>
    <w:rsid w:val="004A294A"/>
    <w:rsid w:val="004A37F8"/>
    <w:rsid w:val="004A3F33"/>
    <w:rsid w:val="004A3FC8"/>
    <w:rsid w:val="004A4883"/>
    <w:rsid w:val="004A4E28"/>
    <w:rsid w:val="004A5051"/>
    <w:rsid w:val="004A5994"/>
    <w:rsid w:val="004A5A5C"/>
    <w:rsid w:val="004A6C91"/>
    <w:rsid w:val="004A6EAB"/>
    <w:rsid w:val="004A7114"/>
    <w:rsid w:val="004A7E18"/>
    <w:rsid w:val="004B0261"/>
    <w:rsid w:val="004B059B"/>
    <w:rsid w:val="004B0744"/>
    <w:rsid w:val="004B09A3"/>
    <w:rsid w:val="004B1883"/>
    <w:rsid w:val="004B1F54"/>
    <w:rsid w:val="004B1FC1"/>
    <w:rsid w:val="004B2285"/>
    <w:rsid w:val="004B2341"/>
    <w:rsid w:val="004B365F"/>
    <w:rsid w:val="004B4446"/>
    <w:rsid w:val="004B4698"/>
    <w:rsid w:val="004B53F3"/>
    <w:rsid w:val="004B5850"/>
    <w:rsid w:val="004B624C"/>
    <w:rsid w:val="004B70F7"/>
    <w:rsid w:val="004B7621"/>
    <w:rsid w:val="004B7D3C"/>
    <w:rsid w:val="004C01C3"/>
    <w:rsid w:val="004C17D0"/>
    <w:rsid w:val="004C23EA"/>
    <w:rsid w:val="004C35D1"/>
    <w:rsid w:val="004C46D4"/>
    <w:rsid w:val="004C48AB"/>
    <w:rsid w:val="004C5470"/>
    <w:rsid w:val="004C5517"/>
    <w:rsid w:val="004C589D"/>
    <w:rsid w:val="004C5B03"/>
    <w:rsid w:val="004C5E21"/>
    <w:rsid w:val="004C5E68"/>
    <w:rsid w:val="004C6C18"/>
    <w:rsid w:val="004C6CB2"/>
    <w:rsid w:val="004C7A32"/>
    <w:rsid w:val="004D0450"/>
    <w:rsid w:val="004D12F2"/>
    <w:rsid w:val="004D20F5"/>
    <w:rsid w:val="004D2CC9"/>
    <w:rsid w:val="004D42E2"/>
    <w:rsid w:val="004D4390"/>
    <w:rsid w:val="004D4F07"/>
    <w:rsid w:val="004D65A4"/>
    <w:rsid w:val="004D6798"/>
    <w:rsid w:val="004E0498"/>
    <w:rsid w:val="004E0873"/>
    <w:rsid w:val="004E11AA"/>
    <w:rsid w:val="004E169C"/>
    <w:rsid w:val="004E26B3"/>
    <w:rsid w:val="004E3B03"/>
    <w:rsid w:val="004E7AF0"/>
    <w:rsid w:val="004E7E4C"/>
    <w:rsid w:val="004F0AB5"/>
    <w:rsid w:val="004F0EDC"/>
    <w:rsid w:val="004F1878"/>
    <w:rsid w:val="004F220A"/>
    <w:rsid w:val="004F270C"/>
    <w:rsid w:val="004F2DFD"/>
    <w:rsid w:val="004F43AC"/>
    <w:rsid w:val="004F449A"/>
    <w:rsid w:val="004F4641"/>
    <w:rsid w:val="004F4CD7"/>
    <w:rsid w:val="004F4F25"/>
    <w:rsid w:val="004F5463"/>
    <w:rsid w:val="004F59B3"/>
    <w:rsid w:val="004F5C3D"/>
    <w:rsid w:val="004F6EB3"/>
    <w:rsid w:val="004F702F"/>
    <w:rsid w:val="004F7A7A"/>
    <w:rsid w:val="00500554"/>
    <w:rsid w:val="005007E0"/>
    <w:rsid w:val="00500B18"/>
    <w:rsid w:val="00500D3A"/>
    <w:rsid w:val="00501A03"/>
    <w:rsid w:val="00501CA4"/>
    <w:rsid w:val="00502E17"/>
    <w:rsid w:val="00504DD9"/>
    <w:rsid w:val="00505018"/>
    <w:rsid w:val="00505F54"/>
    <w:rsid w:val="00506575"/>
    <w:rsid w:val="0050668B"/>
    <w:rsid w:val="00506BAA"/>
    <w:rsid w:val="00506CA1"/>
    <w:rsid w:val="00507047"/>
    <w:rsid w:val="00507465"/>
    <w:rsid w:val="005079B2"/>
    <w:rsid w:val="0051034F"/>
    <w:rsid w:val="00510A67"/>
    <w:rsid w:val="005114D4"/>
    <w:rsid w:val="0051323B"/>
    <w:rsid w:val="005132DB"/>
    <w:rsid w:val="005147C8"/>
    <w:rsid w:val="0051579D"/>
    <w:rsid w:val="0051587C"/>
    <w:rsid w:val="00517141"/>
    <w:rsid w:val="00517686"/>
    <w:rsid w:val="0051788D"/>
    <w:rsid w:val="005201D0"/>
    <w:rsid w:val="005201F3"/>
    <w:rsid w:val="0052076E"/>
    <w:rsid w:val="00521B43"/>
    <w:rsid w:val="00521F53"/>
    <w:rsid w:val="005226E0"/>
    <w:rsid w:val="005238A0"/>
    <w:rsid w:val="00523D42"/>
    <w:rsid w:val="005251A9"/>
    <w:rsid w:val="005254BD"/>
    <w:rsid w:val="0052689C"/>
    <w:rsid w:val="005274C0"/>
    <w:rsid w:val="00527DEF"/>
    <w:rsid w:val="00530888"/>
    <w:rsid w:val="00530C05"/>
    <w:rsid w:val="0053112F"/>
    <w:rsid w:val="0053214B"/>
    <w:rsid w:val="0053274F"/>
    <w:rsid w:val="005327AF"/>
    <w:rsid w:val="00532C92"/>
    <w:rsid w:val="00533342"/>
    <w:rsid w:val="00533C52"/>
    <w:rsid w:val="0053407E"/>
    <w:rsid w:val="0053437D"/>
    <w:rsid w:val="00534903"/>
    <w:rsid w:val="00535444"/>
    <w:rsid w:val="00537BD1"/>
    <w:rsid w:val="00540DBC"/>
    <w:rsid w:val="00541EF7"/>
    <w:rsid w:val="00541FB2"/>
    <w:rsid w:val="00542233"/>
    <w:rsid w:val="005428EB"/>
    <w:rsid w:val="00542A6E"/>
    <w:rsid w:val="00542D49"/>
    <w:rsid w:val="00543690"/>
    <w:rsid w:val="005442D5"/>
    <w:rsid w:val="005450F6"/>
    <w:rsid w:val="005454C3"/>
    <w:rsid w:val="00546119"/>
    <w:rsid w:val="00546E2C"/>
    <w:rsid w:val="00546E39"/>
    <w:rsid w:val="00546FD1"/>
    <w:rsid w:val="00547D8E"/>
    <w:rsid w:val="005501F6"/>
    <w:rsid w:val="00550AA1"/>
    <w:rsid w:val="00550C3A"/>
    <w:rsid w:val="0055123F"/>
    <w:rsid w:val="005516B8"/>
    <w:rsid w:val="0055220F"/>
    <w:rsid w:val="00552EEF"/>
    <w:rsid w:val="0055312B"/>
    <w:rsid w:val="005532EA"/>
    <w:rsid w:val="00553F9B"/>
    <w:rsid w:val="00554F18"/>
    <w:rsid w:val="00555E01"/>
    <w:rsid w:val="00556B31"/>
    <w:rsid w:val="00556C38"/>
    <w:rsid w:val="0055781F"/>
    <w:rsid w:val="005612C6"/>
    <w:rsid w:val="00561E7D"/>
    <w:rsid w:val="00562686"/>
    <w:rsid w:val="005627EF"/>
    <w:rsid w:val="00562AE6"/>
    <w:rsid w:val="00562FBF"/>
    <w:rsid w:val="005634DB"/>
    <w:rsid w:val="00563931"/>
    <w:rsid w:val="00564402"/>
    <w:rsid w:val="00564603"/>
    <w:rsid w:val="005650EC"/>
    <w:rsid w:val="0056549E"/>
    <w:rsid w:val="0056562D"/>
    <w:rsid w:val="00566032"/>
    <w:rsid w:val="005668BB"/>
    <w:rsid w:val="00566B0E"/>
    <w:rsid w:val="00567157"/>
    <w:rsid w:val="00567382"/>
    <w:rsid w:val="0056743F"/>
    <w:rsid w:val="005705F3"/>
    <w:rsid w:val="005714CC"/>
    <w:rsid w:val="005714DE"/>
    <w:rsid w:val="00574C84"/>
    <w:rsid w:val="0057729A"/>
    <w:rsid w:val="005772B0"/>
    <w:rsid w:val="0058044E"/>
    <w:rsid w:val="00580F0A"/>
    <w:rsid w:val="00582A3D"/>
    <w:rsid w:val="00583B1D"/>
    <w:rsid w:val="00584317"/>
    <w:rsid w:val="00584526"/>
    <w:rsid w:val="005846B0"/>
    <w:rsid w:val="00584C42"/>
    <w:rsid w:val="0058507A"/>
    <w:rsid w:val="0058518C"/>
    <w:rsid w:val="005851FC"/>
    <w:rsid w:val="00585838"/>
    <w:rsid w:val="00585D56"/>
    <w:rsid w:val="00586F1C"/>
    <w:rsid w:val="00586FE5"/>
    <w:rsid w:val="0058719F"/>
    <w:rsid w:val="00587A4A"/>
    <w:rsid w:val="005907EE"/>
    <w:rsid w:val="00590906"/>
    <w:rsid w:val="005914B4"/>
    <w:rsid w:val="0059157D"/>
    <w:rsid w:val="0059173F"/>
    <w:rsid w:val="0059203A"/>
    <w:rsid w:val="005920B2"/>
    <w:rsid w:val="00593290"/>
    <w:rsid w:val="00593493"/>
    <w:rsid w:val="005949B6"/>
    <w:rsid w:val="00594A79"/>
    <w:rsid w:val="00594B58"/>
    <w:rsid w:val="00594BA7"/>
    <w:rsid w:val="0059662E"/>
    <w:rsid w:val="00596699"/>
    <w:rsid w:val="005968A1"/>
    <w:rsid w:val="00596CCC"/>
    <w:rsid w:val="005A036E"/>
    <w:rsid w:val="005A1214"/>
    <w:rsid w:val="005A14DC"/>
    <w:rsid w:val="005A1A73"/>
    <w:rsid w:val="005A1FAB"/>
    <w:rsid w:val="005A2185"/>
    <w:rsid w:val="005A38F0"/>
    <w:rsid w:val="005A4187"/>
    <w:rsid w:val="005A4C06"/>
    <w:rsid w:val="005A4FDC"/>
    <w:rsid w:val="005A5448"/>
    <w:rsid w:val="005A5B9F"/>
    <w:rsid w:val="005A76AD"/>
    <w:rsid w:val="005A7F72"/>
    <w:rsid w:val="005B0136"/>
    <w:rsid w:val="005B0B80"/>
    <w:rsid w:val="005B0DC7"/>
    <w:rsid w:val="005B1373"/>
    <w:rsid w:val="005B1A85"/>
    <w:rsid w:val="005B2726"/>
    <w:rsid w:val="005B292E"/>
    <w:rsid w:val="005B2AA6"/>
    <w:rsid w:val="005B318D"/>
    <w:rsid w:val="005B37F0"/>
    <w:rsid w:val="005B4DA5"/>
    <w:rsid w:val="005B5F9B"/>
    <w:rsid w:val="005B6184"/>
    <w:rsid w:val="005B74A1"/>
    <w:rsid w:val="005C04BE"/>
    <w:rsid w:val="005C0A2D"/>
    <w:rsid w:val="005C0D46"/>
    <w:rsid w:val="005C13F5"/>
    <w:rsid w:val="005C14C5"/>
    <w:rsid w:val="005C195F"/>
    <w:rsid w:val="005C1C8C"/>
    <w:rsid w:val="005C1FC3"/>
    <w:rsid w:val="005C25CA"/>
    <w:rsid w:val="005C2AC9"/>
    <w:rsid w:val="005C2AF8"/>
    <w:rsid w:val="005C2C49"/>
    <w:rsid w:val="005C2C77"/>
    <w:rsid w:val="005C35BD"/>
    <w:rsid w:val="005C3AE3"/>
    <w:rsid w:val="005C3B45"/>
    <w:rsid w:val="005C4552"/>
    <w:rsid w:val="005C46EB"/>
    <w:rsid w:val="005C4A97"/>
    <w:rsid w:val="005C50DA"/>
    <w:rsid w:val="005C50FA"/>
    <w:rsid w:val="005C5D99"/>
    <w:rsid w:val="005C6155"/>
    <w:rsid w:val="005D09FD"/>
    <w:rsid w:val="005D101D"/>
    <w:rsid w:val="005D1489"/>
    <w:rsid w:val="005D3198"/>
    <w:rsid w:val="005D373C"/>
    <w:rsid w:val="005D3FEE"/>
    <w:rsid w:val="005D4271"/>
    <w:rsid w:val="005D4289"/>
    <w:rsid w:val="005D45F5"/>
    <w:rsid w:val="005D47DB"/>
    <w:rsid w:val="005D5EAF"/>
    <w:rsid w:val="005D5FC8"/>
    <w:rsid w:val="005D71D5"/>
    <w:rsid w:val="005E103F"/>
    <w:rsid w:val="005E21F9"/>
    <w:rsid w:val="005E38B9"/>
    <w:rsid w:val="005E4B03"/>
    <w:rsid w:val="005E5187"/>
    <w:rsid w:val="005E6EC2"/>
    <w:rsid w:val="005E6F85"/>
    <w:rsid w:val="005E7329"/>
    <w:rsid w:val="005E78B6"/>
    <w:rsid w:val="005F0973"/>
    <w:rsid w:val="005F0B9E"/>
    <w:rsid w:val="005F1291"/>
    <w:rsid w:val="005F14A5"/>
    <w:rsid w:val="005F1F9F"/>
    <w:rsid w:val="005F2A90"/>
    <w:rsid w:val="005F2CFA"/>
    <w:rsid w:val="005F3291"/>
    <w:rsid w:val="005F38DE"/>
    <w:rsid w:val="005F47A8"/>
    <w:rsid w:val="005F52DF"/>
    <w:rsid w:val="005F557C"/>
    <w:rsid w:val="005F580A"/>
    <w:rsid w:val="005F742C"/>
    <w:rsid w:val="005F780E"/>
    <w:rsid w:val="0060113E"/>
    <w:rsid w:val="0060122A"/>
    <w:rsid w:val="00601949"/>
    <w:rsid w:val="00601C8C"/>
    <w:rsid w:val="00601D05"/>
    <w:rsid w:val="006021C0"/>
    <w:rsid w:val="006021F9"/>
    <w:rsid w:val="00602224"/>
    <w:rsid w:val="00602CC6"/>
    <w:rsid w:val="00602D30"/>
    <w:rsid w:val="00603A6B"/>
    <w:rsid w:val="00603AAD"/>
    <w:rsid w:val="00603E96"/>
    <w:rsid w:val="00603FF5"/>
    <w:rsid w:val="006043C7"/>
    <w:rsid w:val="00604939"/>
    <w:rsid w:val="006057A5"/>
    <w:rsid w:val="006061DD"/>
    <w:rsid w:val="00606A67"/>
    <w:rsid w:val="006075E1"/>
    <w:rsid w:val="00607836"/>
    <w:rsid w:val="006079CB"/>
    <w:rsid w:val="00607A86"/>
    <w:rsid w:val="00610530"/>
    <w:rsid w:val="0061055A"/>
    <w:rsid w:val="00610942"/>
    <w:rsid w:val="0061104B"/>
    <w:rsid w:val="00612211"/>
    <w:rsid w:val="00614161"/>
    <w:rsid w:val="0061569F"/>
    <w:rsid w:val="00615B9E"/>
    <w:rsid w:val="006168BD"/>
    <w:rsid w:val="00616A6F"/>
    <w:rsid w:val="00616AE5"/>
    <w:rsid w:val="00617904"/>
    <w:rsid w:val="00620173"/>
    <w:rsid w:val="0062024D"/>
    <w:rsid w:val="006202A2"/>
    <w:rsid w:val="00620564"/>
    <w:rsid w:val="00620F2C"/>
    <w:rsid w:val="0062138F"/>
    <w:rsid w:val="00621B20"/>
    <w:rsid w:val="0062351E"/>
    <w:rsid w:val="00623E0C"/>
    <w:rsid w:val="0062474A"/>
    <w:rsid w:val="00624F2F"/>
    <w:rsid w:val="00625F42"/>
    <w:rsid w:val="00625FFA"/>
    <w:rsid w:val="00626B93"/>
    <w:rsid w:val="00627B8A"/>
    <w:rsid w:val="0063060E"/>
    <w:rsid w:val="00630C1B"/>
    <w:rsid w:val="00630CA1"/>
    <w:rsid w:val="006321BF"/>
    <w:rsid w:val="006349A3"/>
    <w:rsid w:val="00634AF1"/>
    <w:rsid w:val="0063514C"/>
    <w:rsid w:val="006358BC"/>
    <w:rsid w:val="00637408"/>
    <w:rsid w:val="00637767"/>
    <w:rsid w:val="00637771"/>
    <w:rsid w:val="0063780A"/>
    <w:rsid w:val="00637A4C"/>
    <w:rsid w:val="00640ACC"/>
    <w:rsid w:val="00640F11"/>
    <w:rsid w:val="006413A1"/>
    <w:rsid w:val="00641F13"/>
    <w:rsid w:val="00642354"/>
    <w:rsid w:val="00642CE7"/>
    <w:rsid w:val="00642E23"/>
    <w:rsid w:val="00643927"/>
    <w:rsid w:val="00643BEF"/>
    <w:rsid w:val="00643C99"/>
    <w:rsid w:val="00643FEA"/>
    <w:rsid w:val="006440A0"/>
    <w:rsid w:val="006440D0"/>
    <w:rsid w:val="006445FA"/>
    <w:rsid w:val="00644604"/>
    <w:rsid w:val="00644852"/>
    <w:rsid w:val="006448D0"/>
    <w:rsid w:val="006453D5"/>
    <w:rsid w:val="006456C3"/>
    <w:rsid w:val="006466DE"/>
    <w:rsid w:val="00646AF2"/>
    <w:rsid w:val="00646BCC"/>
    <w:rsid w:val="006474A2"/>
    <w:rsid w:val="006478DB"/>
    <w:rsid w:val="00647B25"/>
    <w:rsid w:val="00647E20"/>
    <w:rsid w:val="006505AD"/>
    <w:rsid w:val="00650CFC"/>
    <w:rsid w:val="00652C62"/>
    <w:rsid w:val="00653204"/>
    <w:rsid w:val="00653330"/>
    <w:rsid w:val="0065447B"/>
    <w:rsid w:val="006545D6"/>
    <w:rsid w:val="00654766"/>
    <w:rsid w:val="00654D8C"/>
    <w:rsid w:val="00654E1C"/>
    <w:rsid w:val="0065554A"/>
    <w:rsid w:val="00655F5C"/>
    <w:rsid w:val="0065690A"/>
    <w:rsid w:val="00656A69"/>
    <w:rsid w:val="00657558"/>
    <w:rsid w:val="006576D9"/>
    <w:rsid w:val="0066028B"/>
    <w:rsid w:val="006604CE"/>
    <w:rsid w:val="00660547"/>
    <w:rsid w:val="00660EB1"/>
    <w:rsid w:val="00661561"/>
    <w:rsid w:val="00661DD5"/>
    <w:rsid w:val="00662034"/>
    <w:rsid w:val="00662149"/>
    <w:rsid w:val="006625F2"/>
    <w:rsid w:val="00663945"/>
    <w:rsid w:val="00663E79"/>
    <w:rsid w:val="00664437"/>
    <w:rsid w:val="00664DA9"/>
    <w:rsid w:val="0066552F"/>
    <w:rsid w:val="00666271"/>
    <w:rsid w:val="0066659A"/>
    <w:rsid w:val="00666C8C"/>
    <w:rsid w:val="00667B3B"/>
    <w:rsid w:val="00670384"/>
    <w:rsid w:val="00670560"/>
    <w:rsid w:val="00670DF7"/>
    <w:rsid w:val="0067106A"/>
    <w:rsid w:val="00671C0A"/>
    <w:rsid w:val="00672108"/>
    <w:rsid w:val="006724B8"/>
    <w:rsid w:val="00672B37"/>
    <w:rsid w:val="00672B63"/>
    <w:rsid w:val="00672E6E"/>
    <w:rsid w:val="00674880"/>
    <w:rsid w:val="0067526E"/>
    <w:rsid w:val="00675473"/>
    <w:rsid w:val="0067596D"/>
    <w:rsid w:val="00675DAE"/>
    <w:rsid w:val="0067600B"/>
    <w:rsid w:val="00676279"/>
    <w:rsid w:val="00676AC4"/>
    <w:rsid w:val="00676E3A"/>
    <w:rsid w:val="00676FC1"/>
    <w:rsid w:val="00677237"/>
    <w:rsid w:val="00677369"/>
    <w:rsid w:val="00677DC7"/>
    <w:rsid w:val="0068057B"/>
    <w:rsid w:val="00680788"/>
    <w:rsid w:val="00681BD0"/>
    <w:rsid w:val="00681D86"/>
    <w:rsid w:val="00682100"/>
    <w:rsid w:val="00682EE2"/>
    <w:rsid w:val="0068315A"/>
    <w:rsid w:val="006834B9"/>
    <w:rsid w:val="0068350D"/>
    <w:rsid w:val="006840E1"/>
    <w:rsid w:val="006849DA"/>
    <w:rsid w:val="00685F03"/>
    <w:rsid w:val="00686112"/>
    <w:rsid w:val="00686451"/>
    <w:rsid w:val="00686FB5"/>
    <w:rsid w:val="00687641"/>
    <w:rsid w:val="006877D7"/>
    <w:rsid w:val="006904D0"/>
    <w:rsid w:val="006906F2"/>
    <w:rsid w:val="0069097F"/>
    <w:rsid w:val="00690A1C"/>
    <w:rsid w:val="0069108C"/>
    <w:rsid w:val="006912BF"/>
    <w:rsid w:val="006914B2"/>
    <w:rsid w:val="00691680"/>
    <w:rsid w:val="00691C4F"/>
    <w:rsid w:val="00691E87"/>
    <w:rsid w:val="006925F8"/>
    <w:rsid w:val="00692B93"/>
    <w:rsid w:val="00693625"/>
    <w:rsid w:val="00693DCC"/>
    <w:rsid w:val="0069447F"/>
    <w:rsid w:val="00695096"/>
    <w:rsid w:val="00695560"/>
    <w:rsid w:val="00695B25"/>
    <w:rsid w:val="006960B2"/>
    <w:rsid w:val="006974CE"/>
    <w:rsid w:val="006A03EA"/>
    <w:rsid w:val="006A103C"/>
    <w:rsid w:val="006A1398"/>
    <w:rsid w:val="006A2BAF"/>
    <w:rsid w:val="006A3065"/>
    <w:rsid w:val="006A323E"/>
    <w:rsid w:val="006A34AF"/>
    <w:rsid w:val="006A3B14"/>
    <w:rsid w:val="006A4097"/>
    <w:rsid w:val="006A47E6"/>
    <w:rsid w:val="006A483B"/>
    <w:rsid w:val="006A6256"/>
    <w:rsid w:val="006A6583"/>
    <w:rsid w:val="006A6AD1"/>
    <w:rsid w:val="006A6C4D"/>
    <w:rsid w:val="006A7890"/>
    <w:rsid w:val="006B0133"/>
    <w:rsid w:val="006B01A3"/>
    <w:rsid w:val="006B05DE"/>
    <w:rsid w:val="006B1983"/>
    <w:rsid w:val="006B1D01"/>
    <w:rsid w:val="006B1D1C"/>
    <w:rsid w:val="006B1DDF"/>
    <w:rsid w:val="006B2612"/>
    <w:rsid w:val="006B28EC"/>
    <w:rsid w:val="006B2B6B"/>
    <w:rsid w:val="006B2EE9"/>
    <w:rsid w:val="006B33E4"/>
    <w:rsid w:val="006B3D01"/>
    <w:rsid w:val="006B4359"/>
    <w:rsid w:val="006B4512"/>
    <w:rsid w:val="006B455B"/>
    <w:rsid w:val="006B508B"/>
    <w:rsid w:val="006B748A"/>
    <w:rsid w:val="006B7E3F"/>
    <w:rsid w:val="006C062C"/>
    <w:rsid w:val="006C0BFF"/>
    <w:rsid w:val="006C0D61"/>
    <w:rsid w:val="006C18C3"/>
    <w:rsid w:val="006C265B"/>
    <w:rsid w:val="006C26F3"/>
    <w:rsid w:val="006C3914"/>
    <w:rsid w:val="006C3CD7"/>
    <w:rsid w:val="006C3FD9"/>
    <w:rsid w:val="006C409E"/>
    <w:rsid w:val="006C4236"/>
    <w:rsid w:val="006C44C4"/>
    <w:rsid w:val="006C471D"/>
    <w:rsid w:val="006C4B82"/>
    <w:rsid w:val="006C4C3E"/>
    <w:rsid w:val="006C5907"/>
    <w:rsid w:val="006C5E78"/>
    <w:rsid w:val="006C6A45"/>
    <w:rsid w:val="006C7CDA"/>
    <w:rsid w:val="006D0FCD"/>
    <w:rsid w:val="006D1188"/>
    <w:rsid w:val="006D123C"/>
    <w:rsid w:val="006D17BF"/>
    <w:rsid w:val="006D1BF6"/>
    <w:rsid w:val="006D1F88"/>
    <w:rsid w:val="006D22E7"/>
    <w:rsid w:val="006D2ED0"/>
    <w:rsid w:val="006D3589"/>
    <w:rsid w:val="006D5416"/>
    <w:rsid w:val="006D5B2E"/>
    <w:rsid w:val="006D5BFF"/>
    <w:rsid w:val="006D614F"/>
    <w:rsid w:val="006D6902"/>
    <w:rsid w:val="006D6BB3"/>
    <w:rsid w:val="006D7E71"/>
    <w:rsid w:val="006D7EE0"/>
    <w:rsid w:val="006E0396"/>
    <w:rsid w:val="006E0B93"/>
    <w:rsid w:val="006E0D7D"/>
    <w:rsid w:val="006E29ED"/>
    <w:rsid w:val="006E2E0E"/>
    <w:rsid w:val="006E3567"/>
    <w:rsid w:val="006E4011"/>
    <w:rsid w:val="006E510E"/>
    <w:rsid w:val="006E5A24"/>
    <w:rsid w:val="006E673A"/>
    <w:rsid w:val="006E6A74"/>
    <w:rsid w:val="006E6C10"/>
    <w:rsid w:val="006E7633"/>
    <w:rsid w:val="006E7713"/>
    <w:rsid w:val="006E7786"/>
    <w:rsid w:val="006E7D87"/>
    <w:rsid w:val="006F0AFA"/>
    <w:rsid w:val="006F0B1A"/>
    <w:rsid w:val="006F0ED4"/>
    <w:rsid w:val="006F14CB"/>
    <w:rsid w:val="006F2043"/>
    <w:rsid w:val="006F27EC"/>
    <w:rsid w:val="006F2982"/>
    <w:rsid w:val="006F330E"/>
    <w:rsid w:val="006F34AA"/>
    <w:rsid w:val="006F4B0E"/>
    <w:rsid w:val="006F4B69"/>
    <w:rsid w:val="006F5462"/>
    <w:rsid w:val="006F560E"/>
    <w:rsid w:val="006F59DB"/>
    <w:rsid w:val="006F5AE7"/>
    <w:rsid w:val="006F5C5B"/>
    <w:rsid w:val="006F63F8"/>
    <w:rsid w:val="006F7F01"/>
    <w:rsid w:val="007003AE"/>
    <w:rsid w:val="00700F20"/>
    <w:rsid w:val="0070190C"/>
    <w:rsid w:val="00701A69"/>
    <w:rsid w:val="00702887"/>
    <w:rsid w:val="00706007"/>
    <w:rsid w:val="00706BA1"/>
    <w:rsid w:val="00707A71"/>
    <w:rsid w:val="00710D38"/>
    <w:rsid w:val="0071133D"/>
    <w:rsid w:val="007120DB"/>
    <w:rsid w:val="007128AC"/>
    <w:rsid w:val="007129ED"/>
    <w:rsid w:val="0071350B"/>
    <w:rsid w:val="00713A1A"/>
    <w:rsid w:val="00713F8E"/>
    <w:rsid w:val="007141A1"/>
    <w:rsid w:val="007141B0"/>
    <w:rsid w:val="007142B1"/>
    <w:rsid w:val="00715FFE"/>
    <w:rsid w:val="00716F04"/>
    <w:rsid w:val="00717429"/>
    <w:rsid w:val="007175D4"/>
    <w:rsid w:val="00717D24"/>
    <w:rsid w:val="00720898"/>
    <w:rsid w:val="00721040"/>
    <w:rsid w:val="007212E4"/>
    <w:rsid w:val="00722767"/>
    <w:rsid w:val="0072411C"/>
    <w:rsid w:val="00724870"/>
    <w:rsid w:val="0072573A"/>
    <w:rsid w:val="00725801"/>
    <w:rsid w:val="00725C5C"/>
    <w:rsid w:val="00726005"/>
    <w:rsid w:val="007266BC"/>
    <w:rsid w:val="00726C10"/>
    <w:rsid w:val="00727206"/>
    <w:rsid w:val="00730361"/>
    <w:rsid w:val="007318B9"/>
    <w:rsid w:val="00731BDA"/>
    <w:rsid w:val="007321D9"/>
    <w:rsid w:val="00732E10"/>
    <w:rsid w:val="0073377A"/>
    <w:rsid w:val="00734198"/>
    <w:rsid w:val="0073435E"/>
    <w:rsid w:val="00734999"/>
    <w:rsid w:val="007352E8"/>
    <w:rsid w:val="007359C9"/>
    <w:rsid w:val="00735A17"/>
    <w:rsid w:val="007362A4"/>
    <w:rsid w:val="00736593"/>
    <w:rsid w:val="00736767"/>
    <w:rsid w:val="007368B0"/>
    <w:rsid w:val="00736FA5"/>
    <w:rsid w:val="0073741E"/>
    <w:rsid w:val="007376ED"/>
    <w:rsid w:val="00737F0E"/>
    <w:rsid w:val="00740BC1"/>
    <w:rsid w:val="00740FD2"/>
    <w:rsid w:val="00741996"/>
    <w:rsid w:val="00741B09"/>
    <w:rsid w:val="00742701"/>
    <w:rsid w:val="007436D5"/>
    <w:rsid w:val="00743B9D"/>
    <w:rsid w:val="00744569"/>
    <w:rsid w:val="007445E5"/>
    <w:rsid w:val="00744EB3"/>
    <w:rsid w:val="00745A2B"/>
    <w:rsid w:val="00745E5B"/>
    <w:rsid w:val="007468FC"/>
    <w:rsid w:val="007471DE"/>
    <w:rsid w:val="00750849"/>
    <w:rsid w:val="007509E4"/>
    <w:rsid w:val="007514CF"/>
    <w:rsid w:val="007525E7"/>
    <w:rsid w:val="00752EBD"/>
    <w:rsid w:val="0075348E"/>
    <w:rsid w:val="007534A9"/>
    <w:rsid w:val="00754980"/>
    <w:rsid w:val="00755397"/>
    <w:rsid w:val="00755AC3"/>
    <w:rsid w:val="00755FB1"/>
    <w:rsid w:val="0075654F"/>
    <w:rsid w:val="00756978"/>
    <w:rsid w:val="00760CD4"/>
    <w:rsid w:val="00761483"/>
    <w:rsid w:val="0076190C"/>
    <w:rsid w:val="00761E59"/>
    <w:rsid w:val="007630A5"/>
    <w:rsid w:val="007630AB"/>
    <w:rsid w:val="00763DFD"/>
    <w:rsid w:val="0076467C"/>
    <w:rsid w:val="007649A1"/>
    <w:rsid w:val="00766F6B"/>
    <w:rsid w:val="0077006A"/>
    <w:rsid w:val="00770683"/>
    <w:rsid w:val="00771AE4"/>
    <w:rsid w:val="00772349"/>
    <w:rsid w:val="007734D9"/>
    <w:rsid w:val="00773597"/>
    <w:rsid w:val="007737BA"/>
    <w:rsid w:val="00773A37"/>
    <w:rsid w:val="00773AE1"/>
    <w:rsid w:val="00773CA0"/>
    <w:rsid w:val="007743E5"/>
    <w:rsid w:val="00774981"/>
    <w:rsid w:val="00774D35"/>
    <w:rsid w:val="00775EA0"/>
    <w:rsid w:val="00776356"/>
    <w:rsid w:val="00776806"/>
    <w:rsid w:val="00777306"/>
    <w:rsid w:val="00777CB9"/>
    <w:rsid w:val="007814B7"/>
    <w:rsid w:val="0078327B"/>
    <w:rsid w:val="00783D42"/>
    <w:rsid w:val="007845F6"/>
    <w:rsid w:val="00784F99"/>
    <w:rsid w:val="00785165"/>
    <w:rsid w:val="00786886"/>
    <w:rsid w:val="007868DA"/>
    <w:rsid w:val="007869D8"/>
    <w:rsid w:val="00786B25"/>
    <w:rsid w:val="007872D6"/>
    <w:rsid w:val="00787C5E"/>
    <w:rsid w:val="00787CE4"/>
    <w:rsid w:val="00790168"/>
    <w:rsid w:val="007915F3"/>
    <w:rsid w:val="00791924"/>
    <w:rsid w:val="007923D0"/>
    <w:rsid w:val="0079281C"/>
    <w:rsid w:val="00792D5C"/>
    <w:rsid w:val="0079387A"/>
    <w:rsid w:val="00794CA9"/>
    <w:rsid w:val="00795032"/>
    <w:rsid w:val="00795B8B"/>
    <w:rsid w:val="007969C9"/>
    <w:rsid w:val="00796D88"/>
    <w:rsid w:val="00797743"/>
    <w:rsid w:val="00797B8B"/>
    <w:rsid w:val="007A070C"/>
    <w:rsid w:val="007A1460"/>
    <w:rsid w:val="007A169C"/>
    <w:rsid w:val="007A1ACA"/>
    <w:rsid w:val="007A21BC"/>
    <w:rsid w:val="007A2482"/>
    <w:rsid w:val="007A386D"/>
    <w:rsid w:val="007A4A1E"/>
    <w:rsid w:val="007A65A1"/>
    <w:rsid w:val="007A7336"/>
    <w:rsid w:val="007A73A4"/>
    <w:rsid w:val="007A7C19"/>
    <w:rsid w:val="007B0CDB"/>
    <w:rsid w:val="007B0E4E"/>
    <w:rsid w:val="007B188A"/>
    <w:rsid w:val="007B2342"/>
    <w:rsid w:val="007B26A5"/>
    <w:rsid w:val="007B288B"/>
    <w:rsid w:val="007B2A75"/>
    <w:rsid w:val="007B2FDF"/>
    <w:rsid w:val="007B3687"/>
    <w:rsid w:val="007B5765"/>
    <w:rsid w:val="007B5907"/>
    <w:rsid w:val="007B5941"/>
    <w:rsid w:val="007B6599"/>
    <w:rsid w:val="007B709C"/>
    <w:rsid w:val="007C026A"/>
    <w:rsid w:val="007C105D"/>
    <w:rsid w:val="007C111D"/>
    <w:rsid w:val="007C16D6"/>
    <w:rsid w:val="007C1CC8"/>
    <w:rsid w:val="007C1EC5"/>
    <w:rsid w:val="007C288F"/>
    <w:rsid w:val="007C2A95"/>
    <w:rsid w:val="007C2BA7"/>
    <w:rsid w:val="007C3349"/>
    <w:rsid w:val="007C3420"/>
    <w:rsid w:val="007C3F92"/>
    <w:rsid w:val="007C462E"/>
    <w:rsid w:val="007C52B5"/>
    <w:rsid w:val="007C6373"/>
    <w:rsid w:val="007C69F2"/>
    <w:rsid w:val="007C77EC"/>
    <w:rsid w:val="007D0300"/>
    <w:rsid w:val="007D08E8"/>
    <w:rsid w:val="007D19C5"/>
    <w:rsid w:val="007D2692"/>
    <w:rsid w:val="007D2D1D"/>
    <w:rsid w:val="007D2F4F"/>
    <w:rsid w:val="007D2F65"/>
    <w:rsid w:val="007D3292"/>
    <w:rsid w:val="007D33FC"/>
    <w:rsid w:val="007D346F"/>
    <w:rsid w:val="007D3917"/>
    <w:rsid w:val="007D41C9"/>
    <w:rsid w:val="007D4941"/>
    <w:rsid w:val="007D49B9"/>
    <w:rsid w:val="007D4AAB"/>
    <w:rsid w:val="007D4B27"/>
    <w:rsid w:val="007D4C83"/>
    <w:rsid w:val="007D53C8"/>
    <w:rsid w:val="007D5458"/>
    <w:rsid w:val="007D59CF"/>
    <w:rsid w:val="007D5A72"/>
    <w:rsid w:val="007D5E9A"/>
    <w:rsid w:val="007D5F76"/>
    <w:rsid w:val="007D6563"/>
    <w:rsid w:val="007D6887"/>
    <w:rsid w:val="007D6DD1"/>
    <w:rsid w:val="007D6EA1"/>
    <w:rsid w:val="007D7391"/>
    <w:rsid w:val="007D7812"/>
    <w:rsid w:val="007D7E8E"/>
    <w:rsid w:val="007E054E"/>
    <w:rsid w:val="007E077B"/>
    <w:rsid w:val="007E1440"/>
    <w:rsid w:val="007E1726"/>
    <w:rsid w:val="007E24C7"/>
    <w:rsid w:val="007E283E"/>
    <w:rsid w:val="007E31CA"/>
    <w:rsid w:val="007E3FA7"/>
    <w:rsid w:val="007E4058"/>
    <w:rsid w:val="007E5076"/>
    <w:rsid w:val="007E5B07"/>
    <w:rsid w:val="007E6C65"/>
    <w:rsid w:val="007E7BCC"/>
    <w:rsid w:val="007F0CB2"/>
    <w:rsid w:val="007F19F3"/>
    <w:rsid w:val="007F26EA"/>
    <w:rsid w:val="007F2730"/>
    <w:rsid w:val="007F2E1C"/>
    <w:rsid w:val="007F2FA2"/>
    <w:rsid w:val="007F3DDB"/>
    <w:rsid w:val="007F3F3A"/>
    <w:rsid w:val="007F49AA"/>
    <w:rsid w:val="007F663C"/>
    <w:rsid w:val="007F6D6B"/>
    <w:rsid w:val="007F7FC3"/>
    <w:rsid w:val="008001D3"/>
    <w:rsid w:val="00800A05"/>
    <w:rsid w:val="00800BB9"/>
    <w:rsid w:val="00800EAB"/>
    <w:rsid w:val="00801302"/>
    <w:rsid w:val="008014A4"/>
    <w:rsid w:val="00801A4C"/>
    <w:rsid w:val="00801DDA"/>
    <w:rsid w:val="00802708"/>
    <w:rsid w:val="00802DB8"/>
    <w:rsid w:val="00803217"/>
    <w:rsid w:val="0080383D"/>
    <w:rsid w:val="00803E90"/>
    <w:rsid w:val="00804FCB"/>
    <w:rsid w:val="0080505F"/>
    <w:rsid w:val="00805FBD"/>
    <w:rsid w:val="00806558"/>
    <w:rsid w:val="00807375"/>
    <w:rsid w:val="00807BA6"/>
    <w:rsid w:val="00811A06"/>
    <w:rsid w:val="00811DF4"/>
    <w:rsid w:val="008128D4"/>
    <w:rsid w:val="00812954"/>
    <w:rsid w:val="008130C8"/>
    <w:rsid w:val="00813347"/>
    <w:rsid w:val="0081344B"/>
    <w:rsid w:val="00813654"/>
    <w:rsid w:val="00814862"/>
    <w:rsid w:val="00814E15"/>
    <w:rsid w:val="008158CA"/>
    <w:rsid w:val="00815E5C"/>
    <w:rsid w:val="0081693A"/>
    <w:rsid w:val="00816CF3"/>
    <w:rsid w:val="00817319"/>
    <w:rsid w:val="00817E8C"/>
    <w:rsid w:val="00820E65"/>
    <w:rsid w:val="00821090"/>
    <w:rsid w:val="00821C1F"/>
    <w:rsid w:val="0082245D"/>
    <w:rsid w:val="00822925"/>
    <w:rsid w:val="00822988"/>
    <w:rsid w:val="00822B59"/>
    <w:rsid w:val="00822D70"/>
    <w:rsid w:val="00822E57"/>
    <w:rsid w:val="0082335D"/>
    <w:rsid w:val="0082354D"/>
    <w:rsid w:val="00823EB9"/>
    <w:rsid w:val="00824010"/>
    <w:rsid w:val="00824589"/>
    <w:rsid w:val="00824D29"/>
    <w:rsid w:val="00825241"/>
    <w:rsid w:val="00825E35"/>
    <w:rsid w:val="008274C8"/>
    <w:rsid w:val="00827804"/>
    <w:rsid w:val="00827E1E"/>
    <w:rsid w:val="00827E55"/>
    <w:rsid w:val="0083004D"/>
    <w:rsid w:val="00830814"/>
    <w:rsid w:val="00830A50"/>
    <w:rsid w:val="00830EEC"/>
    <w:rsid w:val="00832AF9"/>
    <w:rsid w:val="00833283"/>
    <w:rsid w:val="00833AF7"/>
    <w:rsid w:val="00833BA6"/>
    <w:rsid w:val="00833DA0"/>
    <w:rsid w:val="008351A9"/>
    <w:rsid w:val="008352D4"/>
    <w:rsid w:val="00835330"/>
    <w:rsid w:val="0083676E"/>
    <w:rsid w:val="00836835"/>
    <w:rsid w:val="00836D9D"/>
    <w:rsid w:val="00837809"/>
    <w:rsid w:val="00837BAC"/>
    <w:rsid w:val="00837DC8"/>
    <w:rsid w:val="008400CF"/>
    <w:rsid w:val="008403D3"/>
    <w:rsid w:val="008403DA"/>
    <w:rsid w:val="00840EF8"/>
    <w:rsid w:val="008415AD"/>
    <w:rsid w:val="00841BE7"/>
    <w:rsid w:val="00841F94"/>
    <w:rsid w:val="00842A19"/>
    <w:rsid w:val="00843370"/>
    <w:rsid w:val="008434D7"/>
    <w:rsid w:val="00844296"/>
    <w:rsid w:val="00844594"/>
    <w:rsid w:val="008458FD"/>
    <w:rsid w:val="00845C2F"/>
    <w:rsid w:val="00846F31"/>
    <w:rsid w:val="00847079"/>
    <w:rsid w:val="0084724D"/>
    <w:rsid w:val="00847750"/>
    <w:rsid w:val="00850A5A"/>
    <w:rsid w:val="00850E35"/>
    <w:rsid w:val="00850FF6"/>
    <w:rsid w:val="0085126D"/>
    <w:rsid w:val="00851831"/>
    <w:rsid w:val="00851D14"/>
    <w:rsid w:val="008522C4"/>
    <w:rsid w:val="00852AFC"/>
    <w:rsid w:val="00854342"/>
    <w:rsid w:val="00854F5F"/>
    <w:rsid w:val="00855256"/>
    <w:rsid w:val="008559C3"/>
    <w:rsid w:val="008569F5"/>
    <w:rsid w:val="00856A5F"/>
    <w:rsid w:val="00856FD5"/>
    <w:rsid w:val="008572C5"/>
    <w:rsid w:val="008574A7"/>
    <w:rsid w:val="008574D1"/>
    <w:rsid w:val="00857680"/>
    <w:rsid w:val="00861733"/>
    <w:rsid w:val="008625A2"/>
    <w:rsid w:val="0086268C"/>
    <w:rsid w:val="00862DFC"/>
    <w:rsid w:val="008632F4"/>
    <w:rsid w:val="00864195"/>
    <w:rsid w:val="008645C5"/>
    <w:rsid w:val="00864BB9"/>
    <w:rsid w:val="00864D82"/>
    <w:rsid w:val="00864F1B"/>
    <w:rsid w:val="00864F1C"/>
    <w:rsid w:val="008651C4"/>
    <w:rsid w:val="00866177"/>
    <w:rsid w:val="00866B23"/>
    <w:rsid w:val="008674DD"/>
    <w:rsid w:val="00867851"/>
    <w:rsid w:val="00870406"/>
    <w:rsid w:val="00871224"/>
    <w:rsid w:val="00871355"/>
    <w:rsid w:val="00871411"/>
    <w:rsid w:val="00871503"/>
    <w:rsid w:val="00872309"/>
    <w:rsid w:val="00873117"/>
    <w:rsid w:val="0087316C"/>
    <w:rsid w:val="00873E5E"/>
    <w:rsid w:val="00874675"/>
    <w:rsid w:val="00874818"/>
    <w:rsid w:val="00875DAB"/>
    <w:rsid w:val="0087608A"/>
    <w:rsid w:val="00876C8E"/>
    <w:rsid w:val="008774D2"/>
    <w:rsid w:val="0088035E"/>
    <w:rsid w:val="008812CF"/>
    <w:rsid w:val="008814F8"/>
    <w:rsid w:val="00881B68"/>
    <w:rsid w:val="00881F97"/>
    <w:rsid w:val="00882769"/>
    <w:rsid w:val="00883C5F"/>
    <w:rsid w:val="00883CE6"/>
    <w:rsid w:val="008841FB"/>
    <w:rsid w:val="008845E6"/>
    <w:rsid w:val="00884E19"/>
    <w:rsid w:val="00885488"/>
    <w:rsid w:val="00885710"/>
    <w:rsid w:val="0088572D"/>
    <w:rsid w:val="00886D5A"/>
    <w:rsid w:val="00886F0E"/>
    <w:rsid w:val="008871C3"/>
    <w:rsid w:val="008874F6"/>
    <w:rsid w:val="00887EDC"/>
    <w:rsid w:val="00890ECE"/>
    <w:rsid w:val="00891192"/>
    <w:rsid w:val="0089218C"/>
    <w:rsid w:val="008925F2"/>
    <w:rsid w:val="00892A7B"/>
    <w:rsid w:val="00892D3A"/>
    <w:rsid w:val="00892DB1"/>
    <w:rsid w:val="0089395F"/>
    <w:rsid w:val="00893AD9"/>
    <w:rsid w:val="008943DD"/>
    <w:rsid w:val="00894783"/>
    <w:rsid w:val="008948E2"/>
    <w:rsid w:val="00895475"/>
    <w:rsid w:val="00896472"/>
    <w:rsid w:val="00897895"/>
    <w:rsid w:val="008A00EA"/>
    <w:rsid w:val="008A0316"/>
    <w:rsid w:val="008A081C"/>
    <w:rsid w:val="008A110A"/>
    <w:rsid w:val="008A1D6B"/>
    <w:rsid w:val="008A1F0F"/>
    <w:rsid w:val="008A22BB"/>
    <w:rsid w:val="008A2D84"/>
    <w:rsid w:val="008A3212"/>
    <w:rsid w:val="008A4D53"/>
    <w:rsid w:val="008A4FCF"/>
    <w:rsid w:val="008A5517"/>
    <w:rsid w:val="008A629C"/>
    <w:rsid w:val="008A62ED"/>
    <w:rsid w:val="008A6611"/>
    <w:rsid w:val="008A7517"/>
    <w:rsid w:val="008A75CA"/>
    <w:rsid w:val="008A7CE6"/>
    <w:rsid w:val="008B0129"/>
    <w:rsid w:val="008B04CC"/>
    <w:rsid w:val="008B1499"/>
    <w:rsid w:val="008B1DBA"/>
    <w:rsid w:val="008B2CD7"/>
    <w:rsid w:val="008B315C"/>
    <w:rsid w:val="008B3262"/>
    <w:rsid w:val="008B3AEA"/>
    <w:rsid w:val="008B3F9E"/>
    <w:rsid w:val="008B43D2"/>
    <w:rsid w:val="008B5723"/>
    <w:rsid w:val="008B6459"/>
    <w:rsid w:val="008B6A43"/>
    <w:rsid w:val="008B6BBB"/>
    <w:rsid w:val="008B7128"/>
    <w:rsid w:val="008B7148"/>
    <w:rsid w:val="008B79B5"/>
    <w:rsid w:val="008C11B5"/>
    <w:rsid w:val="008C1429"/>
    <w:rsid w:val="008C1CAA"/>
    <w:rsid w:val="008C2093"/>
    <w:rsid w:val="008C3AF5"/>
    <w:rsid w:val="008C3B6F"/>
    <w:rsid w:val="008C4AB3"/>
    <w:rsid w:val="008C4C0C"/>
    <w:rsid w:val="008C4E7A"/>
    <w:rsid w:val="008C51AA"/>
    <w:rsid w:val="008C5E22"/>
    <w:rsid w:val="008C6B0A"/>
    <w:rsid w:val="008C6FAB"/>
    <w:rsid w:val="008C7006"/>
    <w:rsid w:val="008C74D7"/>
    <w:rsid w:val="008D023F"/>
    <w:rsid w:val="008D1C0E"/>
    <w:rsid w:val="008D1F4D"/>
    <w:rsid w:val="008D2141"/>
    <w:rsid w:val="008D267F"/>
    <w:rsid w:val="008D3E24"/>
    <w:rsid w:val="008D4C43"/>
    <w:rsid w:val="008D5283"/>
    <w:rsid w:val="008D5813"/>
    <w:rsid w:val="008D643D"/>
    <w:rsid w:val="008D72D8"/>
    <w:rsid w:val="008D75D4"/>
    <w:rsid w:val="008D7ED7"/>
    <w:rsid w:val="008E0BF5"/>
    <w:rsid w:val="008E0D28"/>
    <w:rsid w:val="008E0E2D"/>
    <w:rsid w:val="008E0FF2"/>
    <w:rsid w:val="008E17D3"/>
    <w:rsid w:val="008E20B5"/>
    <w:rsid w:val="008E216A"/>
    <w:rsid w:val="008E254D"/>
    <w:rsid w:val="008E3A89"/>
    <w:rsid w:val="008E43F0"/>
    <w:rsid w:val="008E46C8"/>
    <w:rsid w:val="008E4766"/>
    <w:rsid w:val="008E4D78"/>
    <w:rsid w:val="008E4ECD"/>
    <w:rsid w:val="008E565B"/>
    <w:rsid w:val="008E5AE1"/>
    <w:rsid w:val="008E5DC6"/>
    <w:rsid w:val="008E6A06"/>
    <w:rsid w:val="008E7D00"/>
    <w:rsid w:val="008F0AEC"/>
    <w:rsid w:val="008F1735"/>
    <w:rsid w:val="008F199A"/>
    <w:rsid w:val="008F20A6"/>
    <w:rsid w:val="008F21B9"/>
    <w:rsid w:val="008F2290"/>
    <w:rsid w:val="008F3069"/>
    <w:rsid w:val="008F3081"/>
    <w:rsid w:val="008F3220"/>
    <w:rsid w:val="008F3EB5"/>
    <w:rsid w:val="008F3FDD"/>
    <w:rsid w:val="008F48E4"/>
    <w:rsid w:val="008F57B4"/>
    <w:rsid w:val="008F5D4D"/>
    <w:rsid w:val="008F6150"/>
    <w:rsid w:val="008F61F5"/>
    <w:rsid w:val="008F6815"/>
    <w:rsid w:val="008F68DD"/>
    <w:rsid w:val="008F6D47"/>
    <w:rsid w:val="008F6D65"/>
    <w:rsid w:val="008F7294"/>
    <w:rsid w:val="008F753D"/>
    <w:rsid w:val="008F77FD"/>
    <w:rsid w:val="008F7BE8"/>
    <w:rsid w:val="008F7DCC"/>
    <w:rsid w:val="0090026E"/>
    <w:rsid w:val="00902873"/>
    <w:rsid w:val="00903223"/>
    <w:rsid w:val="00903D39"/>
    <w:rsid w:val="00906367"/>
    <w:rsid w:val="00906A7C"/>
    <w:rsid w:val="00906C38"/>
    <w:rsid w:val="00907D7D"/>
    <w:rsid w:val="00911177"/>
    <w:rsid w:val="00911B70"/>
    <w:rsid w:val="00911CAB"/>
    <w:rsid w:val="00911CB7"/>
    <w:rsid w:val="00911DCE"/>
    <w:rsid w:val="00911EB7"/>
    <w:rsid w:val="009143AF"/>
    <w:rsid w:val="0091615B"/>
    <w:rsid w:val="00916717"/>
    <w:rsid w:val="009169A7"/>
    <w:rsid w:val="00916E0D"/>
    <w:rsid w:val="0092057E"/>
    <w:rsid w:val="0092070E"/>
    <w:rsid w:val="00920DC5"/>
    <w:rsid w:val="00921775"/>
    <w:rsid w:val="0092227C"/>
    <w:rsid w:val="00922325"/>
    <w:rsid w:val="00922DA1"/>
    <w:rsid w:val="00923484"/>
    <w:rsid w:val="00923F62"/>
    <w:rsid w:val="00924149"/>
    <w:rsid w:val="00924326"/>
    <w:rsid w:val="00924BC0"/>
    <w:rsid w:val="00925060"/>
    <w:rsid w:val="009258EF"/>
    <w:rsid w:val="00925F90"/>
    <w:rsid w:val="00926145"/>
    <w:rsid w:val="00926D78"/>
    <w:rsid w:val="0092705D"/>
    <w:rsid w:val="009276DB"/>
    <w:rsid w:val="00931C1B"/>
    <w:rsid w:val="009333C8"/>
    <w:rsid w:val="00933AE3"/>
    <w:rsid w:val="00933EA4"/>
    <w:rsid w:val="009349CE"/>
    <w:rsid w:val="00935ED2"/>
    <w:rsid w:val="009374A9"/>
    <w:rsid w:val="00937AF1"/>
    <w:rsid w:val="00937D3F"/>
    <w:rsid w:val="009427CB"/>
    <w:rsid w:val="00942D7F"/>
    <w:rsid w:val="00943918"/>
    <w:rsid w:val="00943EF4"/>
    <w:rsid w:val="00944229"/>
    <w:rsid w:val="00944786"/>
    <w:rsid w:val="00944827"/>
    <w:rsid w:val="00945062"/>
    <w:rsid w:val="0094570A"/>
    <w:rsid w:val="00946811"/>
    <w:rsid w:val="00946E3C"/>
    <w:rsid w:val="00946F27"/>
    <w:rsid w:val="00950342"/>
    <w:rsid w:val="00950526"/>
    <w:rsid w:val="00950718"/>
    <w:rsid w:val="00950AD6"/>
    <w:rsid w:val="009520C4"/>
    <w:rsid w:val="00952195"/>
    <w:rsid w:val="00952FE8"/>
    <w:rsid w:val="00953127"/>
    <w:rsid w:val="00953BAB"/>
    <w:rsid w:val="009542B0"/>
    <w:rsid w:val="00954E34"/>
    <w:rsid w:val="00954E8E"/>
    <w:rsid w:val="009551A9"/>
    <w:rsid w:val="00955ECC"/>
    <w:rsid w:val="00956D77"/>
    <w:rsid w:val="0095714B"/>
    <w:rsid w:val="00957B79"/>
    <w:rsid w:val="00957FAA"/>
    <w:rsid w:val="00960884"/>
    <w:rsid w:val="00960D22"/>
    <w:rsid w:val="0096221B"/>
    <w:rsid w:val="009623F9"/>
    <w:rsid w:val="009627EA"/>
    <w:rsid w:val="009628BB"/>
    <w:rsid w:val="00963CBE"/>
    <w:rsid w:val="009659A5"/>
    <w:rsid w:val="00967D0E"/>
    <w:rsid w:val="00971A2A"/>
    <w:rsid w:val="00971E92"/>
    <w:rsid w:val="0097231E"/>
    <w:rsid w:val="00972ABA"/>
    <w:rsid w:val="0097371E"/>
    <w:rsid w:val="00973B1D"/>
    <w:rsid w:val="00973E19"/>
    <w:rsid w:val="00974B70"/>
    <w:rsid w:val="0097536F"/>
    <w:rsid w:val="00975A29"/>
    <w:rsid w:val="009761C9"/>
    <w:rsid w:val="009771EF"/>
    <w:rsid w:val="00977DC7"/>
    <w:rsid w:val="00980317"/>
    <w:rsid w:val="009815B3"/>
    <w:rsid w:val="0098306F"/>
    <w:rsid w:val="00983633"/>
    <w:rsid w:val="00984337"/>
    <w:rsid w:val="00984362"/>
    <w:rsid w:val="00984716"/>
    <w:rsid w:val="00984EF6"/>
    <w:rsid w:val="0098505F"/>
    <w:rsid w:val="009852DD"/>
    <w:rsid w:val="00986B06"/>
    <w:rsid w:val="00986C25"/>
    <w:rsid w:val="00987114"/>
    <w:rsid w:val="00987EC1"/>
    <w:rsid w:val="00990E25"/>
    <w:rsid w:val="009919F0"/>
    <w:rsid w:val="00992388"/>
    <w:rsid w:val="00992AFE"/>
    <w:rsid w:val="00992C9A"/>
    <w:rsid w:val="00993026"/>
    <w:rsid w:val="00993744"/>
    <w:rsid w:val="0099399F"/>
    <w:rsid w:val="009945B6"/>
    <w:rsid w:val="00994971"/>
    <w:rsid w:val="00994CA6"/>
    <w:rsid w:val="00994F18"/>
    <w:rsid w:val="00997C72"/>
    <w:rsid w:val="00997CCF"/>
    <w:rsid w:val="009A01F1"/>
    <w:rsid w:val="009A0F16"/>
    <w:rsid w:val="009A13FA"/>
    <w:rsid w:val="009A176D"/>
    <w:rsid w:val="009A18D4"/>
    <w:rsid w:val="009A419F"/>
    <w:rsid w:val="009A4390"/>
    <w:rsid w:val="009A4A4A"/>
    <w:rsid w:val="009A4CD3"/>
    <w:rsid w:val="009A53B8"/>
    <w:rsid w:val="009A572A"/>
    <w:rsid w:val="009A57D3"/>
    <w:rsid w:val="009A594A"/>
    <w:rsid w:val="009A632C"/>
    <w:rsid w:val="009B1DAF"/>
    <w:rsid w:val="009B20E5"/>
    <w:rsid w:val="009B3382"/>
    <w:rsid w:val="009B3702"/>
    <w:rsid w:val="009B3C22"/>
    <w:rsid w:val="009B4AE6"/>
    <w:rsid w:val="009B4F98"/>
    <w:rsid w:val="009B5205"/>
    <w:rsid w:val="009B5940"/>
    <w:rsid w:val="009B5A83"/>
    <w:rsid w:val="009B5B39"/>
    <w:rsid w:val="009B5C76"/>
    <w:rsid w:val="009B5DA7"/>
    <w:rsid w:val="009B6291"/>
    <w:rsid w:val="009B6B39"/>
    <w:rsid w:val="009C00D6"/>
    <w:rsid w:val="009C053D"/>
    <w:rsid w:val="009C06F1"/>
    <w:rsid w:val="009C0A56"/>
    <w:rsid w:val="009C28A8"/>
    <w:rsid w:val="009C2945"/>
    <w:rsid w:val="009C3769"/>
    <w:rsid w:val="009C3C91"/>
    <w:rsid w:val="009C49A3"/>
    <w:rsid w:val="009C57E0"/>
    <w:rsid w:val="009C5CE5"/>
    <w:rsid w:val="009C620E"/>
    <w:rsid w:val="009C64CE"/>
    <w:rsid w:val="009C6D97"/>
    <w:rsid w:val="009C76C2"/>
    <w:rsid w:val="009C79C3"/>
    <w:rsid w:val="009C7A94"/>
    <w:rsid w:val="009C7BD5"/>
    <w:rsid w:val="009D046C"/>
    <w:rsid w:val="009D0A6E"/>
    <w:rsid w:val="009D0DE8"/>
    <w:rsid w:val="009D132C"/>
    <w:rsid w:val="009D150F"/>
    <w:rsid w:val="009D16B2"/>
    <w:rsid w:val="009D1DDF"/>
    <w:rsid w:val="009D22F3"/>
    <w:rsid w:val="009D2A48"/>
    <w:rsid w:val="009D2B68"/>
    <w:rsid w:val="009D2F52"/>
    <w:rsid w:val="009D3863"/>
    <w:rsid w:val="009D4940"/>
    <w:rsid w:val="009D4FF6"/>
    <w:rsid w:val="009D5196"/>
    <w:rsid w:val="009D5D78"/>
    <w:rsid w:val="009D5E97"/>
    <w:rsid w:val="009D7104"/>
    <w:rsid w:val="009D7A55"/>
    <w:rsid w:val="009E0B52"/>
    <w:rsid w:val="009E1C05"/>
    <w:rsid w:val="009E22F9"/>
    <w:rsid w:val="009E2621"/>
    <w:rsid w:val="009E37C9"/>
    <w:rsid w:val="009E3843"/>
    <w:rsid w:val="009E4CF1"/>
    <w:rsid w:val="009E5046"/>
    <w:rsid w:val="009E5050"/>
    <w:rsid w:val="009E52A6"/>
    <w:rsid w:val="009E6ED7"/>
    <w:rsid w:val="009E734C"/>
    <w:rsid w:val="009E745B"/>
    <w:rsid w:val="009E772B"/>
    <w:rsid w:val="009F056D"/>
    <w:rsid w:val="009F0FA0"/>
    <w:rsid w:val="009F135A"/>
    <w:rsid w:val="009F1DC4"/>
    <w:rsid w:val="009F2046"/>
    <w:rsid w:val="009F2D3C"/>
    <w:rsid w:val="009F35DA"/>
    <w:rsid w:val="009F37D8"/>
    <w:rsid w:val="009F3C80"/>
    <w:rsid w:val="009F448B"/>
    <w:rsid w:val="009F4FBB"/>
    <w:rsid w:val="009F57BB"/>
    <w:rsid w:val="009F5B61"/>
    <w:rsid w:val="009F73E3"/>
    <w:rsid w:val="00A00275"/>
    <w:rsid w:val="00A006E1"/>
    <w:rsid w:val="00A006ED"/>
    <w:rsid w:val="00A0140C"/>
    <w:rsid w:val="00A0262F"/>
    <w:rsid w:val="00A0296F"/>
    <w:rsid w:val="00A02F00"/>
    <w:rsid w:val="00A033AD"/>
    <w:rsid w:val="00A0390F"/>
    <w:rsid w:val="00A04612"/>
    <w:rsid w:val="00A049CD"/>
    <w:rsid w:val="00A05182"/>
    <w:rsid w:val="00A0538D"/>
    <w:rsid w:val="00A05B5A"/>
    <w:rsid w:val="00A05E62"/>
    <w:rsid w:val="00A06B93"/>
    <w:rsid w:val="00A06E77"/>
    <w:rsid w:val="00A070D7"/>
    <w:rsid w:val="00A07915"/>
    <w:rsid w:val="00A07A1E"/>
    <w:rsid w:val="00A07B24"/>
    <w:rsid w:val="00A105BD"/>
    <w:rsid w:val="00A107CA"/>
    <w:rsid w:val="00A121A9"/>
    <w:rsid w:val="00A12973"/>
    <w:rsid w:val="00A12A19"/>
    <w:rsid w:val="00A12A2D"/>
    <w:rsid w:val="00A12CD4"/>
    <w:rsid w:val="00A12F56"/>
    <w:rsid w:val="00A131FB"/>
    <w:rsid w:val="00A14058"/>
    <w:rsid w:val="00A142B0"/>
    <w:rsid w:val="00A14864"/>
    <w:rsid w:val="00A14FC6"/>
    <w:rsid w:val="00A151C0"/>
    <w:rsid w:val="00A15B13"/>
    <w:rsid w:val="00A15B38"/>
    <w:rsid w:val="00A17013"/>
    <w:rsid w:val="00A175BF"/>
    <w:rsid w:val="00A178D3"/>
    <w:rsid w:val="00A17913"/>
    <w:rsid w:val="00A20729"/>
    <w:rsid w:val="00A208EB"/>
    <w:rsid w:val="00A20E69"/>
    <w:rsid w:val="00A21075"/>
    <w:rsid w:val="00A21B0D"/>
    <w:rsid w:val="00A2221C"/>
    <w:rsid w:val="00A22ADF"/>
    <w:rsid w:val="00A22E0B"/>
    <w:rsid w:val="00A230C9"/>
    <w:rsid w:val="00A23503"/>
    <w:rsid w:val="00A23BF3"/>
    <w:rsid w:val="00A243BB"/>
    <w:rsid w:val="00A248B9"/>
    <w:rsid w:val="00A24DED"/>
    <w:rsid w:val="00A25171"/>
    <w:rsid w:val="00A25383"/>
    <w:rsid w:val="00A254DB"/>
    <w:rsid w:val="00A25723"/>
    <w:rsid w:val="00A2645A"/>
    <w:rsid w:val="00A267D8"/>
    <w:rsid w:val="00A273D0"/>
    <w:rsid w:val="00A27827"/>
    <w:rsid w:val="00A27912"/>
    <w:rsid w:val="00A304D9"/>
    <w:rsid w:val="00A30C3C"/>
    <w:rsid w:val="00A31BC7"/>
    <w:rsid w:val="00A320E1"/>
    <w:rsid w:val="00A32990"/>
    <w:rsid w:val="00A32B96"/>
    <w:rsid w:val="00A34940"/>
    <w:rsid w:val="00A34C18"/>
    <w:rsid w:val="00A34FD4"/>
    <w:rsid w:val="00A35217"/>
    <w:rsid w:val="00A357A3"/>
    <w:rsid w:val="00A36388"/>
    <w:rsid w:val="00A36548"/>
    <w:rsid w:val="00A36F35"/>
    <w:rsid w:val="00A371D6"/>
    <w:rsid w:val="00A418EA"/>
    <w:rsid w:val="00A41B39"/>
    <w:rsid w:val="00A43268"/>
    <w:rsid w:val="00A43A65"/>
    <w:rsid w:val="00A44019"/>
    <w:rsid w:val="00A4438E"/>
    <w:rsid w:val="00A44B41"/>
    <w:rsid w:val="00A458BB"/>
    <w:rsid w:val="00A4598A"/>
    <w:rsid w:val="00A464D2"/>
    <w:rsid w:val="00A46B26"/>
    <w:rsid w:val="00A46DA7"/>
    <w:rsid w:val="00A5023E"/>
    <w:rsid w:val="00A50796"/>
    <w:rsid w:val="00A514A2"/>
    <w:rsid w:val="00A5150F"/>
    <w:rsid w:val="00A51634"/>
    <w:rsid w:val="00A5379A"/>
    <w:rsid w:val="00A53F40"/>
    <w:rsid w:val="00A54146"/>
    <w:rsid w:val="00A542D3"/>
    <w:rsid w:val="00A54D40"/>
    <w:rsid w:val="00A565E6"/>
    <w:rsid w:val="00A57383"/>
    <w:rsid w:val="00A60382"/>
    <w:rsid w:val="00A60A74"/>
    <w:rsid w:val="00A60ADD"/>
    <w:rsid w:val="00A61CA4"/>
    <w:rsid w:val="00A62280"/>
    <w:rsid w:val="00A627AB"/>
    <w:rsid w:val="00A62875"/>
    <w:rsid w:val="00A638BD"/>
    <w:rsid w:val="00A63CBB"/>
    <w:rsid w:val="00A63F72"/>
    <w:rsid w:val="00A660FB"/>
    <w:rsid w:val="00A66487"/>
    <w:rsid w:val="00A665E5"/>
    <w:rsid w:val="00A66B64"/>
    <w:rsid w:val="00A66F93"/>
    <w:rsid w:val="00A678C9"/>
    <w:rsid w:val="00A67A61"/>
    <w:rsid w:val="00A67D04"/>
    <w:rsid w:val="00A7033C"/>
    <w:rsid w:val="00A711EC"/>
    <w:rsid w:val="00A718FE"/>
    <w:rsid w:val="00A7295C"/>
    <w:rsid w:val="00A73553"/>
    <w:rsid w:val="00A7447D"/>
    <w:rsid w:val="00A74D4A"/>
    <w:rsid w:val="00A753EB"/>
    <w:rsid w:val="00A75B36"/>
    <w:rsid w:val="00A76A6D"/>
    <w:rsid w:val="00A77248"/>
    <w:rsid w:val="00A778B7"/>
    <w:rsid w:val="00A806BF"/>
    <w:rsid w:val="00A806E1"/>
    <w:rsid w:val="00A8162A"/>
    <w:rsid w:val="00A82A7D"/>
    <w:rsid w:val="00A8315B"/>
    <w:rsid w:val="00A831F9"/>
    <w:rsid w:val="00A83540"/>
    <w:rsid w:val="00A835B9"/>
    <w:rsid w:val="00A841E4"/>
    <w:rsid w:val="00A84BF3"/>
    <w:rsid w:val="00A85150"/>
    <w:rsid w:val="00A851BE"/>
    <w:rsid w:val="00A85542"/>
    <w:rsid w:val="00A85C75"/>
    <w:rsid w:val="00A86960"/>
    <w:rsid w:val="00A86BF9"/>
    <w:rsid w:val="00A870FA"/>
    <w:rsid w:val="00A87260"/>
    <w:rsid w:val="00A87E54"/>
    <w:rsid w:val="00A9086D"/>
    <w:rsid w:val="00A90884"/>
    <w:rsid w:val="00A91E5D"/>
    <w:rsid w:val="00A92760"/>
    <w:rsid w:val="00A92ACE"/>
    <w:rsid w:val="00A92E88"/>
    <w:rsid w:val="00A931BF"/>
    <w:rsid w:val="00A94377"/>
    <w:rsid w:val="00A94637"/>
    <w:rsid w:val="00A94787"/>
    <w:rsid w:val="00A9499E"/>
    <w:rsid w:val="00A958C7"/>
    <w:rsid w:val="00A95AB4"/>
    <w:rsid w:val="00A95AE4"/>
    <w:rsid w:val="00A966CF"/>
    <w:rsid w:val="00A96E1A"/>
    <w:rsid w:val="00A96E22"/>
    <w:rsid w:val="00A97CB9"/>
    <w:rsid w:val="00AA04B7"/>
    <w:rsid w:val="00AA0C5C"/>
    <w:rsid w:val="00AA167F"/>
    <w:rsid w:val="00AA217B"/>
    <w:rsid w:val="00AA4C18"/>
    <w:rsid w:val="00AA521A"/>
    <w:rsid w:val="00AA5D5A"/>
    <w:rsid w:val="00AA69AC"/>
    <w:rsid w:val="00AA6B99"/>
    <w:rsid w:val="00AA6DD1"/>
    <w:rsid w:val="00AA6DE1"/>
    <w:rsid w:val="00AA7319"/>
    <w:rsid w:val="00AA751D"/>
    <w:rsid w:val="00AA7594"/>
    <w:rsid w:val="00AA769E"/>
    <w:rsid w:val="00AB07E6"/>
    <w:rsid w:val="00AB1259"/>
    <w:rsid w:val="00AB152B"/>
    <w:rsid w:val="00AB15EA"/>
    <w:rsid w:val="00AB1C3F"/>
    <w:rsid w:val="00AB21C8"/>
    <w:rsid w:val="00AB29EB"/>
    <w:rsid w:val="00AB2E06"/>
    <w:rsid w:val="00AB2F9E"/>
    <w:rsid w:val="00AB3DD9"/>
    <w:rsid w:val="00AB4AEE"/>
    <w:rsid w:val="00AB559E"/>
    <w:rsid w:val="00AB5929"/>
    <w:rsid w:val="00AB5F8E"/>
    <w:rsid w:val="00AB60DB"/>
    <w:rsid w:val="00AB7C77"/>
    <w:rsid w:val="00AB7D69"/>
    <w:rsid w:val="00AC02A3"/>
    <w:rsid w:val="00AC07E9"/>
    <w:rsid w:val="00AC0EDE"/>
    <w:rsid w:val="00AC159C"/>
    <w:rsid w:val="00AC1C06"/>
    <w:rsid w:val="00AC2016"/>
    <w:rsid w:val="00AC353D"/>
    <w:rsid w:val="00AC3633"/>
    <w:rsid w:val="00AC3EBE"/>
    <w:rsid w:val="00AC44C1"/>
    <w:rsid w:val="00AC5057"/>
    <w:rsid w:val="00AC5E6E"/>
    <w:rsid w:val="00AC60AE"/>
    <w:rsid w:val="00AC61ED"/>
    <w:rsid w:val="00AC635A"/>
    <w:rsid w:val="00AC674B"/>
    <w:rsid w:val="00AC7B7E"/>
    <w:rsid w:val="00AD01C1"/>
    <w:rsid w:val="00AD08A6"/>
    <w:rsid w:val="00AD0B20"/>
    <w:rsid w:val="00AD138B"/>
    <w:rsid w:val="00AD1717"/>
    <w:rsid w:val="00AD24A8"/>
    <w:rsid w:val="00AD371E"/>
    <w:rsid w:val="00AD39C3"/>
    <w:rsid w:val="00AD3D81"/>
    <w:rsid w:val="00AD6AB9"/>
    <w:rsid w:val="00AD6EE6"/>
    <w:rsid w:val="00AD7053"/>
    <w:rsid w:val="00AD73E3"/>
    <w:rsid w:val="00AE047A"/>
    <w:rsid w:val="00AE08D2"/>
    <w:rsid w:val="00AE094E"/>
    <w:rsid w:val="00AE1019"/>
    <w:rsid w:val="00AE1E04"/>
    <w:rsid w:val="00AE51E7"/>
    <w:rsid w:val="00AE5536"/>
    <w:rsid w:val="00AE6224"/>
    <w:rsid w:val="00AE6331"/>
    <w:rsid w:val="00AE7C4C"/>
    <w:rsid w:val="00AE7DB4"/>
    <w:rsid w:val="00AF0025"/>
    <w:rsid w:val="00AF09FE"/>
    <w:rsid w:val="00AF16E9"/>
    <w:rsid w:val="00AF1D7D"/>
    <w:rsid w:val="00AF1E84"/>
    <w:rsid w:val="00AF2129"/>
    <w:rsid w:val="00AF2EDA"/>
    <w:rsid w:val="00AF3388"/>
    <w:rsid w:val="00AF35D7"/>
    <w:rsid w:val="00AF48C5"/>
    <w:rsid w:val="00AF4AEA"/>
    <w:rsid w:val="00AF5737"/>
    <w:rsid w:val="00AF589E"/>
    <w:rsid w:val="00B002F7"/>
    <w:rsid w:val="00B00951"/>
    <w:rsid w:val="00B01F94"/>
    <w:rsid w:val="00B021A5"/>
    <w:rsid w:val="00B02ECD"/>
    <w:rsid w:val="00B056EE"/>
    <w:rsid w:val="00B057B2"/>
    <w:rsid w:val="00B05BCF"/>
    <w:rsid w:val="00B05D51"/>
    <w:rsid w:val="00B06FC4"/>
    <w:rsid w:val="00B0753F"/>
    <w:rsid w:val="00B07701"/>
    <w:rsid w:val="00B07FD6"/>
    <w:rsid w:val="00B10199"/>
    <w:rsid w:val="00B109F4"/>
    <w:rsid w:val="00B111E8"/>
    <w:rsid w:val="00B11997"/>
    <w:rsid w:val="00B11EA9"/>
    <w:rsid w:val="00B12BF3"/>
    <w:rsid w:val="00B139C3"/>
    <w:rsid w:val="00B13A0F"/>
    <w:rsid w:val="00B13A94"/>
    <w:rsid w:val="00B14338"/>
    <w:rsid w:val="00B14642"/>
    <w:rsid w:val="00B148AB"/>
    <w:rsid w:val="00B14C57"/>
    <w:rsid w:val="00B15438"/>
    <w:rsid w:val="00B158AD"/>
    <w:rsid w:val="00B15968"/>
    <w:rsid w:val="00B15FB7"/>
    <w:rsid w:val="00B16CCE"/>
    <w:rsid w:val="00B200C1"/>
    <w:rsid w:val="00B21E19"/>
    <w:rsid w:val="00B2204D"/>
    <w:rsid w:val="00B22FCD"/>
    <w:rsid w:val="00B23316"/>
    <w:rsid w:val="00B23772"/>
    <w:rsid w:val="00B238FC"/>
    <w:rsid w:val="00B23D03"/>
    <w:rsid w:val="00B25371"/>
    <w:rsid w:val="00B253A6"/>
    <w:rsid w:val="00B265E4"/>
    <w:rsid w:val="00B27045"/>
    <w:rsid w:val="00B27AC8"/>
    <w:rsid w:val="00B27C0A"/>
    <w:rsid w:val="00B3005B"/>
    <w:rsid w:val="00B3096D"/>
    <w:rsid w:val="00B30990"/>
    <w:rsid w:val="00B31163"/>
    <w:rsid w:val="00B326C8"/>
    <w:rsid w:val="00B337F5"/>
    <w:rsid w:val="00B345DF"/>
    <w:rsid w:val="00B347F2"/>
    <w:rsid w:val="00B34FB1"/>
    <w:rsid w:val="00B35A61"/>
    <w:rsid w:val="00B365A7"/>
    <w:rsid w:val="00B36AA4"/>
    <w:rsid w:val="00B37784"/>
    <w:rsid w:val="00B37844"/>
    <w:rsid w:val="00B40E58"/>
    <w:rsid w:val="00B413B0"/>
    <w:rsid w:val="00B415A3"/>
    <w:rsid w:val="00B41634"/>
    <w:rsid w:val="00B4212E"/>
    <w:rsid w:val="00B42784"/>
    <w:rsid w:val="00B42B61"/>
    <w:rsid w:val="00B44976"/>
    <w:rsid w:val="00B45068"/>
    <w:rsid w:val="00B453E2"/>
    <w:rsid w:val="00B459BB"/>
    <w:rsid w:val="00B47206"/>
    <w:rsid w:val="00B50320"/>
    <w:rsid w:val="00B50823"/>
    <w:rsid w:val="00B50CEE"/>
    <w:rsid w:val="00B5166F"/>
    <w:rsid w:val="00B52052"/>
    <w:rsid w:val="00B52C02"/>
    <w:rsid w:val="00B52C23"/>
    <w:rsid w:val="00B52E81"/>
    <w:rsid w:val="00B53862"/>
    <w:rsid w:val="00B53B80"/>
    <w:rsid w:val="00B53FF3"/>
    <w:rsid w:val="00B54BB8"/>
    <w:rsid w:val="00B54BBC"/>
    <w:rsid w:val="00B55206"/>
    <w:rsid w:val="00B559AD"/>
    <w:rsid w:val="00B564EC"/>
    <w:rsid w:val="00B56B3B"/>
    <w:rsid w:val="00B573CF"/>
    <w:rsid w:val="00B5759B"/>
    <w:rsid w:val="00B575A2"/>
    <w:rsid w:val="00B57A86"/>
    <w:rsid w:val="00B6005C"/>
    <w:rsid w:val="00B605A3"/>
    <w:rsid w:val="00B60EAA"/>
    <w:rsid w:val="00B61918"/>
    <w:rsid w:val="00B62519"/>
    <w:rsid w:val="00B64015"/>
    <w:rsid w:val="00B65796"/>
    <w:rsid w:val="00B65B52"/>
    <w:rsid w:val="00B67791"/>
    <w:rsid w:val="00B67916"/>
    <w:rsid w:val="00B67CEA"/>
    <w:rsid w:val="00B67D59"/>
    <w:rsid w:val="00B70791"/>
    <w:rsid w:val="00B70BFF"/>
    <w:rsid w:val="00B70DF0"/>
    <w:rsid w:val="00B72B08"/>
    <w:rsid w:val="00B72D41"/>
    <w:rsid w:val="00B73274"/>
    <w:rsid w:val="00B73432"/>
    <w:rsid w:val="00B73A78"/>
    <w:rsid w:val="00B73E3A"/>
    <w:rsid w:val="00B73E7F"/>
    <w:rsid w:val="00B752BB"/>
    <w:rsid w:val="00B75A33"/>
    <w:rsid w:val="00B760E7"/>
    <w:rsid w:val="00B76AB2"/>
    <w:rsid w:val="00B770AD"/>
    <w:rsid w:val="00B7763B"/>
    <w:rsid w:val="00B7777A"/>
    <w:rsid w:val="00B7778B"/>
    <w:rsid w:val="00B800A9"/>
    <w:rsid w:val="00B80264"/>
    <w:rsid w:val="00B802D2"/>
    <w:rsid w:val="00B81062"/>
    <w:rsid w:val="00B81266"/>
    <w:rsid w:val="00B814AF"/>
    <w:rsid w:val="00B81C06"/>
    <w:rsid w:val="00B81E94"/>
    <w:rsid w:val="00B822D8"/>
    <w:rsid w:val="00B824F5"/>
    <w:rsid w:val="00B834B1"/>
    <w:rsid w:val="00B83C32"/>
    <w:rsid w:val="00B8400E"/>
    <w:rsid w:val="00B845D7"/>
    <w:rsid w:val="00B85347"/>
    <w:rsid w:val="00B853E4"/>
    <w:rsid w:val="00B85EA7"/>
    <w:rsid w:val="00B8694C"/>
    <w:rsid w:val="00B86AF6"/>
    <w:rsid w:val="00B8760A"/>
    <w:rsid w:val="00B9057F"/>
    <w:rsid w:val="00B9261E"/>
    <w:rsid w:val="00B92867"/>
    <w:rsid w:val="00B92D57"/>
    <w:rsid w:val="00B92E88"/>
    <w:rsid w:val="00B93105"/>
    <w:rsid w:val="00B9353C"/>
    <w:rsid w:val="00B938BE"/>
    <w:rsid w:val="00B93AB4"/>
    <w:rsid w:val="00B94FD7"/>
    <w:rsid w:val="00B95429"/>
    <w:rsid w:val="00B95DD8"/>
    <w:rsid w:val="00B96AE3"/>
    <w:rsid w:val="00B977DE"/>
    <w:rsid w:val="00BA0304"/>
    <w:rsid w:val="00BA03AD"/>
    <w:rsid w:val="00BA0F63"/>
    <w:rsid w:val="00BA0FC5"/>
    <w:rsid w:val="00BA11BA"/>
    <w:rsid w:val="00BA1420"/>
    <w:rsid w:val="00BA20EB"/>
    <w:rsid w:val="00BA20F5"/>
    <w:rsid w:val="00BA24D8"/>
    <w:rsid w:val="00BA2D4A"/>
    <w:rsid w:val="00BA3056"/>
    <w:rsid w:val="00BA3062"/>
    <w:rsid w:val="00BA3D4A"/>
    <w:rsid w:val="00BA3F15"/>
    <w:rsid w:val="00BA40FF"/>
    <w:rsid w:val="00BA5B3F"/>
    <w:rsid w:val="00BA5DB9"/>
    <w:rsid w:val="00BA5E5C"/>
    <w:rsid w:val="00BA68E5"/>
    <w:rsid w:val="00BA6A36"/>
    <w:rsid w:val="00BA6C56"/>
    <w:rsid w:val="00BA6EE6"/>
    <w:rsid w:val="00BA7061"/>
    <w:rsid w:val="00BA75C4"/>
    <w:rsid w:val="00BA7F3C"/>
    <w:rsid w:val="00BB03DB"/>
    <w:rsid w:val="00BB13FF"/>
    <w:rsid w:val="00BB1ACC"/>
    <w:rsid w:val="00BB1D37"/>
    <w:rsid w:val="00BB1ED4"/>
    <w:rsid w:val="00BB23B4"/>
    <w:rsid w:val="00BB2802"/>
    <w:rsid w:val="00BB2DFD"/>
    <w:rsid w:val="00BB2F60"/>
    <w:rsid w:val="00BB3E9E"/>
    <w:rsid w:val="00BB4DF2"/>
    <w:rsid w:val="00BB4F6B"/>
    <w:rsid w:val="00BB50C2"/>
    <w:rsid w:val="00BB5C90"/>
    <w:rsid w:val="00BB5F12"/>
    <w:rsid w:val="00BB666E"/>
    <w:rsid w:val="00BB7F9C"/>
    <w:rsid w:val="00BC0AAF"/>
    <w:rsid w:val="00BC11F5"/>
    <w:rsid w:val="00BC2DC2"/>
    <w:rsid w:val="00BC332B"/>
    <w:rsid w:val="00BC3831"/>
    <w:rsid w:val="00BC51F3"/>
    <w:rsid w:val="00BC63C8"/>
    <w:rsid w:val="00BC7412"/>
    <w:rsid w:val="00BC7A97"/>
    <w:rsid w:val="00BC7EB1"/>
    <w:rsid w:val="00BD0D12"/>
    <w:rsid w:val="00BD2180"/>
    <w:rsid w:val="00BD2316"/>
    <w:rsid w:val="00BD2508"/>
    <w:rsid w:val="00BD3344"/>
    <w:rsid w:val="00BD395C"/>
    <w:rsid w:val="00BD3BA3"/>
    <w:rsid w:val="00BD4B02"/>
    <w:rsid w:val="00BD50A7"/>
    <w:rsid w:val="00BD65CB"/>
    <w:rsid w:val="00BD66C2"/>
    <w:rsid w:val="00BD7218"/>
    <w:rsid w:val="00BD7234"/>
    <w:rsid w:val="00BD738E"/>
    <w:rsid w:val="00BD7A49"/>
    <w:rsid w:val="00BD7BF4"/>
    <w:rsid w:val="00BE03CB"/>
    <w:rsid w:val="00BE07B0"/>
    <w:rsid w:val="00BE0841"/>
    <w:rsid w:val="00BE0EBF"/>
    <w:rsid w:val="00BE176B"/>
    <w:rsid w:val="00BE29B8"/>
    <w:rsid w:val="00BE2E51"/>
    <w:rsid w:val="00BE3681"/>
    <w:rsid w:val="00BE3AEE"/>
    <w:rsid w:val="00BE3D8C"/>
    <w:rsid w:val="00BE433D"/>
    <w:rsid w:val="00BE599D"/>
    <w:rsid w:val="00BE6032"/>
    <w:rsid w:val="00BE62D7"/>
    <w:rsid w:val="00BE6D27"/>
    <w:rsid w:val="00BE7223"/>
    <w:rsid w:val="00BE73C3"/>
    <w:rsid w:val="00BE7AB4"/>
    <w:rsid w:val="00BE7F9C"/>
    <w:rsid w:val="00BF0FAF"/>
    <w:rsid w:val="00BF1707"/>
    <w:rsid w:val="00BF194E"/>
    <w:rsid w:val="00BF1F09"/>
    <w:rsid w:val="00BF1F84"/>
    <w:rsid w:val="00BF2794"/>
    <w:rsid w:val="00BF2BBE"/>
    <w:rsid w:val="00BF377D"/>
    <w:rsid w:val="00BF3E8C"/>
    <w:rsid w:val="00BF4CB0"/>
    <w:rsid w:val="00BF55B1"/>
    <w:rsid w:val="00BF5649"/>
    <w:rsid w:val="00BF5986"/>
    <w:rsid w:val="00BF5C13"/>
    <w:rsid w:val="00BF6605"/>
    <w:rsid w:val="00BF76F4"/>
    <w:rsid w:val="00C004D4"/>
    <w:rsid w:val="00C010A5"/>
    <w:rsid w:val="00C0116C"/>
    <w:rsid w:val="00C020CD"/>
    <w:rsid w:val="00C020E7"/>
    <w:rsid w:val="00C022E1"/>
    <w:rsid w:val="00C02605"/>
    <w:rsid w:val="00C03195"/>
    <w:rsid w:val="00C03395"/>
    <w:rsid w:val="00C03D3B"/>
    <w:rsid w:val="00C03E8A"/>
    <w:rsid w:val="00C040E5"/>
    <w:rsid w:val="00C045E5"/>
    <w:rsid w:val="00C05866"/>
    <w:rsid w:val="00C05B7E"/>
    <w:rsid w:val="00C06B76"/>
    <w:rsid w:val="00C071E5"/>
    <w:rsid w:val="00C07C93"/>
    <w:rsid w:val="00C106E3"/>
    <w:rsid w:val="00C10A3E"/>
    <w:rsid w:val="00C10EF2"/>
    <w:rsid w:val="00C11641"/>
    <w:rsid w:val="00C12254"/>
    <w:rsid w:val="00C12AC7"/>
    <w:rsid w:val="00C13274"/>
    <w:rsid w:val="00C14CEB"/>
    <w:rsid w:val="00C16639"/>
    <w:rsid w:val="00C170CA"/>
    <w:rsid w:val="00C2000C"/>
    <w:rsid w:val="00C20863"/>
    <w:rsid w:val="00C20D7E"/>
    <w:rsid w:val="00C20E11"/>
    <w:rsid w:val="00C21B42"/>
    <w:rsid w:val="00C22A7E"/>
    <w:rsid w:val="00C22EFB"/>
    <w:rsid w:val="00C22F6C"/>
    <w:rsid w:val="00C232C0"/>
    <w:rsid w:val="00C23A4D"/>
    <w:rsid w:val="00C2404F"/>
    <w:rsid w:val="00C24077"/>
    <w:rsid w:val="00C240A7"/>
    <w:rsid w:val="00C24153"/>
    <w:rsid w:val="00C24260"/>
    <w:rsid w:val="00C25A26"/>
    <w:rsid w:val="00C261E4"/>
    <w:rsid w:val="00C26788"/>
    <w:rsid w:val="00C26927"/>
    <w:rsid w:val="00C279B4"/>
    <w:rsid w:val="00C300BD"/>
    <w:rsid w:val="00C30478"/>
    <w:rsid w:val="00C3177B"/>
    <w:rsid w:val="00C3188A"/>
    <w:rsid w:val="00C32A67"/>
    <w:rsid w:val="00C32FCF"/>
    <w:rsid w:val="00C34042"/>
    <w:rsid w:val="00C341CC"/>
    <w:rsid w:val="00C346DA"/>
    <w:rsid w:val="00C35764"/>
    <w:rsid w:val="00C35CC1"/>
    <w:rsid w:val="00C36293"/>
    <w:rsid w:val="00C36F56"/>
    <w:rsid w:val="00C37716"/>
    <w:rsid w:val="00C37801"/>
    <w:rsid w:val="00C37936"/>
    <w:rsid w:val="00C37C31"/>
    <w:rsid w:val="00C4030D"/>
    <w:rsid w:val="00C40639"/>
    <w:rsid w:val="00C41069"/>
    <w:rsid w:val="00C41198"/>
    <w:rsid w:val="00C41FDA"/>
    <w:rsid w:val="00C425BB"/>
    <w:rsid w:val="00C43518"/>
    <w:rsid w:val="00C43753"/>
    <w:rsid w:val="00C443ED"/>
    <w:rsid w:val="00C44562"/>
    <w:rsid w:val="00C4465B"/>
    <w:rsid w:val="00C448FE"/>
    <w:rsid w:val="00C4692A"/>
    <w:rsid w:val="00C46BD5"/>
    <w:rsid w:val="00C50229"/>
    <w:rsid w:val="00C502AE"/>
    <w:rsid w:val="00C50548"/>
    <w:rsid w:val="00C5126E"/>
    <w:rsid w:val="00C5172C"/>
    <w:rsid w:val="00C51926"/>
    <w:rsid w:val="00C52CCE"/>
    <w:rsid w:val="00C53BF6"/>
    <w:rsid w:val="00C53FDD"/>
    <w:rsid w:val="00C54143"/>
    <w:rsid w:val="00C5472D"/>
    <w:rsid w:val="00C55CAB"/>
    <w:rsid w:val="00C55D46"/>
    <w:rsid w:val="00C56AC9"/>
    <w:rsid w:val="00C57D83"/>
    <w:rsid w:val="00C6036D"/>
    <w:rsid w:val="00C60BF8"/>
    <w:rsid w:val="00C60D76"/>
    <w:rsid w:val="00C610AC"/>
    <w:rsid w:val="00C6174B"/>
    <w:rsid w:val="00C61D34"/>
    <w:rsid w:val="00C62395"/>
    <w:rsid w:val="00C64347"/>
    <w:rsid w:val="00C655CF"/>
    <w:rsid w:val="00C65679"/>
    <w:rsid w:val="00C70007"/>
    <w:rsid w:val="00C7097A"/>
    <w:rsid w:val="00C70B28"/>
    <w:rsid w:val="00C7107A"/>
    <w:rsid w:val="00C71433"/>
    <w:rsid w:val="00C715E9"/>
    <w:rsid w:val="00C71BD0"/>
    <w:rsid w:val="00C72031"/>
    <w:rsid w:val="00C732AF"/>
    <w:rsid w:val="00C73747"/>
    <w:rsid w:val="00C744CB"/>
    <w:rsid w:val="00C7473F"/>
    <w:rsid w:val="00C75152"/>
    <w:rsid w:val="00C759F0"/>
    <w:rsid w:val="00C76B07"/>
    <w:rsid w:val="00C77685"/>
    <w:rsid w:val="00C7773F"/>
    <w:rsid w:val="00C81A5C"/>
    <w:rsid w:val="00C82FE2"/>
    <w:rsid w:val="00C83A5F"/>
    <w:rsid w:val="00C840C1"/>
    <w:rsid w:val="00C84DF8"/>
    <w:rsid w:val="00C85426"/>
    <w:rsid w:val="00C87096"/>
    <w:rsid w:val="00C872CE"/>
    <w:rsid w:val="00C87646"/>
    <w:rsid w:val="00C90B01"/>
    <w:rsid w:val="00C90BA9"/>
    <w:rsid w:val="00C92CBF"/>
    <w:rsid w:val="00C93178"/>
    <w:rsid w:val="00C949C3"/>
    <w:rsid w:val="00C949F2"/>
    <w:rsid w:val="00C9553C"/>
    <w:rsid w:val="00C95ED3"/>
    <w:rsid w:val="00C96385"/>
    <w:rsid w:val="00C96985"/>
    <w:rsid w:val="00C97189"/>
    <w:rsid w:val="00C97219"/>
    <w:rsid w:val="00C977E8"/>
    <w:rsid w:val="00C97F56"/>
    <w:rsid w:val="00CA0A15"/>
    <w:rsid w:val="00CA2860"/>
    <w:rsid w:val="00CA2D9D"/>
    <w:rsid w:val="00CA31B9"/>
    <w:rsid w:val="00CA4190"/>
    <w:rsid w:val="00CA4441"/>
    <w:rsid w:val="00CA501C"/>
    <w:rsid w:val="00CA58AB"/>
    <w:rsid w:val="00CA6C32"/>
    <w:rsid w:val="00CA6E71"/>
    <w:rsid w:val="00CB0130"/>
    <w:rsid w:val="00CB1126"/>
    <w:rsid w:val="00CB1226"/>
    <w:rsid w:val="00CB129A"/>
    <w:rsid w:val="00CB12F9"/>
    <w:rsid w:val="00CB2EAB"/>
    <w:rsid w:val="00CB38BB"/>
    <w:rsid w:val="00CB3A76"/>
    <w:rsid w:val="00CB437D"/>
    <w:rsid w:val="00CB4C52"/>
    <w:rsid w:val="00CB53C0"/>
    <w:rsid w:val="00CB5744"/>
    <w:rsid w:val="00CB594F"/>
    <w:rsid w:val="00CB5A9F"/>
    <w:rsid w:val="00CB5D2E"/>
    <w:rsid w:val="00CB5D46"/>
    <w:rsid w:val="00CB60C3"/>
    <w:rsid w:val="00CB6EDF"/>
    <w:rsid w:val="00CC1512"/>
    <w:rsid w:val="00CC19EC"/>
    <w:rsid w:val="00CC2120"/>
    <w:rsid w:val="00CC217D"/>
    <w:rsid w:val="00CC2D2B"/>
    <w:rsid w:val="00CC2F1F"/>
    <w:rsid w:val="00CC3653"/>
    <w:rsid w:val="00CC37F6"/>
    <w:rsid w:val="00CC3AD3"/>
    <w:rsid w:val="00CC4046"/>
    <w:rsid w:val="00CC56B4"/>
    <w:rsid w:val="00CC6103"/>
    <w:rsid w:val="00CC647E"/>
    <w:rsid w:val="00CC7981"/>
    <w:rsid w:val="00CC7ADF"/>
    <w:rsid w:val="00CD1030"/>
    <w:rsid w:val="00CD1804"/>
    <w:rsid w:val="00CD3688"/>
    <w:rsid w:val="00CD3BC8"/>
    <w:rsid w:val="00CD3BCF"/>
    <w:rsid w:val="00CD3C2D"/>
    <w:rsid w:val="00CD419D"/>
    <w:rsid w:val="00CD4707"/>
    <w:rsid w:val="00CD4731"/>
    <w:rsid w:val="00CD5DD0"/>
    <w:rsid w:val="00CD5E69"/>
    <w:rsid w:val="00CD682E"/>
    <w:rsid w:val="00CD694B"/>
    <w:rsid w:val="00CD702F"/>
    <w:rsid w:val="00CE0EAA"/>
    <w:rsid w:val="00CE1C68"/>
    <w:rsid w:val="00CE20FB"/>
    <w:rsid w:val="00CE2245"/>
    <w:rsid w:val="00CE2D57"/>
    <w:rsid w:val="00CE2D9B"/>
    <w:rsid w:val="00CE2E7C"/>
    <w:rsid w:val="00CE35D8"/>
    <w:rsid w:val="00CE3BC0"/>
    <w:rsid w:val="00CE3D43"/>
    <w:rsid w:val="00CE4221"/>
    <w:rsid w:val="00CE4658"/>
    <w:rsid w:val="00CE4C9C"/>
    <w:rsid w:val="00CE4E44"/>
    <w:rsid w:val="00CE7303"/>
    <w:rsid w:val="00CE732E"/>
    <w:rsid w:val="00CE7462"/>
    <w:rsid w:val="00CE7515"/>
    <w:rsid w:val="00CE7C0A"/>
    <w:rsid w:val="00CF0587"/>
    <w:rsid w:val="00CF0C24"/>
    <w:rsid w:val="00CF1FF6"/>
    <w:rsid w:val="00CF2A58"/>
    <w:rsid w:val="00CF2D9E"/>
    <w:rsid w:val="00CF31C3"/>
    <w:rsid w:val="00CF36B1"/>
    <w:rsid w:val="00CF3742"/>
    <w:rsid w:val="00CF43A9"/>
    <w:rsid w:val="00CF45D1"/>
    <w:rsid w:val="00CF4756"/>
    <w:rsid w:val="00CF58FF"/>
    <w:rsid w:val="00CF5B96"/>
    <w:rsid w:val="00CF6241"/>
    <w:rsid w:val="00CF6E19"/>
    <w:rsid w:val="00D0007C"/>
    <w:rsid w:val="00D00512"/>
    <w:rsid w:val="00D007A5"/>
    <w:rsid w:val="00D00CD0"/>
    <w:rsid w:val="00D01062"/>
    <w:rsid w:val="00D011BA"/>
    <w:rsid w:val="00D014E7"/>
    <w:rsid w:val="00D01747"/>
    <w:rsid w:val="00D01B11"/>
    <w:rsid w:val="00D01C92"/>
    <w:rsid w:val="00D02CFD"/>
    <w:rsid w:val="00D02DBE"/>
    <w:rsid w:val="00D048D1"/>
    <w:rsid w:val="00D04A05"/>
    <w:rsid w:val="00D0578C"/>
    <w:rsid w:val="00D05904"/>
    <w:rsid w:val="00D06F3B"/>
    <w:rsid w:val="00D07597"/>
    <w:rsid w:val="00D0F077"/>
    <w:rsid w:val="00D10533"/>
    <w:rsid w:val="00D1088E"/>
    <w:rsid w:val="00D10C55"/>
    <w:rsid w:val="00D10C71"/>
    <w:rsid w:val="00D117AB"/>
    <w:rsid w:val="00D12290"/>
    <w:rsid w:val="00D12926"/>
    <w:rsid w:val="00D1415C"/>
    <w:rsid w:val="00D145A8"/>
    <w:rsid w:val="00D1522E"/>
    <w:rsid w:val="00D15287"/>
    <w:rsid w:val="00D15ECE"/>
    <w:rsid w:val="00D16D28"/>
    <w:rsid w:val="00D16D58"/>
    <w:rsid w:val="00D1751B"/>
    <w:rsid w:val="00D20759"/>
    <w:rsid w:val="00D209B6"/>
    <w:rsid w:val="00D2162D"/>
    <w:rsid w:val="00D21CAA"/>
    <w:rsid w:val="00D22DBC"/>
    <w:rsid w:val="00D230EA"/>
    <w:rsid w:val="00D23128"/>
    <w:rsid w:val="00D2323E"/>
    <w:rsid w:val="00D23423"/>
    <w:rsid w:val="00D25C2D"/>
    <w:rsid w:val="00D262F6"/>
    <w:rsid w:val="00D26B7B"/>
    <w:rsid w:val="00D26D1E"/>
    <w:rsid w:val="00D27045"/>
    <w:rsid w:val="00D27087"/>
    <w:rsid w:val="00D276F1"/>
    <w:rsid w:val="00D30327"/>
    <w:rsid w:val="00D30A40"/>
    <w:rsid w:val="00D30B26"/>
    <w:rsid w:val="00D31074"/>
    <w:rsid w:val="00D3108A"/>
    <w:rsid w:val="00D3146E"/>
    <w:rsid w:val="00D31650"/>
    <w:rsid w:val="00D31DB0"/>
    <w:rsid w:val="00D32087"/>
    <w:rsid w:val="00D32821"/>
    <w:rsid w:val="00D32B62"/>
    <w:rsid w:val="00D32EC3"/>
    <w:rsid w:val="00D3355B"/>
    <w:rsid w:val="00D337FF"/>
    <w:rsid w:val="00D33DA3"/>
    <w:rsid w:val="00D341C8"/>
    <w:rsid w:val="00D34EB0"/>
    <w:rsid w:val="00D35117"/>
    <w:rsid w:val="00D3583A"/>
    <w:rsid w:val="00D36BC1"/>
    <w:rsid w:val="00D3757D"/>
    <w:rsid w:val="00D37CA1"/>
    <w:rsid w:val="00D37D7D"/>
    <w:rsid w:val="00D40ED3"/>
    <w:rsid w:val="00D40FA2"/>
    <w:rsid w:val="00D44D71"/>
    <w:rsid w:val="00D4500F"/>
    <w:rsid w:val="00D45B96"/>
    <w:rsid w:val="00D45CB4"/>
    <w:rsid w:val="00D460F6"/>
    <w:rsid w:val="00D47126"/>
    <w:rsid w:val="00D479A6"/>
    <w:rsid w:val="00D47B64"/>
    <w:rsid w:val="00D47D61"/>
    <w:rsid w:val="00D47DC8"/>
    <w:rsid w:val="00D51108"/>
    <w:rsid w:val="00D51340"/>
    <w:rsid w:val="00D51B70"/>
    <w:rsid w:val="00D51D3D"/>
    <w:rsid w:val="00D524B9"/>
    <w:rsid w:val="00D52D3D"/>
    <w:rsid w:val="00D52D8D"/>
    <w:rsid w:val="00D52ED1"/>
    <w:rsid w:val="00D53550"/>
    <w:rsid w:val="00D5358D"/>
    <w:rsid w:val="00D53F83"/>
    <w:rsid w:val="00D54432"/>
    <w:rsid w:val="00D550B6"/>
    <w:rsid w:val="00D554AF"/>
    <w:rsid w:val="00D555E8"/>
    <w:rsid w:val="00D557A1"/>
    <w:rsid w:val="00D5589E"/>
    <w:rsid w:val="00D57191"/>
    <w:rsid w:val="00D5766D"/>
    <w:rsid w:val="00D600AF"/>
    <w:rsid w:val="00D6054B"/>
    <w:rsid w:val="00D6088E"/>
    <w:rsid w:val="00D61902"/>
    <w:rsid w:val="00D6197E"/>
    <w:rsid w:val="00D61E18"/>
    <w:rsid w:val="00D61F51"/>
    <w:rsid w:val="00D62BBA"/>
    <w:rsid w:val="00D63200"/>
    <w:rsid w:val="00D63646"/>
    <w:rsid w:val="00D63FB7"/>
    <w:rsid w:val="00D64C06"/>
    <w:rsid w:val="00D64EAB"/>
    <w:rsid w:val="00D659A8"/>
    <w:rsid w:val="00D66D72"/>
    <w:rsid w:val="00D67095"/>
    <w:rsid w:val="00D702CB"/>
    <w:rsid w:val="00D706D6"/>
    <w:rsid w:val="00D71AE6"/>
    <w:rsid w:val="00D72087"/>
    <w:rsid w:val="00D7315B"/>
    <w:rsid w:val="00D73871"/>
    <w:rsid w:val="00D75617"/>
    <w:rsid w:val="00D75BE2"/>
    <w:rsid w:val="00D762C8"/>
    <w:rsid w:val="00D769C7"/>
    <w:rsid w:val="00D76A64"/>
    <w:rsid w:val="00D77335"/>
    <w:rsid w:val="00D80C4A"/>
    <w:rsid w:val="00D81105"/>
    <w:rsid w:val="00D8120E"/>
    <w:rsid w:val="00D814F3"/>
    <w:rsid w:val="00D81880"/>
    <w:rsid w:val="00D81A58"/>
    <w:rsid w:val="00D81C93"/>
    <w:rsid w:val="00D81E25"/>
    <w:rsid w:val="00D82301"/>
    <w:rsid w:val="00D83350"/>
    <w:rsid w:val="00D83908"/>
    <w:rsid w:val="00D84E21"/>
    <w:rsid w:val="00D8507C"/>
    <w:rsid w:val="00D851AC"/>
    <w:rsid w:val="00D851F4"/>
    <w:rsid w:val="00D8593E"/>
    <w:rsid w:val="00D86013"/>
    <w:rsid w:val="00D86AED"/>
    <w:rsid w:val="00D871CF"/>
    <w:rsid w:val="00D87402"/>
    <w:rsid w:val="00D87BF0"/>
    <w:rsid w:val="00D90F3C"/>
    <w:rsid w:val="00D9165D"/>
    <w:rsid w:val="00D91F72"/>
    <w:rsid w:val="00D92BB3"/>
    <w:rsid w:val="00D930F9"/>
    <w:rsid w:val="00D931EE"/>
    <w:rsid w:val="00D932A5"/>
    <w:rsid w:val="00D93C1F"/>
    <w:rsid w:val="00D9414C"/>
    <w:rsid w:val="00D9458A"/>
    <w:rsid w:val="00D9555E"/>
    <w:rsid w:val="00D957E1"/>
    <w:rsid w:val="00D958E6"/>
    <w:rsid w:val="00D9640F"/>
    <w:rsid w:val="00D9763E"/>
    <w:rsid w:val="00D97BDB"/>
    <w:rsid w:val="00DA0701"/>
    <w:rsid w:val="00DA090C"/>
    <w:rsid w:val="00DA194F"/>
    <w:rsid w:val="00DA1C50"/>
    <w:rsid w:val="00DA253E"/>
    <w:rsid w:val="00DA34E0"/>
    <w:rsid w:val="00DA68E6"/>
    <w:rsid w:val="00DA6C02"/>
    <w:rsid w:val="00DA6DC3"/>
    <w:rsid w:val="00DA72FE"/>
    <w:rsid w:val="00DA76A6"/>
    <w:rsid w:val="00DA7CF0"/>
    <w:rsid w:val="00DA7EFD"/>
    <w:rsid w:val="00DB07D9"/>
    <w:rsid w:val="00DB0D60"/>
    <w:rsid w:val="00DB123A"/>
    <w:rsid w:val="00DB22E3"/>
    <w:rsid w:val="00DB31A0"/>
    <w:rsid w:val="00DB424B"/>
    <w:rsid w:val="00DB429E"/>
    <w:rsid w:val="00DB4557"/>
    <w:rsid w:val="00DB5879"/>
    <w:rsid w:val="00DB645B"/>
    <w:rsid w:val="00DB6566"/>
    <w:rsid w:val="00DB6B5C"/>
    <w:rsid w:val="00DB6C9C"/>
    <w:rsid w:val="00DB7285"/>
    <w:rsid w:val="00DB7B7B"/>
    <w:rsid w:val="00DC0580"/>
    <w:rsid w:val="00DC1145"/>
    <w:rsid w:val="00DC11DA"/>
    <w:rsid w:val="00DC181D"/>
    <w:rsid w:val="00DC1EE3"/>
    <w:rsid w:val="00DC1F05"/>
    <w:rsid w:val="00DC1FF6"/>
    <w:rsid w:val="00DC2E6C"/>
    <w:rsid w:val="00DC3867"/>
    <w:rsid w:val="00DC4103"/>
    <w:rsid w:val="00DC461F"/>
    <w:rsid w:val="00DC4767"/>
    <w:rsid w:val="00DC483C"/>
    <w:rsid w:val="00DC5B71"/>
    <w:rsid w:val="00DC6BCE"/>
    <w:rsid w:val="00DC74EE"/>
    <w:rsid w:val="00DC7763"/>
    <w:rsid w:val="00DC7E90"/>
    <w:rsid w:val="00DD02EF"/>
    <w:rsid w:val="00DD04F5"/>
    <w:rsid w:val="00DD26BD"/>
    <w:rsid w:val="00DD2756"/>
    <w:rsid w:val="00DD35FB"/>
    <w:rsid w:val="00DD38A0"/>
    <w:rsid w:val="00DD46D2"/>
    <w:rsid w:val="00DD479B"/>
    <w:rsid w:val="00DD690F"/>
    <w:rsid w:val="00DD7931"/>
    <w:rsid w:val="00DD7DDF"/>
    <w:rsid w:val="00DE03BD"/>
    <w:rsid w:val="00DE04B3"/>
    <w:rsid w:val="00DE10A5"/>
    <w:rsid w:val="00DE11FA"/>
    <w:rsid w:val="00DE14CF"/>
    <w:rsid w:val="00DE1FD4"/>
    <w:rsid w:val="00DE26DF"/>
    <w:rsid w:val="00DE2919"/>
    <w:rsid w:val="00DE299F"/>
    <w:rsid w:val="00DE2FEC"/>
    <w:rsid w:val="00DE3711"/>
    <w:rsid w:val="00DE38F2"/>
    <w:rsid w:val="00DE398A"/>
    <w:rsid w:val="00DE40C6"/>
    <w:rsid w:val="00DE4A12"/>
    <w:rsid w:val="00DE4A9F"/>
    <w:rsid w:val="00DE4E23"/>
    <w:rsid w:val="00DE4F67"/>
    <w:rsid w:val="00DE53F0"/>
    <w:rsid w:val="00DE6E2B"/>
    <w:rsid w:val="00DE770A"/>
    <w:rsid w:val="00DF019A"/>
    <w:rsid w:val="00DF0D53"/>
    <w:rsid w:val="00DF1572"/>
    <w:rsid w:val="00DF15FF"/>
    <w:rsid w:val="00DF16A4"/>
    <w:rsid w:val="00DF1B4D"/>
    <w:rsid w:val="00DF3169"/>
    <w:rsid w:val="00DF3969"/>
    <w:rsid w:val="00DF3A19"/>
    <w:rsid w:val="00DF4A0B"/>
    <w:rsid w:val="00DF4E01"/>
    <w:rsid w:val="00DF55F3"/>
    <w:rsid w:val="00DF5B88"/>
    <w:rsid w:val="00DF60ED"/>
    <w:rsid w:val="00DF61B3"/>
    <w:rsid w:val="00DF6B47"/>
    <w:rsid w:val="00E011B1"/>
    <w:rsid w:val="00E01FB1"/>
    <w:rsid w:val="00E0211C"/>
    <w:rsid w:val="00E02428"/>
    <w:rsid w:val="00E03080"/>
    <w:rsid w:val="00E0383E"/>
    <w:rsid w:val="00E03C15"/>
    <w:rsid w:val="00E047B6"/>
    <w:rsid w:val="00E04EE5"/>
    <w:rsid w:val="00E04F33"/>
    <w:rsid w:val="00E05265"/>
    <w:rsid w:val="00E06DD1"/>
    <w:rsid w:val="00E0783B"/>
    <w:rsid w:val="00E07BB6"/>
    <w:rsid w:val="00E1048B"/>
    <w:rsid w:val="00E104BD"/>
    <w:rsid w:val="00E114A8"/>
    <w:rsid w:val="00E11A65"/>
    <w:rsid w:val="00E11F94"/>
    <w:rsid w:val="00E1222C"/>
    <w:rsid w:val="00E132ED"/>
    <w:rsid w:val="00E135B7"/>
    <w:rsid w:val="00E13EB0"/>
    <w:rsid w:val="00E13FC6"/>
    <w:rsid w:val="00E147F7"/>
    <w:rsid w:val="00E14C13"/>
    <w:rsid w:val="00E14E63"/>
    <w:rsid w:val="00E14ED1"/>
    <w:rsid w:val="00E1536B"/>
    <w:rsid w:val="00E159E9"/>
    <w:rsid w:val="00E173F4"/>
    <w:rsid w:val="00E17F12"/>
    <w:rsid w:val="00E208C4"/>
    <w:rsid w:val="00E20A2F"/>
    <w:rsid w:val="00E2155B"/>
    <w:rsid w:val="00E21B08"/>
    <w:rsid w:val="00E22240"/>
    <w:rsid w:val="00E2226E"/>
    <w:rsid w:val="00E231BD"/>
    <w:rsid w:val="00E2331C"/>
    <w:rsid w:val="00E236FF"/>
    <w:rsid w:val="00E23838"/>
    <w:rsid w:val="00E23B8C"/>
    <w:rsid w:val="00E242A6"/>
    <w:rsid w:val="00E24CCC"/>
    <w:rsid w:val="00E24F1D"/>
    <w:rsid w:val="00E25928"/>
    <w:rsid w:val="00E25955"/>
    <w:rsid w:val="00E25A85"/>
    <w:rsid w:val="00E25D19"/>
    <w:rsid w:val="00E26437"/>
    <w:rsid w:val="00E27CF8"/>
    <w:rsid w:val="00E31ABD"/>
    <w:rsid w:val="00E320CB"/>
    <w:rsid w:val="00E3239F"/>
    <w:rsid w:val="00E3252A"/>
    <w:rsid w:val="00E32800"/>
    <w:rsid w:val="00E3289D"/>
    <w:rsid w:val="00E330DC"/>
    <w:rsid w:val="00E342E5"/>
    <w:rsid w:val="00E364B7"/>
    <w:rsid w:val="00E3653C"/>
    <w:rsid w:val="00E36958"/>
    <w:rsid w:val="00E36EB5"/>
    <w:rsid w:val="00E3762E"/>
    <w:rsid w:val="00E378B9"/>
    <w:rsid w:val="00E37B46"/>
    <w:rsid w:val="00E4172E"/>
    <w:rsid w:val="00E41989"/>
    <w:rsid w:val="00E41B6C"/>
    <w:rsid w:val="00E427EF"/>
    <w:rsid w:val="00E428E0"/>
    <w:rsid w:val="00E43F43"/>
    <w:rsid w:val="00E44CF2"/>
    <w:rsid w:val="00E455F9"/>
    <w:rsid w:val="00E46661"/>
    <w:rsid w:val="00E4731F"/>
    <w:rsid w:val="00E47D72"/>
    <w:rsid w:val="00E503D1"/>
    <w:rsid w:val="00E50A57"/>
    <w:rsid w:val="00E5388B"/>
    <w:rsid w:val="00E53D48"/>
    <w:rsid w:val="00E551D4"/>
    <w:rsid w:val="00E558DF"/>
    <w:rsid w:val="00E564CD"/>
    <w:rsid w:val="00E569A4"/>
    <w:rsid w:val="00E570D6"/>
    <w:rsid w:val="00E5780C"/>
    <w:rsid w:val="00E57912"/>
    <w:rsid w:val="00E612E8"/>
    <w:rsid w:val="00E620A3"/>
    <w:rsid w:val="00E62254"/>
    <w:rsid w:val="00E629A5"/>
    <w:rsid w:val="00E63C4A"/>
    <w:rsid w:val="00E6415F"/>
    <w:rsid w:val="00E64A36"/>
    <w:rsid w:val="00E64C51"/>
    <w:rsid w:val="00E6527B"/>
    <w:rsid w:val="00E65730"/>
    <w:rsid w:val="00E65ABE"/>
    <w:rsid w:val="00E65C4D"/>
    <w:rsid w:val="00E664FF"/>
    <w:rsid w:val="00E67254"/>
    <w:rsid w:val="00E7029C"/>
    <w:rsid w:val="00E7139A"/>
    <w:rsid w:val="00E71BB4"/>
    <w:rsid w:val="00E7233D"/>
    <w:rsid w:val="00E729EE"/>
    <w:rsid w:val="00E72BDC"/>
    <w:rsid w:val="00E7478B"/>
    <w:rsid w:val="00E748EA"/>
    <w:rsid w:val="00E74A9E"/>
    <w:rsid w:val="00E74C24"/>
    <w:rsid w:val="00E74F01"/>
    <w:rsid w:val="00E75035"/>
    <w:rsid w:val="00E75710"/>
    <w:rsid w:val="00E75C56"/>
    <w:rsid w:val="00E767A1"/>
    <w:rsid w:val="00E77860"/>
    <w:rsid w:val="00E80778"/>
    <w:rsid w:val="00E80E5D"/>
    <w:rsid w:val="00E81E9E"/>
    <w:rsid w:val="00E82432"/>
    <w:rsid w:val="00E827FF"/>
    <w:rsid w:val="00E829EE"/>
    <w:rsid w:val="00E82CEC"/>
    <w:rsid w:val="00E84895"/>
    <w:rsid w:val="00E84BDC"/>
    <w:rsid w:val="00E84EF6"/>
    <w:rsid w:val="00E852CC"/>
    <w:rsid w:val="00E8577F"/>
    <w:rsid w:val="00E85816"/>
    <w:rsid w:val="00E8650B"/>
    <w:rsid w:val="00E877AE"/>
    <w:rsid w:val="00E87876"/>
    <w:rsid w:val="00E87A50"/>
    <w:rsid w:val="00E9010D"/>
    <w:rsid w:val="00E90E2D"/>
    <w:rsid w:val="00E91FF9"/>
    <w:rsid w:val="00E92403"/>
    <w:rsid w:val="00E928C9"/>
    <w:rsid w:val="00E92E8A"/>
    <w:rsid w:val="00E9333D"/>
    <w:rsid w:val="00E93AA8"/>
    <w:rsid w:val="00E93EC9"/>
    <w:rsid w:val="00E942B7"/>
    <w:rsid w:val="00E94443"/>
    <w:rsid w:val="00E94DA5"/>
    <w:rsid w:val="00E95DEB"/>
    <w:rsid w:val="00E9614F"/>
    <w:rsid w:val="00E96490"/>
    <w:rsid w:val="00E96E71"/>
    <w:rsid w:val="00E97440"/>
    <w:rsid w:val="00E97B5B"/>
    <w:rsid w:val="00E97EBB"/>
    <w:rsid w:val="00EA04E7"/>
    <w:rsid w:val="00EA079A"/>
    <w:rsid w:val="00EA2386"/>
    <w:rsid w:val="00EA2F84"/>
    <w:rsid w:val="00EA343C"/>
    <w:rsid w:val="00EA3AE8"/>
    <w:rsid w:val="00EA3F97"/>
    <w:rsid w:val="00EA653C"/>
    <w:rsid w:val="00EA665B"/>
    <w:rsid w:val="00EA77F1"/>
    <w:rsid w:val="00EB0167"/>
    <w:rsid w:val="00EB0172"/>
    <w:rsid w:val="00EB01D2"/>
    <w:rsid w:val="00EB061C"/>
    <w:rsid w:val="00EB0825"/>
    <w:rsid w:val="00EB0A46"/>
    <w:rsid w:val="00EB0A53"/>
    <w:rsid w:val="00EB12C0"/>
    <w:rsid w:val="00EB158E"/>
    <w:rsid w:val="00EB173D"/>
    <w:rsid w:val="00EB1A74"/>
    <w:rsid w:val="00EB3666"/>
    <w:rsid w:val="00EB3B68"/>
    <w:rsid w:val="00EB533C"/>
    <w:rsid w:val="00EB59C6"/>
    <w:rsid w:val="00EB5DF2"/>
    <w:rsid w:val="00EB68F0"/>
    <w:rsid w:val="00EB6ED2"/>
    <w:rsid w:val="00EB6FAC"/>
    <w:rsid w:val="00EB72C3"/>
    <w:rsid w:val="00EB7FAD"/>
    <w:rsid w:val="00EC070F"/>
    <w:rsid w:val="00EC0EFE"/>
    <w:rsid w:val="00EC103E"/>
    <w:rsid w:val="00EC145E"/>
    <w:rsid w:val="00EC1D7B"/>
    <w:rsid w:val="00EC2172"/>
    <w:rsid w:val="00EC243F"/>
    <w:rsid w:val="00EC2827"/>
    <w:rsid w:val="00EC329F"/>
    <w:rsid w:val="00EC370F"/>
    <w:rsid w:val="00EC3A81"/>
    <w:rsid w:val="00EC3C09"/>
    <w:rsid w:val="00EC52F9"/>
    <w:rsid w:val="00EC707F"/>
    <w:rsid w:val="00EC7145"/>
    <w:rsid w:val="00ED02B7"/>
    <w:rsid w:val="00ED07DB"/>
    <w:rsid w:val="00ED0A4C"/>
    <w:rsid w:val="00ED0BA6"/>
    <w:rsid w:val="00ED175B"/>
    <w:rsid w:val="00ED1EE4"/>
    <w:rsid w:val="00ED20BB"/>
    <w:rsid w:val="00ED23B4"/>
    <w:rsid w:val="00ED252C"/>
    <w:rsid w:val="00ED2B4C"/>
    <w:rsid w:val="00ED3AA9"/>
    <w:rsid w:val="00ED3B99"/>
    <w:rsid w:val="00ED42F4"/>
    <w:rsid w:val="00ED449E"/>
    <w:rsid w:val="00ED470C"/>
    <w:rsid w:val="00ED4BD2"/>
    <w:rsid w:val="00ED4E6D"/>
    <w:rsid w:val="00ED5333"/>
    <w:rsid w:val="00ED5DE6"/>
    <w:rsid w:val="00ED6564"/>
    <w:rsid w:val="00ED689E"/>
    <w:rsid w:val="00ED6B7B"/>
    <w:rsid w:val="00ED6DFB"/>
    <w:rsid w:val="00ED7641"/>
    <w:rsid w:val="00EE091A"/>
    <w:rsid w:val="00EE0EBC"/>
    <w:rsid w:val="00EE11AF"/>
    <w:rsid w:val="00EE1E5E"/>
    <w:rsid w:val="00EE2497"/>
    <w:rsid w:val="00EE3901"/>
    <w:rsid w:val="00EE3A7D"/>
    <w:rsid w:val="00EE3C7E"/>
    <w:rsid w:val="00EE5D53"/>
    <w:rsid w:val="00EE60FD"/>
    <w:rsid w:val="00EE6935"/>
    <w:rsid w:val="00EE787D"/>
    <w:rsid w:val="00EE78B5"/>
    <w:rsid w:val="00EE7E97"/>
    <w:rsid w:val="00EF088D"/>
    <w:rsid w:val="00EF096D"/>
    <w:rsid w:val="00EF0B5A"/>
    <w:rsid w:val="00EF0B60"/>
    <w:rsid w:val="00EF16D9"/>
    <w:rsid w:val="00EF25C3"/>
    <w:rsid w:val="00EF277F"/>
    <w:rsid w:val="00EF27EB"/>
    <w:rsid w:val="00EF45E8"/>
    <w:rsid w:val="00EF4619"/>
    <w:rsid w:val="00EF4BBE"/>
    <w:rsid w:val="00EF4FF4"/>
    <w:rsid w:val="00EF550E"/>
    <w:rsid w:val="00EF5CFE"/>
    <w:rsid w:val="00EF654E"/>
    <w:rsid w:val="00EF691C"/>
    <w:rsid w:val="00EF7634"/>
    <w:rsid w:val="00EF7E34"/>
    <w:rsid w:val="00EF7FBE"/>
    <w:rsid w:val="00F00156"/>
    <w:rsid w:val="00F00EC5"/>
    <w:rsid w:val="00F01998"/>
    <w:rsid w:val="00F01FD8"/>
    <w:rsid w:val="00F0251F"/>
    <w:rsid w:val="00F02C1B"/>
    <w:rsid w:val="00F03FD3"/>
    <w:rsid w:val="00F041AD"/>
    <w:rsid w:val="00F04B67"/>
    <w:rsid w:val="00F04C51"/>
    <w:rsid w:val="00F053D3"/>
    <w:rsid w:val="00F06C08"/>
    <w:rsid w:val="00F07413"/>
    <w:rsid w:val="00F075FD"/>
    <w:rsid w:val="00F07840"/>
    <w:rsid w:val="00F07AA0"/>
    <w:rsid w:val="00F07E51"/>
    <w:rsid w:val="00F07F21"/>
    <w:rsid w:val="00F10B98"/>
    <w:rsid w:val="00F12FE1"/>
    <w:rsid w:val="00F13013"/>
    <w:rsid w:val="00F14BBB"/>
    <w:rsid w:val="00F1540D"/>
    <w:rsid w:val="00F15BA2"/>
    <w:rsid w:val="00F15CBB"/>
    <w:rsid w:val="00F16275"/>
    <w:rsid w:val="00F164FB"/>
    <w:rsid w:val="00F16D0F"/>
    <w:rsid w:val="00F1703C"/>
    <w:rsid w:val="00F17080"/>
    <w:rsid w:val="00F176AA"/>
    <w:rsid w:val="00F177C0"/>
    <w:rsid w:val="00F2057F"/>
    <w:rsid w:val="00F217AB"/>
    <w:rsid w:val="00F218C5"/>
    <w:rsid w:val="00F21B57"/>
    <w:rsid w:val="00F21FD4"/>
    <w:rsid w:val="00F22ADF"/>
    <w:rsid w:val="00F22B02"/>
    <w:rsid w:val="00F22E29"/>
    <w:rsid w:val="00F22E72"/>
    <w:rsid w:val="00F230CE"/>
    <w:rsid w:val="00F2405C"/>
    <w:rsid w:val="00F24C56"/>
    <w:rsid w:val="00F25645"/>
    <w:rsid w:val="00F25673"/>
    <w:rsid w:val="00F25CD4"/>
    <w:rsid w:val="00F27606"/>
    <w:rsid w:val="00F27940"/>
    <w:rsid w:val="00F27B06"/>
    <w:rsid w:val="00F3019A"/>
    <w:rsid w:val="00F306B2"/>
    <w:rsid w:val="00F30A07"/>
    <w:rsid w:val="00F30C43"/>
    <w:rsid w:val="00F311EA"/>
    <w:rsid w:val="00F31B5C"/>
    <w:rsid w:val="00F3320C"/>
    <w:rsid w:val="00F334EC"/>
    <w:rsid w:val="00F33D03"/>
    <w:rsid w:val="00F343EF"/>
    <w:rsid w:val="00F34659"/>
    <w:rsid w:val="00F34728"/>
    <w:rsid w:val="00F34A59"/>
    <w:rsid w:val="00F35745"/>
    <w:rsid w:val="00F357F8"/>
    <w:rsid w:val="00F359F6"/>
    <w:rsid w:val="00F37B4F"/>
    <w:rsid w:val="00F40B58"/>
    <w:rsid w:val="00F417C8"/>
    <w:rsid w:val="00F427D1"/>
    <w:rsid w:val="00F42ABB"/>
    <w:rsid w:val="00F42AE3"/>
    <w:rsid w:val="00F42DEC"/>
    <w:rsid w:val="00F43C3D"/>
    <w:rsid w:val="00F43C83"/>
    <w:rsid w:val="00F440CA"/>
    <w:rsid w:val="00F444A3"/>
    <w:rsid w:val="00F44895"/>
    <w:rsid w:val="00F4562D"/>
    <w:rsid w:val="00F463FF"/>
    <w:rsid w:val="00F4652A"/>
    <w:rsid w:val="00F476EF"/>
    <w:rsid w:val="00F47B7F"/>
    <w:rsid w:val="00F47D34"/>
    <w:rsid w:val="00F47DC4"/>
    <w:rsid w:val="00F501B8"/>
    <w:rsid w:val="00F50CBD"/>
    <w:rsid w:val="00F521B1"/>
    <w:rsid w:val="00F5265D"/>
    <w:rsid w:val="00F52945"/>
    <w:rsid w:val="00F54C79"/>
    <w:rsid w:val="00F55137"/>
    <w:rsid w:val="00F552F4"/>
    <w:rsid w:val="00F5742E"/>
    <w:rsid w:val="00F57C58"/>
    <w:rsid w:val="00F604E4"/>
    <w:rsid w:val="00F60C4D"/>
    <w:rsid w:val="00F610FA"/>
    <w:rsid w:val="00F62409"/>
    <w:rsid w:val="00F62616"/>
    <w:rsid w:val="00F63468"/>
    <w:rsid w:val="00F63537"/>
    <w:rsid w:val="00F63B98"/>
    <w:rsid w:val="00F63DBC"/>
    <w:rsid w:val="00F641C9"/>
    <w:rsid w:val="00F66747"/>
    <w:rsid w:val="00F66B11"/>
    <w:rsid w:val="00F67710"/>
    <w:rsid w:val="00F67AE1"/>
    <w:rsid w:val="00F67C94"/>
    <w:rsid w:val="00F67CA4"/>
    <w:rsid w:val="00F70B7B"/>
    <w:rsid w:val="00F70F6D"/>
    <w:rsid w:val="00F71A47"/>
    <w:rsid w:val="00F72C5B"/>
    <w:rsid w:val="00F75326"/>
    <w:rsid w:val="00F7542A"/>
    <w:rsid w:val="00F75951"/>
    <w:rsid w:val="00F76440"/>
    <w:rsid w:val="00F77061"/>
    <w:rsid w:val="00F77432"/>
    <w:rsid w:val="00F77D37"/>
    <w:rsid w:val="00F77FAF"/>
    <w:rsid w:val="00F81937"/>
    <w:rsid w:val="00F81A6D"/>
    <w:rsid w:val="00F82A20"/>
    <w:rsid w:val="00F84C1A"/>
    <w:rsid w:val="00F86441"/>
    <w:rsid w:val="00F86CFF"/>
    <w:rsid w:val="00F8708E"/>
    <w:rsid w:val="00F870D2"/>
    <w:rsid w:val="00F87304"/>
    <w:rsid w:val="00F879E6"/>
    <w:rsid w:val="00F90952"/>
    <w:rsid w:val="00F91876"/>
    <w:rsid w:val="00F91B36"/>
    <w:rsid w:val="00F91F1E"/>
    <w:rsid w:val="00F92146"/>
    <w:rsid w:val="00F9240D"/>
    <w:rsid w:val="00F93C74"/>
    <w:rsid w:val="00F93ED5"/>
    <w:rsid w:val="00F9476C"/>
    <w:rsid w:val="00F95860"/>
    <w:rsid w:val="00F95EA7"/>
    <w:rsid w:val="00F95EA8"/>
    <w:rsid w:val="00F9615C"/>
    <w:rsid w:val="00F96C42"/>
    <w:rsid w:val="00F97614"/>
    <w:rsid w:val="00FA0360"/>
    <w:rsid w:val="00FA097E"/>
    <w:rsid w:val="00FA1130"/>
    <w:rsid w:val="00FA1247"/>
    <w:rsid w:val="00FA17B2"/>
    <w:rsid w:val="00FA1A7C"/>
    <w:rsid w:val="00FA2AD4"/>
    <w:rsid w:val="00FA30E6"/>
    <w:rsid w:val="00FA3A37"/>
    <w:rsid w:val="00FA3D8F"/>
    <w:rsid w:val="00FA482A"/>
    <w:rsid w:val="00FA4E34"/>
    <w:rsid w:val="00FA4F1F"/>
    <w:rsid w:val="00FA6FB6"/>
    <w:rsid w:val="00FA767F"/>
    <w:rsid w:val="00FA7852"/>
    <w:rsid w:val="00FA7C7C"/>
    <w:rsid w:val="00FB00EB"/>
    <w:rsid w:val="00FB0A1A"/>
    <w:rsid w:val="00FB0BF5"/>
    <w:rsid w:val="00FB0CBB"/>
    <w:rsid w:val="00FB10CE"/>
    <w:rsid w:val="00FB1686"/>
    <w:rsid w:val="00FB1716"/>
    <w:rsid w:val="00FB1E8D"/>
    <w:rsid w:val="00FB241C"/>
    <w:rsid w:val="00FB243D"/>
    <w:rsid w:val="00FB2849"/>
    <w:rsid w:val="00FB2D85"/>
    <w:rsid w:val="00FB4081"/>
    <w:rsid w:val="00FB45A8"/>
    <w:rsid w:val="00FB47BD"/>
    <w:rsid w:val="00FB483A"/>
    <w:rsid w:val="00FB4DB4"/>
    <w:rsid w:val="00FB5B6E"/>
    <w:rsid w:val="00FB5EDA"/>
    <w:rsid w:val="00FB64C8"/>
    <w:rsid w:val="00FB6BCB"/>
    <w:rsid w:val="00FB6C20"/>
    <w:rsid w:val="00FB7A9E"/>
    <w:rsid w:val="00FC00AF"/>
    <w:rsid w:val="00FC1285"/>
    <w:rsid w:val="00FC1589"/>
    <w:rsid w:val="00FC1705"/>
    <w:rsid w:val="00FC1CCC"/>
    <w:rsid w:val="00FC2EBB"/>
    <w:rsid w:val="00FC31F9"/>
    <w:rsid w:val="00FC3C88"/>
    <w:rsid w:val="00FC4238"/>
    <w:rsid w:val="00FC6CC9"/>
    <w:rsid w:val="00FC7011"/>
    <w:rsid w:val="00FC7724"/>
    <w:rsid w:val="00FC78AC"/>
    <w:rsid w:val="00FD0556"/>
    <w:rsid w:val="00FD0D78"/>
    <w:rsid w:val="00FD12BB"/>
    <w:rsid w:val="00FD18AB"/>
    <w:rsid w:val="00FD1CD7"/>
    <w:rsid w:val="00FD2683"/>
    <w:rsid w:val="00FD3B96"/>
    <w:rsid w:val="00FD42B9"/>
    <w:rsid w:val="00FD4455"/>
    <w:rsid w:val="00FD4589"/>
    <w:rsid w:val="00FD465F"/>
    <w:rsid w:val="00FD4E2E"/>
    <w:rsid w:val="00FD65C9"/>
    <w:rsid w:val="00FD697B"/>
    <w:rsid w:val="00FD75F3"/>
    <w:rsid w:val="00FD7796"/>
    <w:rsid w:val="00FD7A40"/>
    <w:rsid w:val="00FD7AFA"/>
    <w:rsid w:val="00FD7D5D"/>
    <w:rsid w:val="00FE068C"/>
    <w:rsid w:val="00FE111F"/>
    <w:rsid w:val="00FE37A4"/>
    <w:rsid w:val="00FE3AB4"/>
    <w:rsid w:val="00FE40C3"/>
    <w:rsid w:val="00FE4CA6"/>
    <w:rsid w:val="00FE4F38"/>
    <w:rsid w:val="00FE5D09"/>
    <w:rsid w:val="00FE7367"/>
    <w:rsid w:val="00FE7BCF"/>
    <w:rsid w:val="00FF14A0"/>
    <w:rsid w:val="00FF2467"/>
    <w:rsid w:val="00FF367A"/>
    <w:rsid w:val="00FF3BCF"/>
    <w:rsid w:val="00FF4264"/>
    <w:rsid w:val="00FF52BB"/>
    <w:rsid w:val="00FF55F5"/>
    <w:rsid w:val="00FF565F"/>
    <w:rsid w:val="00FF5739"/>
    <w:rsid w:val="00FF58CF"/>
    <w:rsid w:val="00FF598A"/>
    <w:rsid w:val="00FF5CD5"/>
    <w:rsid w:val="00FF63B1"/>
    <w:rsid w:val="00FF64A8"/>
    <w:rsid w:val="00FF68C8"/>
    <w:rsid w:val="00FF6BFB"/>
    <w:rsid w:val="00FF6CE4"/>
    <w:rsid w:val="0225E819"/>
    <w:rsid w:val="0313CCD5"/>
    <w:rsid w:val="0385727E"/>
    <w:rsid w:val="059AE39A"/>
    <w:rsid w:val="06030225"/>
    <w:rsid w:val="09C27D7F"/>
    <w:rsid w:val="0A1D3173"/>
    <w:rsid w:val="0A974540"/>
    <w:rsid w:val="0F329297"/>
    <w:rsid w:val="0F32F051"/>
    <w:rsid w:val="0F52FE92"/>
    <w:rsid w:val="10B4DEB1"/>
    <w:rsid w:val="10D17AFC"/>
    <w:rsid w:val="12193D06"/>
    <w:rsid w:val="13075EC1"/>
    <w:rsid w:val="132F4B15"/>
    <w:rsid w:val="13447E32"/>
    <w:rsid w:val="13DCF424"/>
    <w:rsid w:val="146E7728"/>
    <w:rsid w:val="168E9333"/>
    <w:rsid w:val="171BE2EE"/>
    <w:rsid w:val="18BDFBC8"/>
    <w:rsid w:val="18E5DB5D"/>
    <w:rsid w:val="19DDC0CB"/>
    <w:rsid w:val="1C938ACB"/>
    <w:rsid w:val="1D9EF62A"/>
    <w:rsid w:val="1DE5D147"/>
    <w:rsid w:val="1ECB2680"/>
    <w:rsid w:val="21CB3180"/>
    <w:rsid w:val="21FDC0AB"/>
    <w:rsid w:val="2330EFEE"/>
    <w:rsid w:val="236C6A7C"/>
    <w:rsid w:val="23920EE5"/>
    <w:rsid w:val="2436E937"/>
    <w:rsid w:val="26360F3F"/>
    <w:rsid w:val="2783507F"/>
    <w:rsid w:val="28350486"/>
    <w:rsid w:val="28745D8D"/>
    <w:rsid w:val="2B3151FC"/>
    <w:rsid w:val="2B8A799A"/>
    <w:rsid w:val="2BDC236C"/>
    <w:rsid w:val="2CBF65C2"/>
    <w:rsid w:val="2D9331BE"/>
    <w:rsid w:val="2E728A28"/>
    <w:rsid w:val="2EA3B11A"/>
    <w:rsid w:val="2EA47462"/>
    <w:rsid w:val="2FA28121"/>
    <w:rsid w:val="30E0E379"/>
    <w:rsid w:val="3179E6E2"/>
    <w:rsid w:val="323F3B7D"/>
    <w:rsid w:val="32B430D4"/>
    <w:rsid w:val="35353041"/>
    <w:rsid w:val="3614599B"/>
    <w:rsid w:val="376022D6"/>
    <w:rsid w:val="37646C5C"/>
    <w:rsid w:val="37A6B9EA"/>
    <w:rsid w:val="37F2C0B1"/>
    <w:rsid w:val="3966EDC7"/>
    <w:rsid w:val="3BE5F41E"/>
    <w:rsid w:val="3CA24C52"/>
    <w:rsid w:val="3D0552AF"/>
    <w:rsid w:val="3D568A18"/>
    <w:rsid w:val="3E4D79EB"/>
    <w:rsid w:val="3E674253"/>
    <w:rsid w:val="40419CB3"/>
    <w:rsid w:val="415F2488"/>
    <w:rsid w:val="41F81C0F"/>
    <w:rsid w:val="44846AAD"/>
    <w:rsid w:val="44D61D3E"/>
    <w:rsid w:val="47113E9A"/>
    <w:rsid w:val="48FEF09F"/>
    <w:rsid w:val="49338BB4"/>
    <w:rsid w:val="4A69AF9E"/>
    <w:rsid w:val="4B5FE5CB"/>
    <w:rsid w:val="4C513CEC"/>
    <w:rsid w:val="4D66F675"/>
    <w:rsid w:val="4DA2BE27"/>
    <w:rsid w:val="4E6F22CA"/>
    <w:rsid w:val="5010F210"/>
    <w:rsid w:val="515A334A"/>
    <w:rsid w:val="51A742D7"/>
    <w:rsid w:val="5214431E"/>
    <w:rsid w:val="52175EC1"/>
    <w:rsid w:val="52351FB5"/>
    <w:rsid w:val="52680931"/>
    <w:rsid w:val="52D92EB6"/>
    <w:rsid w:val="53215943"/>
    <w:rsid w:val="533388A7"/>
    <w:rsid w:val="559DC0C7"/>
    <w:rsid w:val="561C0BAD"/>
    <w:rsid w:val="563C8037"/>
    <w:rsid w:val="56BF8A4F"/>
    <w:rsid w:val="56C3E4B8"/>
    <w:rsid w:val="56CF838B"/>
    <w:rsid w:val="59986E95"/>
    <w:rsid w:val="5B2EE6EA"/>
    <w:rsid w:val="5F5119A6"/>
    <w:rsid w:val="60CFED91"/>
    <w:rsid w:val="60D3B02A"/>
    <w:rsid w:val="621C8802"/>
    <w:rsid w:val="62839947"/>
    <w:rsid w:val="62AF6E2E"/>
    <w:rsid w:val="633673DF"/>
    <w:rsid w:val="6377DC2D"/>
    <w:rsid w:val="64824AD2"/>
    <w:rsid w:val="656D33A9"/>
    <w:rsid w:val="668D6162"/>
    <w:rsid w:val="66A7BCF9"/>
    <w:rsid w:val="67549374"/>
    <w:rsid w:val="68280D41"/>
    <w:rsid w:val="69B314AF"/>
    <w:rsid w:val="69FC6985"/>
    <w:rsid w:val="6B77CD97"/>
    <w:rsid w:val="6BA358C2"/>
    <w:rsid w:val="6BA71B02"/>
    <w:rsid w:val="6CB6756C"/>
    <w:rsid w:val="6E19AFFD"/>
    <w:rsid w:val="6E28F060"/>
    <w:rsid w:val="6E3A61A9"/>
    <w:rsid w:val="6EC7477B"/>
    <w:rsid w:val="701FB4D3"/>
    <w:rsid w:val="70901BC9"/>
    <w:rsid w:val="7281C74D"/>
    <w:rsid w:val="730B8F93"/>
    <w:rsid w:val="7342800F"/>
    <w:rsid w:val="739E300F"/>
    <w:rsid w:val="75284CDE"/>
    <w:rsid w:val="7634F0F5"/>
    <w:rsid w:val="76748F6C"/>
    <w:rsid w:val="768DAA06"/>
    <w:rsid w:val="76C3E74B"/>
    <w:rsid w:val="786B8B83"/>
    <w:rsid w:val="78A43D28"/>
    <w:rsid w:val="7AB2A3C4"/>
    <w:rsid w:val="7AC11573"/>
    <w:rsid w:val="7AF35366"/>
    <w:rsid w:val="7BE8686A"/>
    <w:rsid w:val="7CC207EA"/>
    <w:rsid w:val="7CE0FAA8"/>
    <w:rsid w:val="7DCE4B49"/>
    <w:rsid w:val="7FD52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A5FB5D"/>
  <w15:docId w15:val="{EB7D6BFC-CD2B-47C4-9554-20770B87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A1"/>
    <w:rPr>
      <w:rFonts w:cs="Arial"/>
      <w:sz w:val="24"/>
    </w:rPr>
  </w:style>
  <w:style w:type="paragraph" w:styleId="Heading1">
    <w:name w:val="heading 1"/>
    <w:basedOn w:val="Normal"/>
    <w:next w:val="Normal"/>
    <w:qFormat/>
    <w:rsid w:val="00D557A1"/>
    <w:pPr>
      <w:keepNext/>
      <w:tabs>
        <w:tab w:val="num" w:pos="360"/>
      </w:tabs>
      <w:spacing w:before="480" w:after="240"/>
      <w:outlineLvl w:val="0"/>
    </w:pPr>
    <w:rPr>
      <w:b/>
      <w:bCs/>
      <w:caps/>
      <w:kern w:val="32"/>
      <w:sz w:val="28"/>
      <w:szCs w:val="32"/>
    </w:rPr>
  </w:style>
  <w:style w:type="paragraph" w:styleId="Heading2">
    <w:name w:val="heading 2"/>
    <w:basedOn w:val="Normal"/>
    <w:next w:val="Normal"/>
    <w:qFormat/>
    <w:rsid w:val="00D557A1"/>
    <w:pPr>
      <w:keepNext/>
      <w:tabs>
        <w:tab w:val="num" w:pos="360"/>
      </w:tabs>
      <w:spacing w:before="120" w:after="120"/>
      <w:outlineLvl w:val="1"/>
    </w:pPr>
    <w:rPr>
      <w:b/>
      <w:bCs/>
      <w:sz w:val="28"/>
      <w:szCs w:val="28"/>
    </w:rPr>
  </w:style>
  <w:style w:type="paragraph" w:styleId="Heading3">
    <w:name w:val="heading 3"/>
    <w:basedOn w:val="Normal"/>
    <w:next w:val="Normal"/>
    <w:qFormat/>
    <w:rsid w:val="00D557A1"/>
    <w:pPr>
      <w:keepNext/>
      <w:tabs>
        <w:tab w:val="num" w:pos="360"/>
      </w:tabs>
      <w:spacing w:after="120"/>
      <w:outlineLvl w:val="2"/>
    </w:pPr>
    <w:rPr>
      <w:b/>
    </w:rPr>
  </w:style>
  <w:style w:type="paragraph" w:styleId="Heading4">
    <w:name w:val="heading 4"/>
    <w:basedOn w:val="Normal"/>
    <w:next w:val="Normal"/>
    <w:qFormat/>
    <w:rsid w:val="00D557A1"/>
    <w:pPr>
      <w:keepNext/>
      <w:tabs>
        <w:tab w:val="num" w:pos="360"/>
      </w:tabs>
      <w:spacing w:after="120"/>
      <w:outlineLvl w:val="3"/>
    </w:pPr>
    <w:rPr>
      <w:rFonts w:cs="Times New Roman"/>
      <w:b/>
      <w:bCs/>
      <w:szCs w:val="28"/>
    </w:rPr>
  </w:style>
  <w:style w:type="paragraph" w:styleId="Heading5">
    <w:name w:val="heading 5"/>
    <w:basedOn w:val="Normal"/>
    <w:next w:val="Normal"/>
    <w:qFormat/>
    <w:rsid w:val="00D557A1"/>
    <w:pPr>
      <w:keepNext/>
      <w:tabs>
        <w:tab w:val="num" w:pos="360"/>
      </w:tabs>
      <w:spacing w:after="120"/>
      <w:outlineLvl w:val="4"/>
    </w:pPr>
    <w:rPr>
      <w:b/>
      <w:bCs/>
      <w:szCs w:val="26"/>
    </w:rPr>
  </w:style>
  <w:style w:type="paragraph" w:styleId="Heading6">
    <w:name w:val="heading 6"/>
    <w:basedOn w:val="Normal"/>
    <w:next w:val="Normal"/>
    <w:qFormat/>
    <w:rsid w:val="00D557A1"/>
    <w:pPr>
      <w:keepNext/>
      <w:tabs>
        <w:tab w:val="num" w:pos="360"/>
      </w:tabs>
      <w:spacing w:after="120"/>
      <w:outlineLvl w:val="5"/>
    </w:pPr>
    <w:rPr>
      <w:rFonts w:cs="Times New Roman"/>
      <w:b/>
      <w:bCs/>
      <w:szCs w:val="22"/>
    </w:rPr>
  </w:style>
  <w:style w:type="paragraph" w:styleId="Heading7">
    <w:name w:val="heading 7"/>
    <w:basedOn w:val="Normal"/>
    <w:next w:val="Normal"/>
    <w:qFormat/>
    <w:rsid w:val="00D557A1"/>
    <w:pPr>
      <w:tabs>
        <w:tab w:val="num" w:pos="360"/>
      </w:tabs>
      <w:spacing w:before="240" w:after="60"/>
      <w:outlineLvl w:val="6"/>
    </w:pPr>
    <w:rPr>
      <w:rFonts w:cs="Times New Roman"/>
      <w:szCs w:val="24"/>
    </w:rPr>
  </w:style>
  <w:style w:type="paragraph" w:styleId="Heading8">
    <w:name w:val="heading 8"/>
    <w:basedOn w:val="Normal"/>
    <w:next w:val="Normal"/>
    <w:qFormat/>
    <w:rsid w:val="00D557A1"/>
    <w:pPr>
      <w:tabs>
        <w:tab w:val="num" w:pos="360"/>
      </w:tabs>
      <w:spacing w:before="240" w:after="60"/>
      <w:outlineLvl w:val="7"/>
    </w:pPr>
    <w:rPr>
      <w:rFonts w:cs="Times New Roman"/>
      <w:i/>
      <w:iCs/>
      <w:szCs w:val="24"/>
    </w:rPr>
  </w:style>
  <w:style w:type="paragraph" w:styleId="Heading9">
    <w:name w:val="heading 9"/>
    <w:basedOn w:val="Normal"/>
    <w:next w:val="Normal"/>
    <w:qFormat/>
    <w:rsid w:val="00D557A1"/>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C-BodyText"/>
    <w:qFormat/>
    <w:rsid w:val="00D557A1"/>
    <w:pPr>
      <w:keepNext/>
      <w:spacing w:before="120" w:after="120" w:line="280" w:lineRule="atLeast"/>
      <w:ind w:left="1440" w:hanging="1440"/>
    </w:pPr>
    <w:rPr>
      <w:b/>
      <w:bCs/>
      <w:sz w:val="24"/>
      <w:szCs w:val="24"/>
    </w:rPr>
  </w:style>
  <w:style w:type="paragraph" w:customStyle="1" w:styleId="C-BodyText">
    <w:name w:val="C-Body Text"/>
    <w:rsid w:val="00D557A1"/>
    <w:pPr>
      <w:spacing w:before="120" w:after="120" w:line="280" w:lineRule="atLeast"/>
    </w:pPr>
    <w:rPr>
      <w:sz w:val="24"/>
    </w:rPr>
  </w:style>
  <w:style w:type="paragraph" w:styleId="TOC1">
    <w:name w:val="toc 1"/>
    <w:next w:val="C-BodyText"/>
    <w:rsid w:val="00D557A1"/>
    <w:pPr>
      <w:tabs>
        <w:tab w:val="left" w:pos="1152"/>
        <w:tab w:val="right" w:leader="dot" w:pos="9360"/>
      </w:tabs>
      <w:spacing w:before="120"/>
      <w:ind w:left="1152" w:right="792" w:hanging="1152"/>
    </w:pPr>
    <w:rPr>
      <w:rFonts w:cs="Arial"/>
      <w:caps/>
      <w:color w:val="0000FF"/>
      <w:sz w:val="24"/>
      <w:szCs w:val="24"/>
    </w:rPr>
  </w:style>
  <w:style w:type="paragraph" w:styleId="TOC2">
    <w:name w:val="toc 2"/>
    <w:basedOn w:val="TOC1"/>
    <w:next w:val="C-BodyText"/>
    <w:rsid w:val="00D557A1"/>
    <w:rPr>
      <w:caps w:val="0"/>
    </w:rPr>
  </w:style>
  <w:style w:type="paragraph" w:styleId="TOC3">
    <w:name w:val="toc 3"/>
    <w:basedOn w:val="TOC1"/>
    <w:next w:val="C-BodyText"/>
    <w:rsid w:val="00D557A1"/>
    <w:rPr>
      <w:caps w:val="0"/>
    </w:rPr>
  </w:style>
  <w:style w:type="paragraph" w:styleId="TOC4">
    <w:name w:val="toc 4"/>
    <w:basedOn w:val="TOC1"/>
    <w:next w:val="C-BodyText"/>
    <w:rsid w:val="00D557A1"/>
    <w:rPr>
      <w:caps w:val="0"/>
    </w:rPr>
  </w:style>
  <w:style w:type="paragraph" w:customStyle="1" w:styleId="C-Heading1">
    <w:name w:val="C-Heading 1"/>
    <w:next w:val="C-BodyText"/>
    <w:link w:val="C-Heading1Char"/>
    <w:rsid w:val="00D557A1"/>
    <w:pPr>
      <w:keepNext/>
      <w:pageBreakBefore/>
      <w:numPr>
        <w:numId w:val="1"/>
      </w:numPr>
      <w:spacing w:before="480" w:after="120"/>
      <w:outlineLvl w:val="0"/>
    </w:pPr>
    <w:rPr>
      <w:b/>
      <w:caps/>
      <w:sz w:val="28"/>
    </w:rPr>
  </w:style>
  <w:style w:type="paragraph" w:customStyle="1" w:styleId="C-Heading2">
    <w:name w:val="C-Heading 2"/>
    <w:next w:val="C-BodyText"/>
    <w:rsid w:val="00D557A1"/>
    <w:pPr>
      <w:keepNext/>
      <w:numPr>
        <w:ilvl w:val="1"/>
        <w:numId w:val="1"/>
      </w:numPr>
      <w:spacing w:before="240"/>
      <w:outlineLvl w:val="1"/>
    </w:pPr>
    <w:rPr>
      <w:b/>
      <w:sz w:val="28"/>
    </w:rPr>
  </w:style>
  <w:style w:type="paragraph" w:customStyle="1" w:styleId="C-Heading3">
    <w:name w:val="C-Heading 3"/>
    <w:next w:val="C-BodyText"/>
    <w:rsid w:val="00D557A1"/>
    <w:pPr>
      <w:keepNext/>
      <w:numPr>
        <w:ilvl w:val="2"/>
        <w:numId w:val="1"/>
      </w:numPr>
      <w:spacing w:before="240"/>
      <w:outlineLvl w:val="2"/>
    </w:pPr>
    <w:rPr>
      <w:b/>
      <w:sz w:val="24"/>
    </w:rPr>
  </w:style>
  <w:style w:type="paragraph" w:customStyle="1" w:styleId="C-Heading4">
    <w:name w:val="C-Heading 4"/>
    <w:next w:val="C-BodyText"/>
    <w:rsid w:val="00D557A1"/>
    <w:pPr>
      <w:keepNext/>
      <w:numPr>
        <w:ilvl w:val="3"/>
        <w:numId w:val="1"/>
      </w:numPr>
      <w:spacing w:before="240"/>
      <w:outlineLvl w:val="3"/>
    </w:pPr>
    <w:rPr>
      <w:b/>
      <w:sz w:val="24"/>
    </w:rPr>
  </w:style>
  <w:style w:type="paragraph" w:customStyle="1" w:styleId="C-Heading5">
    <w:name w:val="C-Heading 5"/>
    <w:next w:val="C-BodyText"/>
    <w:rsid w:val="00D557A1"/>
    <w:pPr>
      <w:keepNext/>
      <w:numPr>
        <w:ilvl w:val="4"/>
        <w:numId w:val="1"/>
      </w:numPr>
      <w:spacing w:before="240"/>
      <w:outlineLvl w:val="4"/>
    </w:pPr>
    <w:rPr>
      <w:b/>
      <w:sz w:val="24"/>
    </w:rPr>
  </w:style>
  <w:style w:type="paragraph" w:customStyle="1" w:styleId="C-Heading6">
    <w:name w:val="C-Heading 6"/>
    <w:next w:val="C-BodyText"/>
    <w:rsid w:val="00D557A1"/>
    <w:pPr>
      <w:keepNext/>
      <w:numPr>
        <w:ilvl w:val="5"/>
        <w:numId w:val="1"/>
      </w:numPr>
      <w:tabs>
        <w:tab w:val="clear" w:pos="1080"/>
        <w:tab w:val="num" w:pos="1224"/>
      </w:tabs>
      <w:spacing w:before="240"/>
      <w:ind w:left="1224" w:hanging="1224"/>
      <w:outlineLvl w:val="5"/>
    </w:pPr>
    <w:rPr>
      <w:b/>
      <w:sz w:val="24"/>
    </w:rPr>
  </w:style>
  <w:style w:type="paragraph" w:customStyle="1" w:styleId="C-BodyTextIndent">
    <w:name w:val="C-Body Text Indent"/>
    <w:rsid w:val="00D557A1"/>
    <w:pPr>
      <w:spacing w:before="120" w:after="120" w:line="280" w:lineRule="atLeast"/>
      <w:ind w:left="360"/>
    </w:pPr>
    <w:rPr>
      <w:sz w:val="24"/>
    </w:rPr>
  </w:style>
  <w:style w:type="paragraph" w:customStyle="1" w:styleId="C-Bullet">
    <w:name w:val="C-Bullet"/>
    <w:rsid w:val="00D557A1"/>
    <w:pPr>
      <w:numPr>
        <w:numId w:val="13"/>
      </w:numPr>
      <w:spacing w:before="120" w:after="120" w:line="280" w:lineRule="atLeast"/>
    </w:pPr>
    <w:rPr>
      <w:sz w:val="24"/>
    </w:rPr>
  </w:style>
  <w:style w:type="paragraph" w:customStyle="1" w:styleId="C-BulletIndented">
    <w:name w:val="C-Bullet Indented"/>
    <w:rsid w:val="00D557A1"/>
    <w:pPr>
      <w:numPr>
        <w:ilvl w:val="1"/>
        <w:numId w:val="13"/>
      </w:numPr>
      <w:spacing w:before="120" w:after="120" w:line="280" w:lineRule="atLeast"/>
    </w:pPr>
    <w:rPr>
      <w:rFonts w:cs="Arial"/>
      <w:sz w:val="24"/>
    </w:rPr>
  </w:style>
  <w:style w:type="paragraph" w:customStyle="1" w:styleId="C-TableHeader">
    <w:name w:val="C-Table Header"/>
    <w:next w:val="C-TableText"/>
    <w:rsid w:val="00D557A1"/>
    <w:pPr>
      <w:keepNext/>
      <w:spacing w:before="60" w:after="60"/>
    </w:pPr>
    <w:rPr>
      <w:b/>
      <w:sz w:val="22"/>
    </w:rPr>
  </w:style>
  <w:style w:type="paragraph" w:customStyle="1" w:styleId="C-TableText">
    <w:name w:val="C-Table Text"/>
    <w:rsid w:val="00D557A1"/>
    <w:pPr>
      <w:spacing w:before="60" w:after="60"/>
    </w:pPr>
    <w:rPr>
      <w:sz w:val="22"/>
    </w:rPr>
  </w:style>
  <w:style w:type="paragraph" w:customStyle="1" w:styleId="C-TableFootnote">
    <w:name w:val="C-Table Footnote"/>
    <w:next w:val="C-BodyText"/>
    <w:rsid w:val="00D557A1"/>
    <w:pPr>
      <w:tabs>
        <w:tab w:val="left" w:pos="144"/>
      </w:tabs>
      <w:ind w:left="144" w:hanging="144"/>
    </w:pPr>
    <w:rPr>
      <w:rFonts w:cs="Arial"/>
    </w:rPr>
  </w:style>
  <w:style w:type="paragraph" w:styleId="TOC5">
    <w:name w:val="toc 5"/>
    <w:basedOn w:val="TOC1"/>
    <w:next w:val="C-BodyText"/>
    <w:rsid w:val="00D557A1"/>
    <w:rPr>
      <w:caps w:val="0"/>
    </w:rPr>
  </w:style>
  <w:style w:type="paragraph" w:styleId="TOC6">
    <w:name w:val="toc 6"/>
    <w:basedOn w:val="TOC1"/>
    <w:next w:val="C-BodyText"/>
    <w:rsid w:val="00D557A1"/>
    <w:rPr>
      <w:caps w:val="0"/>
    </w:rPr>
  </w:style>
  <w:style w:type="paragraph" w:styleId="TOC7">
    <w:name w:val="toc 7"/>
    <w:basedOn w:val="TOC1"/>
    <w:next w:val="C-BodyText"/>
    <w:rsid w:val="00D557A1"/>
    <w:rPr>
      <w:caps w:val="0"/>
    </w:rPr>
  </w:style>
  <w:style w:type="paragraph" w:styleId="TOC8">
    <w:name w:val="toc 8"/>
    <w:basedOn w:val="TOC1"/>
    <w:next w:val="C-BodyText"/>
    <w:rsid w:val="00D557A1"/>
    <w:rPr>
      <w:caps w:val="0"/>
    </w:rPr>
  </w:style>
  <w:style w:type="paragraph" w:styleId="TOC9">
    <w:name w:val="toc 9"/>
    <w:basedOn w:val="TOC1"/>
    <w:next w:val="C-BodyText"/>
    <w:rsid w:val="00D557A1"/>
    <w:rPr>
      <w:caps w:val="0"/>
    </w:rPr>
  </w:style>
  <w:style w:type="paragraph" w:styleId="TableofFigures">
    <w:name w:val="table of figures"/>
    <w:next w:val="C-BodyText"/>
    <w:rsid w:val="00D557A1"/>
    <w:pPr>
      <w:tabs>
        <w:tab w:val="left" w:pos="1152"/>
        <w:tab w:val="right" w:leader="dot" w:pos="9360"/>
      </w:tabs>
      <w:spacing w:before="120" w:line="280" w:lineRule="atLeast"/>
      <w:ind w:left="1152" w:right="792" w:hanging="1152"/>
    </w:pPr>
    <w:rPr>
      <w:rFonts w:cs="Arial"/>
      <w:color w:val="0000FF"/>
      <w:sz w:val="24"/>
    </w:rPr>
  </w:style>
  <w:style w:type="paragraph" w:customStyle="1" w:styleId="C-TOCTitle">
    <w:name w:val="C-TOC Title"/>
    <w:next w:val="C-BodyText"/>
    <w:rsid w:val="00D557A1"/>
    <w:pPr>
      <w:spacing w:after="120"/>
      <w:jc w:val="center"/>
    </w:pPr>
    <w:rPr>
      <w:b/>
      <w:caps/>
      <w:sz w:val="28"/>
      <w:szCs w:val="28"/>
    </w:rPr>
  </w:style>
  <w:style w:type="paragraph" w:customStyle="1" w:styleId="C-CaptionContinued">
    <w:name w:val="C-Caption Continued"/>
    <w:next w:val="C-BodyText"/>
    <w:rsid w:val="00D557A1"/>
    <w:pPr>
      <w:keepNext/>
      <w:spacing w:before="120" w:after="120" w:line="280" w:lineRule="atLeast"/>
      <w:ind w:left="1440" w:hanging="1440"/>
    </w:pPr>
    <w:rPr>
      <w:rFonts w:cs="Arial"/>
      <w:b/>
      <w:sz w:val="24"/>
    </w:rPr>
  </w:style>
  <w:style w:type="paragraph" w:customStyle="1" w:styleId="C-NumberedList">
    <w:name w:val="C-Numbered List"/>
    <w:rsid w:val="00D557A1"/>
    <w:pPr>
      <w:numPr>
        <w:numId w:val="11"/>
      </w:numPr>
      <w:spacing w:before="120" w:after="120" w:line="280" w:lineRule="atLeast"/>
    </w:pPr>
    <w:rPr>
      <w:sz w:val="24"/>
    </w:rPr>
  </w:style>
  <w:style w:type="paragraph" w:customStyle="1" w:styleId="C-InstructionText">
    <w:name w:val="C-Instruction Text"/>
    <w:rsid w:val="00D557A1"/>
    <w:pPr>
      <w:spacing w:before="120" w:after="120" w:line="280" w:lineRule="atLeast"/>
    </w:pPr>
    <w:rPr>
      <w:vanish/>
      <w:color w:val="FF0000"/>
      <w:sz w:val="24"/>
      <w:szCs w:val="24"/>
    </w:rPr>
  </w:style>
  <w:style w:type="paragraph" w:styleId="TOAHeading">
    <w:name w:val="toa heading"/>
    <w:basedOn w:val="Normal"/>
    <w:next w:val="Normal"/>
    <w:rsid w:val="00D557A1"/>
    <w:pPr>
      <w:spacing w:before="120"/>
    </w:pPr>
    <w:rPr>
      <w:rFonts w:ascii="Arial" w:hAnsi="Arial"/>
      <w:b/>
      <w:bCs/>
      <w:szCs w:val="24"/>
    </w:rPr>
  </w:style>
  <w:style w:type="paragraph" w:customStyle="1" w:styleId="C-Title">
    <w:name w:val="C-Title"/>
    <w:next w:val="C-BodyText"/>
    <w:rsid w:val="00D557A1"/>
    <w:pPr>
      <w:spacing w:after="120"/>
      <w:jc w:val="center"/>
    </w:pPr>
    <w:rPr>
      <w:b/>
      <w:caps/>
      <w:sz w:val="36"/>
    </w:rPr>
  </w:style>
  <w:style w:type="paragraph" w:customStyle="1" w:styleId="C-Header">
    <w:name w:val="C-Header"/>
    <w:rsid w:val="00D557A1"/>
    <w:rPr>
      <w:sz w:val="24"/>
    </w:rPr>
  </w:style>
  <w:style w:type="paragraph" w:customStyle="1" w:styleId="C-Footer">
    <w:name w:val="C-Footer"/>
    <w:rsid w:val="00D557A1"/>
    <w:rPr>
      <w:sz w:val="24"/>
    </w:rPr>
  </w:style>
  <w:style w:type="paragraph" w:customStyle="1" w:styleId="C-Heading1non-numbered">
    <w:name w:val="C-Heading 1 (non-numbered)"/>
    <w:basedOn w:val="C-Heading1"/>
    <w:next w:val="C-BodyText"/>
    <w:rsid w:val="00D557A1"/>
    <w:pPr>
      <w:numPr>
        <w:numId w:val="0"/>
      </w:numPr>
      <w:tabs>
        <w:tab w:val="left" w:pos="1080"/>
      </w:tabs>
      <w:ind w:left="1080" w:hanging="1080"/>
    </w:pPr>
  </w:style>
  <w:style w:type="paragraph" w:customStyle="1" w:styleId="C-Heading2non-numbered">
    <w:name w:val="C-Heading 2 (non-numbered)"/>
    <w:basedOn w:val="C-Heading2"/>
    <w:next w:val="C-BodyText"/>
    <w:rsid w:val="00D557A1"/>
    <w:pPr>
      <w:numPr>
        <w:ilvl w:val="0"/>
        <w:numId w:val="0"/>
      </w:numPr>
      <w:tabs>
        <w:tab w:val="left" w:pos="1080"/>
      </w:tabs>
      <w:ind w:left="1080" w:hanging="1080"/>
    </w:pPr>
  </w:style>
  <w:style w:type="paragraph" w:customStyle="1" w:styleId="C-Heading3non-numbered">
    <w:name w:val="C-Heading 3 (non-numbered)"/>
    <w:basedOn w:val="C-Heading3"/>
    <w:next w:val="C-BodyText"/>
    <w:rsid w:val="00D557A1"/>
    <w:pPr>
      <w:numPr>
        <w:ilvl w:val="0"/>
        <w:numId w:val="0"/>
      </w:numPr>
      <w:tabs>
        <w:tab w:val="left" w:pos="1080"/>
      </w:tabs>
      <w:ind w:left="1080" w:hanging="1080"/>
    </w:pPr>
  </w:style>
  <w:style w:type="paragraph" w:customStyle="1" w:styleId="C-Heading4non-numbered">
    <w:name w:val="C-Heading 4 (non-numbered)"/>
    <w:basedOn w:val="C-Heading4"/>
    <w:next w:val="C-BodyText"/>
    <w:rsid w:val="00D557A1"/>
    <w:pPr>
      <w:numPr>
        <w:ilvl w:val="0"/>
        <w:numId w:val="0"/>
      </w:numPr>
      <w:tabs>
        <w:tab w:val="left" w:pos="1080"/>
      </w:tabs>
      <w:ind w:left="1080" w:hanging="1080"/>
    </w:pPr>
  </w:style>
  <w:style w:type="paragraph" w:customStyle="1" w:styleId="C-Heading5non-numbered">
    <w:name w:val="C-Heading 5 (non-numbered)"/>
    <w:basedOn w:val="C-Heading5"/>
    <w:next w:val="C-BodyText"/>
    <w:rsid w:val="00D557A1"/>
    <w:pPr>
      <w:numPr>
        <w:ilvl w:val="0"/>
        <w:numId w:val="0"/>
      </w:numPr>
      <w:tabs>
        <w:tab w:val="left" w:pos="1080"/>
      </w:tabs>
      <w:ind w:left="1080" w:hanging="1080"/>
    </w:pPr>
  </w:style>
  <w:style w:type="paragraph" w:customStyle="1" w:styleId="C-Heading6non-numbered">
    <w:name w:val="C-Heading 6 (non-numbered)"/>
    <w:basedOn w:val="C-Heading6"/>
    <w:next w:val="C-BodyText"/>
    <w:rsid w:val="00D557A1"/>
    <w:pPr>
      <w:numPr>
        <w:ilvl w:val="0"/>
        <w:numId w:val="0"/>
      </w:numPr>
      <w:tabs>
        <w:tab w:val="left" w:pos="1080"/>
      </w:tabs>
      <w:ind w:left="1080" w:hanging="1080"/>
    </w:pPr>
  </w:style>
  <w:style w:type="character" w:styleId="Hyperlink">
    <w:name w:val="Hyperlink"/>
    <w:uiPriority w:val="99"/>
    <w:rsid w:val="00D557A1"/>
    <w:rPr>
      <w:color w:val="0000FF"/>
      <w:u w:val="single"/>
    </w:rPr>
  </w:style>
  <w:style w:type="paragraph" w:customStyle="1" w:styleId="C-Heading1nopagebreak">
    <w:name w:val="C-Heading 1 (no page break)"/>
    <w:basedOn w:val="C-Heading1"/>
    <w:next w:val="C-BodyText"/>
    <w:rsid w:val="00D557A1"/>
    <w:pPr>
      <w:pageBreakBefore w:val="0"/>
    </w:pPr>
  </w:style>
  <w:style w:type="paragraph" w:customStyle="1" w:styleId="C-Heading1nopagebreak0">
    <w:name w:val="C-Heading 1 (no page break"/>
    <w:aliases w:val="non-numbered)"/>
    <w:basedOn w:val="C-Heading1non-numbered"/>
    <w:next w:val="C-BodyText"/>
    <w:rsid w:val="00D557A1"/>
    <w:pPr>
      <w:pageBreakBefore w:val="0"/>
    </w:pPr>
  </w:style>
  <w:style w:type="character" w:styleId="HTMLKeyboard">
    <w:name w:val="HTML Keyboard"/>
    <w:rsid w:val="00D557A1"/>
    <w:rPr>
      <w:rFonts w:ascii="Courier New" w:hAnsi="Courier New"/>
      <w:sz w:val="20"/>
      <w:szCs w:val="20"/>
    </w:rPr>
  </w:style>
  <w:style w:type="paragraph" w:customStyle="1" w:styleId="C-AlphabeticList">
    <w:name w:val="C-Alphabetic List"/>
    <w:rsid w:val="00D557A1"/>
    <w:pPr>
      <w:numPr>
        <w:ilvl w:val="1"/>
        <w:numId w:val="11"/>
      </w:numPr>
    </w:pPr>
    <w:rPr>
      <w:sz w:val="24"/>
    </w:rPr>
  </w:style>
  <w:style w:type="paragraph" w:customStyle="1" w:styleId="C-Appendix">
    <w:name w:val="C-Appendix"/>
    <w:next w:val="C-BodyText"/>
    <w:rsid w:val="00D557A1"/>
    <w:pPr>
      <w:keepNext/>
      <w:pageBreakBefore/>
      <w:numPr>
        <w:numId w:val="2"/>
      </w:numPr>
      <w:spacing w:before="480" w:after="120"/>
      <w:outlineLvl w:val="0"/>
    </w:pPr>
    <w:rPr>
      <w:b/>
      <w:caps/>
      <w:sz w:val="28"/>
    </w:rPr>
  </w:style>
  <w:style w:type="paragraph" w:customStyle="1" w:styleId="C-PLR-NumberedList">
    <w:name w:val="C-PLR-Numbered List"/>
    <w:rsid w:val="00D557A1"/>
    <w:pPr>
      <w:numPr>
        <w:numId w:val="7"/>
      </w:numPr>
    </w:pPr>
    <w:rPr>
      <w:sz w:val="16"/>
    </w:rPr>
  </w:style>
  <w:style w:type="paragraph" w:customStyle="1" w:styleId="C-PLR-BodyText">
    <w:name w:val="C-PLR-Body Text"/>
    <w:rsid w:val="00D557A1"/>
    <w:rPr>
      <w:sz w:val="16"/>
    </w:rPr>
  </w:style>
  <w:style w:type="paragraph" w:customStyle="1" w:styleId="C-PLR-BodyTextIndent">
    <w:name w:val="C-PLR-Body Text Indent"/>
    <w:rsid w:val="00D557A1"/>
    <w:pPr>
      <w:ind w:left="360"/>
    </w:pPr>
    <w:rPr>
      <w:sz w:val="16"/>
    </w:rPr>
  </w:style>
  <w:style w:type="paragraph" w:customStyle="1" w:styleId="C-PLR-Bullet">
    <w:name w:val="C-PLR-Bullet"/>
    <w:rsid w:val="00D557A1"/>
    <w:pPr>
      <w:numPr>
        <w:numId w:val="3"/>
      </w:numPr>
    </w:pPr>
    <w:rPr>
      <w:sz w:val="16"/>
    </w:rPr>
  </w:style>
  <w:style w:type="paragraph" w:customStyle="1" w:styleId="C-PLR-BulletIndented">
    <w:name w:val="C-PLR-Bullet Indented"/>
    <w:rsid w:val="00D557A1"/>
    <w:pPr>
      <w:numPr>
        <w:numId w:val="4"/>
      </w:numPr>
    </w:pPr>
    <w:rPr>
      <w:sz w:val="16"/>
    </w:rPr>
  </w:style>
  <w:style w:type="paragraph" w:customStyle="1" w:styleId="C-PLR-Caption">
    <w:name w:val="C-PLR-Caption"/>
    <w:next w:val="C-PLR-BodyText"/>
    <w:rsid w:val="00D557A1"/>
    <w:pPr>
      <w:keepNext/>
      <w:ind w:left="360" w:hanging="360"/>
    </w:pPr>
    <w:rPr>
      <w:b/>
      <w:sz w:val="16"/>
    </w:rPr>
  </w:style>
  <w:style w:type="paragraph" w:customStyle="1" w:styleId="C-PLR-Heading1nopagebreaknon-numbered">
    <w:name w:val="C-PLR-Heading 1 (no page break.non-numbered)"/>
    <w:basedOn w:val="C-PLR-Heading1non-numbered"/>
    <w:next w:val="C-PLR-BodyText"/>
    <w:rsid w:val="00D557A1"/>
  </w:style>
  <w:style w:type="paragraph" w:customStyle="1" w:styleId="C-PLR-Heading2non-numbered">
    <w:name w:val="C-PLR-Heading 2 (non-numbered)"/>
    <w:basedOn w:val="C-PLR-Heading2"/>
    <w:next w:val="C-PLR-BodyText"/>
    <w:rsid w:val="00D557A1"/>
    <w:pPr>
      <w:numPr>
        <w:ilvl w:val="0"/>
        <w:numId w:val="0"/>
      </w:numPr>
      <w:ind w:left="720" w:hanging="720"/>
    </w:pPr>
  </w:style>
  <w:style w:type="paragraph" w:customStyle="1" w:styleId="C-PLR-TableHeader">
    <w:name w:val="C-PLR-Table Header"/>
    <w:next w:val="C-PLR-TableText"/>
    <w:rsid w:val="00D557A1"/>
    <w:pPr>
      <w:keepNext/>
    </w:pPr>
    <w:rPr>
      <w:b/>
      <w:sz w:val="16"/>
    </w:rPr>
  </w:style>
  <w:style w:type="paragraph" w:customStyle="1" w:styleId="C-PLR-TableText">
    <w:name w:val="C-PLR-Table Text"/>
    <w:rsid w:val="00D557A1"/>
    <w:rPr>
      <w:sz w:val="16"/>
    </w:rPr>
  </w:style>
  <w:style w:type="paragraph" w:customStyle="1" w:styleId="C-PLR-Title">
    <w:name w:val="C-PLR-Title"/>
    <w:next w:val="C-PLR-BodyText"/>
    <w:rsid w:val="00D557A1"/>
    <w:pPr>
      <w:jc w:val="center"/>
    </w:pPr>
    <w:rPr>
      <w:b/>
      <w:caps/>
      <w:sz w:val="16"/>
    </w:rPr>
  </w:style>
  <w:style w:type="paragraph" w:customStyle="1" w:styleId="C-PLR-TOCTitle">
    <w:name w:val="C-PLR-TOC Title"/>
    <w:next w:val="C-PLR-BodyText"/>
    <w:rsid w:val="00D557A1"/>
    <w:pPr>
      <w:tabs>
        <w:tab w:val="center" w:leader="underscore" w:pos="2520"/>
        <w:tab w:val="right" w:leader="underscore" w:pos="5040"/>
      </w:tabs>
      <w:jc w:val="center"/>
    </w:pPr>
    <w:rPr>
      <w:b/>
      <w:caps/>
      <w:sz w:val="16"/>
    </w:rPr>
  </w:style>
  <w:style w:type="paragraph" w:customStyle="1" w:styleId="C-PLR-TOC1">
    <w:name w:val="C-PLR-TOC 1"/>
    <w:next w:val="C-PLR-BodyText"/>
    <w:rsid w:val="00D557A1"/>
    <w:pPr>
      <w:ind w:left="432" w:hanging="432"/>
    </w:pPr>
    <w:rPr>
      <w:rFonts w:ascii="Times New Roman Bold" w:hAnsi="Times New Roman Bold"/>
      <w:b/>
      <w:caps/>
      <w:color w:val="0000FF"/>
      <w:sz w:val="16"/>
    </w:rPr>
  </w:style>
  <w:style w:type="paragraph" w:customStyle="1" w:styleId="C-PLR-TOC2">
    <w:name w:val="C-PLR-TOC 2"/>
    <w:basedOn w:val="C-PLR-TOC1"/>
    <w:next w:val="C-PLR-BodyText"/>
    <w:rsid w:val="00D557A1"/>
    <w:pPr>
      <w:ind w:left="864"/>
    </w:pPr>
    <w:rPr>
      <w:rFonts w:ascii="Times New Roman" w:hAnsi="Times New Roman"/>
      <w:b w:val="0"/>
      <w:caps w:val="0"/>
    </w:rPr>
  </w:style>
  <w:style w:type="paragraph" w:customStyle="1" w:styleId="C-PLR-TableFootnote">
    <w:name w:val="C-PLR-Table Footnote"/>
    <w:next w:val="C-PLR-BodyText"/>
    <w:rsid w:val="00D557A1"/>
    <w:pPr>
      <w:tabs>
        <w:tab w:val="left" w:pos="432"/>
      </w:tabs>
      <w:ind w:left="432" w:hanging="432"/>
    </w:pPr>
    <w:rPr>
      <w:sz w:val="16"/>
    </w:rPr>
  </w:style>
  <w:style w:type="character" w:customStyle="1" w:styleId="C-Hyperlink">
    <w:name w:val="C-Hyperlink"/>
    <w:rsid w:val="00D557A1"/>
    <w:rPr>
      <w:color w:val="0000FF"/>
    </w:rPr>
  </w:style>
  <w:style w:type="table" w:customStyle="1" w:styleId="C-Table">
    <w:name w:val="C-Table"/>
    <w:basedOn w:val="TableNormal"/>
    <w:rsid w:val="00D557A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D557A1"/>
    <w:rPr>
      <w:rFonts w:ascii="Times New Roman" w:hAnsi="Times New Roman"/>
      <w:dstrike w:val="0"/>
      <w:color w:val="auto"/>
      <w:spacing w:val="0"/>
      <w:w w:val="100"/>
      <w:position w:val="-1"/>
      <w:sz w:val="22"/>
      <w:szCs w:val="22"/>
      <w:u w:val="none"/>
      <w:effect w:val="none"/>
      <w:vertAlign w:val="superscript"/>
      <w:em w:val="none"/>
    </w:rPr>
  </w:style>
  <w:style w:type="paragraph" w:styleId="CommentText">
    <w:name w:val="annotation text"/>
    <w:basedOn w:val="Normal"/>
    <w:link w:val="CommentTextChar"/>
    <w:rsid w:val="00D557A1"/>
    <w:rPr>
      <w:sz w:val="20"/>
    </w:rPr>
  </w:style>
  <w:style w:type="paragraph" w:styleId="CommentSubject">
    <w:name w:val="annotation subject"/>
    <w:basedOn w:val="CommentText"/>
    <w:next w:val="CommentText"/>
    <w:rsid w:val="00D557A1"/>
    <w:rPr>
      <w:b/>
      <w:bCs/>
    </w:rPr>
  </w:style>
  <w:style w:type="paragraph" w:customStyle="1" w:styleId="C-PLR-AlphabeticList">
    <w:name w:val="C-PLR-Alphabetic List"/>
    <w:rsid w:val="00D557A1"/>
    <w:pPr>
      <w:numPr>
        <w:numId w:val="6"/>
      </w:numPr>
    </w:pPr>
    <w:rPr>
      <w:rFonts w:cs="Arial"/>
      <w:sz w:val="16"/>
    </w:rPr>
  </w:style>
  <w:style w:type="paragraph" w:customStyle="1" w:styleId="C-PLR-CaptionContinued">
    <w:name w:val="C-PLR-Caption Continued"/>
    <w:next w:val="C-PLR-BodyText"/>
    <w:rsid w:val="00D557A1"/>
    <w:pPr>
      <w:keepNext/>
      <w:ind w:left="360" w:hanging="360"/>
    </w:pPr>
    <w:rPr>
      <w:rFonts w:ascii="Times New Roman Bold" w:hAnsi="Times New Roman Bold" w:cs="Arial"/>
      <w:b/>
      <w:sz w:val="16"/>
    </w:rPr>
  </w:style>
  <w:style w:type="paragraph" w:customStyle="1" w:styleId="C-PLR-Heading1">
    <w:name w:val="C-PLR-Heading 1"/>
    <w:next w:val="C-PLR-BodyText"/>
    <w:rsid w:val="00D557A1"/>
    <w:pPr>
      <w:keepNext/>
      <w:numPr>
        <w:numId w:val="5"/>
      </w:numPr>
      <w:tabs>
        <w:tab w:val="clear" w:pos="1080"/>
        <w:tab w:val="left" w:pos="720"/>
      </w:tabs>
      <w:ind w:left="720" w:hanging="720"/>
      <w:outlineLvl w:val="0"/>
    </w:pPr>
    <w:rPr>
      <w:rFonts w:ascii="Times New Roman Bold" w:hAnsi="Times New Roman Bold"/>
      <w:caps/>
      <w:sz w:val="16"/>
    </w:rPr>
  </w:style>
  <w:style w:type="paragraph" w:customStyle="1" w:styleId="C-PLR-Heading1nopagebreak">
    <w:name w:val="C-PLR-Heading 1 (no page break)"/>
    <w:basedOn w:val="C-PLR-Heading1"/>
    <w:next w:val="C-PLR-BodyText"/>
    <w:rsid w:val="00D557A1"/>
  </w:style>
  <w:style w:type="paragraph" w:customStyle="1" w:styleId="C-PLR-Heading2">
    <w:name w:val="C-PLR-Heading 2"/>
    <w:next w:val="C-PLR-BodyText"/>
    <w:rsid w:val="00D557A1"/>
    <w:pPr>
      <w:numPr>
        <w:ilvl w:val="1"/>
        <w:numId w:val="5"/>
      </w:numPr>
      <w:tabs>
        <w:tab w:val="clear" w:pos="1080"/>
        <w:tab w:val="left" w:pos="720"/>
      </w:tabs>
      <w:ind w:left="720" w:hanging="720"/>
      <w:outlineLvl w:val="1"/>
    </w:pPr>
    <w:rPr>
      <w:rFonts w:ascii="Times New Roman Bold" w:hAnsi="Times New Roman Bold" w:cs="Arial"/>
      <w:sz w:val="16"/>
    </w:rPr>
  </w:style>
  <w:style w:type="paragraph" w:customStyle="1" w:styleId="C-PLR-Heading3">
    <w:name w:val="C-PLR-Heading 3"/>
    <w:next w:val="C-PLR-BodyText"/>
    <w:rsid w:val="00D557A1"/>
    <w:pPr>
      <w:numPr>
        <w:ilvl w:val="2"/>
        <w:numId w:val="5"/>
      </w:numPr>
      <w:tabs>
        <w:tab w:val="clear" w:pos="1080"/>
        <w:tab w:val="left" w:pos="720"/>
      </w:tabs>
      <w:ind w:left="720" w:hanging="720"/>
      <w:outlineLvl w:val="2"/>
    </w:pPr>
    <w:rPr>
      <w:rFonts w:ascii="Times New Roman Bold" w:hAnsi="Times New Roman Bold" w:cs="Arial"/>
      <w:sz w:val="16"/>
    </w:rPr>
  </w:style>
  <w:style w:type="paragraph" w:customStyle="1" w:styleId="C-PLR-Heading3non-numbered">
    <w:name w:val="C-PLR-Heading 3 (non-numbered)"/>
    <w:basedOn w:val="C-PLR-Heading3"/>
    <w:next w:val="C-PLR-BodyText"/>
    <w:rsid w:val="00D557A1"/>
    <w:pPr>
      <w:numPr>
        <w:ilvl w:val="0"/>
        <w:numId w:val="0"/>
      </w:numPr>
      <w:ind w:left="720" w:hanging="720"/>
    </w:pPr>
  </w:style>
  <w:style w:type="paragraph" w:customStyle="1" w:styleId="C-PLR-Heading4">
    <w:name w:val="C-PLR-Heading 4"/>
    <w:next w:val="C-PLR-BodyText"/>
    <w:rsid w:val="00D557A1"/>
    <w:pPr>
      <w:numPr>
        <w:ilvl w:val="3"/>
        <w:numId w:val="5"/>
      </w:numPr>
      <w:tabs>
        <w:tab w:val="clear" w:pos="1080"/>
        <w:tab w:val="left" w:pos="720"/>
      </w:tabs>
      <w:ind w:left="720" w:hanging="720"/>
      <w:outlineLvl w:val="3"/>
    </w:pPr>
    <w:rPr>
      <w:rFonts w:ascii="Times New Roman Bold" w:hAnsi="Times New Roman Bold" w:cs="Arial"/>
      <w:sz w:val="16"/>
    </w:rPr>
  </w:style>
  <w:style w:type="paragraph" w:customStyle="1" w:styleId="C-PLR-Heading4non-numbered">
    <w:name w:val="C-PLR-Heading 4 (non-numbered)"/>
    <w:basedOn w:val="C-PLR-Heading4"/>
    <w:next w:val="C-PLR-BodyText"/>
    <w:rsid w:val="00D557A1"/>
    <w:pPr>
      <w:numPr>
        <w:ilvl w:val="0"/>
        <w:numId w:val="0"/>
      </w:numPr>
      <w:ind w:left="720" w:hanging="720"/>
    </w:pPr>
  </w:style>
  <w:style w:type="paragraph" w:customStyle="1" w:styleId="C-PLR-Heading5">
    <w:name w:val="C-PLR-Heading 5"/>
    <w:next w:val="C-PLR-BodyText"/>
    <w:rsid w:val="00D557A1"/>
    <w:pPr>
      <w:numPr>
        <w:ilvl w:val="4"/>
        <w:numId w:val="5"/>
      </w:numPr>
      <w:tabs>
        <w:tab w:val="clear" w:pos="1080"/>
        <w:tab w:val="left" w:pos="720"/>
      </w:tabs>
      <w:ind w:left="720" w:hanging="720"/>
      <w:outlineLvl w:val="4"/>
    </w:pPr>
    <w:rPr>
      <w:rFonts w:ascii="Times New Roman Bold" w:hAnsi="Times New Roman Bold" w:cs="Arial"/>
      <w:sz w:val="16"/>
    </w:rPr>
  </w:style>
  <w:style w:type="paragraph" w:customStyle="1" w:styleId="C-PLR-Heading5non-numbered">
    <w:name w:val="C-PLR-Heading 5 (non-numbered)"/>
    <w:basedOn w:val="C-PLR-Heading5"/>
    <w:next w:val="C-PLR-BodyText"/>
    <w:rsid w:val="00D557A1"/>
    <w:pPr>
      <w:numPr>
        <w:ilvl w:val="0"/>
        <w:numId w:val="0"/>
      </w:numPr>
      <w:ind w:left="720" w:hanging="720"/>
    </w:pPr>
  </w:style>
  <w:style w:type="paragraph" w:customStyle="1" w:styleId="C-PLR-Heading6">
    <w:name w:val="C-PLR-Heading 6"/>
    <w:next w:val="C-PLR-BodyText"/>
    <w:rsid w:val="00D557A1"/>
    <w:pPr>
      <w:numPr>
        <w:ilvl w:val="5"/>
        <w:numId w:val="5"/>
      </w:numPr>
      <w:tabs>
        <w:tab w:val="clear" w:pos="1080"/>
        <w:tab w:val="left" w:pos="864"/>
      </w:tabs>
      <w:ind w:left="864" w:hanging="864"/>
      <w:outlineLvl w:val="5"/>
    </w:pPr>
    <w:rPr>
      <w:rFonts w:ascii="Times New Roman Bold" w:hAnsi="Times New Roman Bold" w:cs="Arial"/>
      <w:sz w:val="16"/>
    </w:rPr>
  </w:style>
  <w:style w:type="paragraph" w:customStyle="1" w:styleId="C-PLR-Heading6non-numbered">
    <w:name w:val="C-PLR-Heading 6 (non-numbered)"/>
    <w:basedOn w:val="C-PLR-Heading6"/>
    <w:next w:val="C-PLR-BodyText"/>
    <w:rsid w:val="00D557A1"/>
    <w:pPr>
      <w:numPr>
        <w:ilvl w:val="0"/>
        <w:numId w:val="0"/>
      </w:numPr>
      <w:ind w:left="864" w:hanging="864"/>
    </w:pPr>
  </w:style>
  <w:style w:type="paragraph" w:customStyle="1" w:styleId="C-PLR-InstructionText">
    <w:name w:val="C-PLR-Instruction Text"/>
    <w:rsid w:val="00D557A1"/>
    <w:rPr>
      <w:rFonts w:ascii="Times New Roman Bold" w:hAnsi="Times New Roman Bold" w:cs="Arial"/>
      <w:vanish/>
      <w:color w:val="FF0000"/>
      <w:sz w:val="16"/>
    </w:rPr>
  </w:style>
  <w:style w:type="paragraph" w:customStyle="1" w:styleId="C-PLR-TOC3">
    <w:name w:val="C-PLR-TOC 3"/>
    <w:basedOn w:val="C-PLR-TOC1"/>
    <w:next w:val="C-PLR-BodyText"/>
    <w:rsid w:val="00D557A1"/>
    <w:pPr>
      <w:tabs>
        <w:tab w:val="left" w:pos="432"/>
      </w:tabs>
      <w:ind w:left="864"/>
    </w:pPr>
    <w:rPr>
      <w:rFonts w:ascii="Times New Roman" w:hAnsi="Times New Roman"/>
      <w:b w:val="0"/>
      <w:caps w:val="0"/>
    </w:rPr>
  </w:style>
  <w:style w:type="paragraph" w:customStyle="1" w:styleId="C-PLR-TOC4">
    <w:name w:val="C-PLR-TOC 4"/>
    <w:basedOn w:val="C-PLR-TOC1"/>
    <w:next w:val="C-PLR-BodyText"/>
    <w:rsid w:val="00D557A1"/>
    <w:pPr>
      <w:tabs>
        <w:tab w:val="left" w:pos="432"/>
      </w:tabs>
      <w:ind w:left="864"/>
    </w:pPr>
    <w:rPr>
      <w:rFonts w:ascii="Times New Roman" w:hAnsi="Times New Roman"/>
      <w:b w:val="0"/>
      <w:caps w:val="0"/>
    </w:rPr>
  </w:style>
  <w:style w:type="paragraph" w:styleId="BodyTextIndent">
    <w:name w:val="Body Text Indent"/>
    <w:basedOn w:val="Normal"/>
    <w:rsid w:val="00D557A1"/>
    <w:pPr>
      <w:spacing w:after="120"/>
      <w:ind w:left="360"/>
    </w:pPr>
  </w:style>
  <w:style w:type="paragraph" w:styleId="BodyTextFirstIndent2">
    <w:name w:val="Body Text First Indent 2"/>
    <w:basedOn w:val="BodyTextIndent"/>
    <w:rsid w:val="00D557A1"/>
    <w:pPr>
      <w:ind w:firstLine="210"/>
    </w:pPr>
  </w:style>
  <w:style w:type="paragraph" w:customStyle="1" w:styleId="C-PLR-Heading1non-numbered">
    <w:name w:val="C-PLR-Heading 1 (non-numbered)"/>
    <w:basedOn w:val="C-PLR-Heading1"/>
    <w:next w:val="C-PLR-BodyText"/>
    <w:rsid w:val="00D557A1"/>
    <w:pPr>
      <w:numPr>
        <w:numId w:val="0"/>
      </w:numPr>
      <w:ind w:left="720" w:hanging="720"/>
    </w:pPr>
  </w:style>
  <w:style w:type="paragraph" w:customStyle="1" w:styleId="C-AppendixNumbered">
    <w:name w:val="C-Appendix (Numbered)"/>
    <w:basedOn w:val="C-Appendix"/>
    <w:next w:val="C-BodyText"/>
    <w:rsid w:val="00D557A1"/>
    <w:pPr>
      <w:numPr>
        <w:numId w:val="8"/>
      </w:numPr>
      <w:tabs>
        <w:tab w:val="left" w:pos="1987"/>
      </w:tabs>
      <w:ind w:left="1987" w:hanging="1987"/>
    </w:pPr>
  </w:style>
  <w:style w:type="numbering" w:customStyle="1" w:styleId="SPNumberedTabs">
    <w:name w:val="SP Numbered Tabs"/>
    <w:rsid w:val="00D557A1"/>
    <w:pPr>
      <w:numPr>
        <w:numId w:val="9"/>
      </w:numPr>
    </w:pPr>
  </w:style>
  <w:style w:type="numbering" w:customStyle="1" w:styleId="SPBulletTabs">
    <w:name w:val="SP Bullet Tabs"/>
    <w:rsid w:val="00D557A1"/>
    <w:pPr>
      <w:numPr>
        <w:numId w:val="10"/>
      </w:numPr>
    </w:pPr>
  </w:style>
  <w:style w:type="paragraph" w:customStyle="1" w:styleId="C-Alphabetic">
    <w:name w:val="C-Alphabetic"/>
    <w:basedOn w:val="C-Heading1"/>
    <w:next w:val="C-BodyText"/>
    <w:link w:val="C-AlphabeticChar"/>
    <w:qFormat/>
    <w:rsid w:val="00D557A1"/>
    <w:pPr>
      <w:numPr>
        <w:numId w:val="12"/>
      </w:numPr>
      <w:tabs>
        <w:tab w:val="left" w:pos="1080"/>
      </w:tabs>
      <w:ind w:left="1080" w:hanging="1080"/>
    </w:pPr>
  </w:style>
  <w:style w:type="paragraph" w:customStyle="1" w:styleId="C-Footnote">
    <w:name w:val="C-Footnote"/>
    <w:basedOn w:val="C-TableFootnote"/>
    <w:qFormat/>
    <w:rsid w:val="00D557A1"/>
    <w:pPr>
      <w:ind w:left="0" w:firstLine="0"/>
    </w:pPr>
  </w:style>
  <w:style w:type="character" w:customStyle="1" w:styleId="C-Heading1Char">
    <w:name w:val="C-Heading 1 Char"/>
    <w:link w:val="C-Heading1"/>
    <w:rsid w:val="00D557A1"/>
    <w:rPr>
      <w:b/>
      <w:caps/>
      <w:sz w:val="28"/>
    </w:rPr>
  </w:style>
  <w:style w:type="character" w:customStyle="1" w:styleId="C-AlphabeticChar">
    <w:name w:val="C-Alphabetic Char"/>
    <w:basedOn w:val="C-Heading1Char"/>
    <w:link w:val="C-Alphabetic"/>
    <w:rsid w:val="00D557A1"/>
    <w:rPr>
      <w:b/>
      <w:caps/>
      <w:sz w:val="28"/>
    </w:rPr>
  </w:style>
  <w:style w:type="paragraph" w:styleId="Header">
    <w:name w:val="header"/>
    <w:basedOn w:val="Normal"/>
    <w:link w:val="HeaderChar"/>
    <w:uiPriority w:val="99"/>
    <w:unhideWhenUsed/>
    <w:rsid w:val="00B845D7"/>
    <w:pPr>
      <w:tabs>
        <w:tab w:val="center" w:pos="4513"/>
        <w:tab w:val="right" w:pos="9026"/>
      </w:tabs>
    </w:pPr>
  </w:style>
  <w:style w:type="character" w:customStyle="1" w:styleId="HeaderChar">
    <w:name w:val="Header Char"/>
    <w:basedOn w:val="DefaultParagraphFont"/>
    <w:link w:val="Header"/>
    <w:uiPriority w:val="99"/>
    <w:rsid w:val="00B845D7"/>
    <w:rPr>
      <w:rFonts w:cs="Arial"/>
      <w:sz w:val="24"/>
    </w:rPr>
  </w:style>
  <w:style w:type="paragraph" w:styleId="Footer">
    <w:name w:val="footer"/>
    <w:basedOn w:val="Normal"/>
    <w:link w:val="FooterChar"/>
    <w:unhideWhenUsed/>
    <w:rsid w:val="00B845D7"/>
    <w:pPr>
      <w:tabs>
        <w:tab w:val="center" w:pos="4513"/>
        <w:tab w:val="right" w:pos="9026"/>
      </w:tabs>
    </w:pPr>
  </w:style>
  <w:style w:type="character" w:customStyle="1" w:styleId="FooterChar">
    <w:name w:val="Footer Char"/>
    <w:basedOn w:val="DefaultParagraphFont"/>
    <w:link w:val="Footer"/>
    <w:rsid w:val="00B845D7"/>
    <w:rPr>
      <w:rFonts w:cs="Arial"/>
      <w:sz w:val="24"/>
    </w:rPr>
  </w:style>
  <w:style w:type="character" w:customStyle="1" w:styleId="UnresolvedMention1">
    <w:name w:val="Unresolved Mention1"/>
    <w:basedOn w:val="DefaultParagraphFont"/>
    <w:uiPriority w:val="99"/>
    <w:semiHidden/>
    <w:unhideWhenUsed/>
    <w:rsid w:val="00DE770A"/>
    <w:rPr>
      <w:color w:val="808080"/>
      <w:shd w:val="clear" w:color="auto" w:fill="E6E6E6"/>
    </w:rPr>
  </w:style>
  <w:style w:type="paragraph" w:styleId="BalloonText">
    <w:name w:val="Balloon Text"/>
    <w:basedOn w:val="Normal"/>
    <w:link w:val="BalloonTextChar"/>
    <w:uiPriority w:val="99"/>
    <w:semiHidden/>
    <w:unhideWhenUsed/>
    <w:rsid w:val="0062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8A"/>
    <w:rPr>
      <w:rFonts w:ascii="Segoe UI" w:eastAsiaTheme="minorEastAsia" w:hAnsi="Segoe UI" w:cs="Segoe UI"/>
      <w:sz w:val="18"/>
      <w:szCs w:val="18"/>
      <w:lang w:val="en-AU" w:eastAsia="zh-CN"/>
    </w:rPr>
  </w:style>
  <w:style w:type="paragraph" w:styleId="ListParagraph">
    <w:name w:val="List Paragraph"/>
    <w:basedOn w:val="Normal"/>
    <w:uiPriority w:val="34"/>
    <w:qFormat/>
    <w:rsid w:val="003260C9"/>
    <w:pPr>
      <w:ind w:left="720"/>
      <w:contextualSpacing/>
    </w:pPr>
    <w:rPr>
      <w:rFonts w:cs="Times New Roman"/>
      <w:szCs w:val="24"/>
    </w:rPr>
  </w:style>
  <w:style w:type="paragraph" w:customStyle="1" w:styleId="Default">
    <w:name w:val="Default"/>
    <w:qFormat/>
    <w:rsid w:val="00E23B8C"/>
    <w:rPr>
      <w:rFonts w:eastAsia="Calibri"/>
      <w:color w:val="000000"/>
      <w:sz w:val="24"/>
      <w:szCs w:val="24"/>
    </w:rPr>
  </w:style>
  <w:style w:type="table" w:styleId="TableGrid">
    <w:name w:val="Table Grid"/>
    <w:basedOn w:val="TableNormal"/>
    <w:uiPriority w:val="59"/>
    <w:rsid w:val="00E23B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E1"/>
    <w:rPr>
      <w:sz w:val="16"/>
      <w:szCs w:val="16"/>
    </w:rPr>
  </w:style>
  <w:style w:type="paragraph" w:styleId="Revision">
    <w:name w:val="Revision"/>
    <w:hidden/>
    <w:uiPriority w:val="99"/>
    <w:semiHidden/>
    <w:rsid w:val="00B4212E"/>
    <w:rPr>
      <w:rFonts w:ascii="Calibri" w:eastAsiaTheme="minorEastAsia" w:hAnsi="Calibri" w:cs="Calibri"/>
      <w:sz w:val="22"/>
      <w:szCs w:val="22"/>
      <w:lang w:val="en-AU" w:eastAsia="zh-CN"/>
    </w:rPr>
  </w:style>
  <w:style w:type="character" w:styleId="FollowedHyperlink">
    <w:name w:val="FollowedHyperlink"/>
    <w:basedOn w:val="DefaultParagraphFont"/>
    <w:uiPriority w:val="99"/>
    <w:semiHidden/>
    <w:unhideWhenUsed/>
    <w:rsid w:val="00F82A20"/>
    <w:rPr>
      <w:color w:val="800080" w:themeColor="followedHyperlink"/>
      <w:u w:val="single"/>
    </w:rPr>
  </w:style>
  <w:style w:type="paragraph" w:styleId="NormalWeb">
    <w:name w:val="Normal (Web)"/>
    <w:basedOn w:val="Normal"/>
    <w:uiPriority w:val="99"/>
    <w:semiHidden/>
    <w:unhideWhenUsed/>
    <w:rsid w:val="009B6291"/>
    <w:pPr>
      <w:spacing w:before="100" w:beforeAutospacing="1" w:after="100" w:afterAutospacing="1"/>
    </w:pPr>
    <w:rPr>
      <w:rFonts w:cs="Times New Roman"/>
      <w:szCs w:val="24"/>
    </w:rPr>
  </w:style>
  <w:style w:type="paragraph" w:styleId="FootnoteText">
    <w:name w:val="footnote text"/>
    <w:basedOn w:val="Normal"/>
    <w:link w:val="FootnoteTextChar"/>
    <w:uiPriority w:val="99"/>
    <w:semiHidden/>
    <w:unhideWhenUsed/>
    <w:rsid w:val="00497DBB"/>
    <w:rPr>
      <w:rFonts w:asciiTheme="majorHAnsi" w:hAnsiTheme="majorHAnsi" w:cstheme="minorBidi"/>
      <w:color w:val="000000" w:themeColor="text1"/>
      <w:sz w:val="20"/>
    </w:rPr>
  </w:style>
  <w:style w:type="character" w:customStyle="1" w:styleId="FootnoteTextChar">
    <w:name w:val="Footnote Text Char"/>
    <w:basedOn w:val="DefaultParagraphFont"/>
    <w:link w:val="FootnoteText"/>
    <w:uiPriority w:val="99"/>
    <w:semiHidden/>
    <w:rsid w:val="00497DBB"/>
    <w:rPr>
      <w:rFonts w:asciiTheme="majorHAnsi" w:eastAsiaTheme="minorEastAsia" w:hAnsiTheme="majorHAnsi" w:cstheme="minorBidi"/>
      <w:color w:val="000000" w:themeColor="text1"/>
      <w:lang w:val="en-AU"/>
    </w:rPr>
  </w:style>
  <w:style w:type="character" w:styleId="FootnoteReference">
    <w:name w:val="footnote reference"/>
    <w:basedOn w:val="DefaultParagraphFont"/>
    <w:uiPriority w:val="99"/>
    <w:semiHidden/>
    <w:unhideWhenUsed/>
    <w:rsid w:val="00497DBB"/>
    <w:rPr>
      <w:vertAlign w:val="superscript"/>
    </w:rPr>
  </w:style>
  <w:style w:type="character" w:styleId="UnresolvedMention">
    <w:name w:val="Unresolved Mention"/>
    <w:basedOn w:val="DefaultParagraphFont"/>
    <w:uiPriority w:val="99"/>
    <w:semiHidden/>
    <w:unhideWhenUsed/>
    <w:rsid w:val="00003787"/>
    <w:rPr>
      <w:color w:val="605E5C"/>
      <w:shd w:val="clear" w:color="auto" w:fill="E1DFDD"/>
    </w:rPr>
  </w:style>
  <w:style w:type="paragraph" w:styleId="EndnoteText">
    <w:name w:val="endnote text"/>
    <w:basedOn w:val="Normal"/>
    <w:link w:val="EndnoteTextChar"/>
    <w:uiPriority w:val="99"/>
    <w:semiHidden/>
    <w:unhideWhenUsed/>
    <w:rsid w:val="00FA3A37"/>
    <w:rPr>
      <w:sz w:val="20"/>
    </w:rPr>
  </w:style>
  <w:style w:type="character" w:customStyle="1" w:styleId="EndnoteTextChar">
    <w:name w:val="Endnote Text Char"/>
    <w:basedOn w:val="DefaultParagraphFont"/>
    <w:link w:val="EndnoteText"/>
    <w:uiPriority w:val="99"/>
    <w:semiHidden/>
    <w:rsid w:val="00FA3A37"/>
    <w:rPr>
      <w:rFonts w:cs="Arial"/>
    </w:rPr>
  </w:style>
  <w:style w:type="character" w:styleId="EndnoteReference">
    <w:name w:val="endnote reference"/>
    <w:basedOn w:val="DefaultParagraphFont"/>
    <w:uiPriority w:val="99"/>
    <w:semiHidden/>
    <w:unhideWhenUsed/>
    <w:rsid w:val="00FA3A37"/>
    <w:rPr>
      <w:vertAlign w:val="superscript"/>
    </w:rPr>
  </w:style>
  <w:style w:type="character" w:customStyle="1" w:styleId="CommentTextChar">
    <w:name w:val="Comment Text Char"/>
    <w:basedOn w:val="DefaultParagraphFont"/>
    <w:link w:val="CommentText"/>
    <w:rsid w:val="00D3208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454377">
      <w:bodyDiv w:val="1"/>
      <w:marLeft w:val="0"/>
      <w:marRight w:val="0"/>
      <w:marTop w:val="0"/>
      <w:marBottom w:val="0"/>
      <w:divBdr>
        <w:top w:val="none" w:sz="0" w:space="0" w:color="auto"/>
        <w:left w:val="none" w:sz="0" w:space="0" w:color="auto"/>
        <w:bottom w:val="none" w:sz="0" w:space="0" w:color="auto"/>
        <w:right w:val="none" w:sz="0" w:space="0" w:color="auto"/>
      </w:divBdr>
    </w:div>
    <w:div w:id="414210756">
      <w:bodyDiv w:val="1"/>
      <w:marLeft w:val="0"/>
      <w:marRight w:val="0"/>
      <w:marTop w:val="0"/>
      <w:marBottom w:val="0"/>
      <w:divBdr>
        <w:top w:val="none" w:sz="0" w:space="0" w:color="auto"/>
        <w:left w:val="none" w:sz="0" w:space="0" w:color="auto"/>
        <w:bottom w:val="none" w:sz="0" w:space="0" w:color="auto"/>
        <w:right w:val="none" w:sz="0" w:space="0" w:color="auto"/>
      </w:divBdr>
    </w:div>
    <w:div w:id="916718309">
      <w:bodyDiv w:val="1"/>
      <w:marLeft w:val="0"/>
      <w:marRight w:val="0"/>
      <w:marTop w:val="0"/>
      <w:marBottom w:val="0"/>
      <w:divBdr>
        <w:top w:val="none" w:sz="0" w:space="0" w:color="auto"/>
        <w:left w:val="none" w:sz="0" w:space="0" w:color="auto"/>
        <w:bottom w:val="none" w:sz="0" w:space="0" w:color="auto"/>
        <w:right w:val="none" w:sz="0" w:space="0" w:color="auto"/>
      </w:divBdr>
    </w:div>
    <w:div w:id="1079405896">
      <w:bodyDiv w:val="1"/>
      <w:marLeft w:val="0"/>
      <w:marRight w:val="0"/>
      <w:marTop w:val="0"/>
      <w:marBottom w:val="0"/>
      <w:divBdr>
        <w:top w:val="none" w:sz="0" w:space="0" w:color="auto"/>
        <w:left w:val="none" w:sz="0" w:space="0" w:color="auto"/>
        <w:bottom w:val="none" w:sz="0" w:space="0" w:color="auto"/>
        <w:right w:val="none" w:sz="0" w:space="0" w:color="auto"/>
      </w:divBdr>
    </w:div>
    <w:div w:id="1512602666">
      <w:bodyDiv w:val="1"/>
      <w:marLeft w:val="0"/>
      <w:marRight w:val="0"/>
      <w:marTop w:val="0"/>
      <w:marBottom w:val="0"/>
      <w:divBdr>
        <w:top w:val="none" w:sz="0" w:space="0" w:color="auto"/>
        <w:left w:val="none" w:sz="0" w:space="0" w:color="auto"/>
        <w:bottom w:val="none" w:sz="0" w:space="0" w:color="auto"/>
        <w:right w:val="none" w:sz="0" w:space="0" w:color="auto"/>
      </w:divBdr>
    </w:div>
    <w:div w:id="1682076250">
      <w:bodyDiv w:val="1"/>
      <w:marLeft w:val="0"/>
      <w:marRight w:val="0"/>
      <w:marTop w:val="0"/>
      <w:marBottom w:val="0"/>
      <w:divBdr>
        <w:top w:val="none" w:sz="0" w:space="0" w:color="auto"/>
        <w:left w:val="none" w:sz="0" w:space="0" w:color="auto"/>
        <w:bottom w:val="none" w:sz="0" w:space="0" w:color="auto"/>
        <w:right w:val="none" w:sz="0" w:space="0" w:color="auto"/>
      </w:divBdr>
    </w:div>
    <w:div w:id="1738937150">
      <w:bodyDiv w:val="1"/>
      <w:marLeft w:val="0"/>
      <w:marRight w:val="0"/>
      <w:marTop w:val="0"/>
      <w:marBottom w:val="0"/>
      <w:divBdr>
        <w:top w:val="none" w:sz="0" w:space="0" w:color="auto"/>
        <w:left w:val="none" w:sz="0" w:space="0" w:color="auto"/>
        <w:bottom w:val="none" w:sz="0" w:space="0" w:color="auto"/>
        <w:right w:val="none" w:sz="0" w:space="0" w:color="auto"/>
      </w:divBdr>
    </w:div>
    <w:div w:id="20784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xtstelli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g0\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400045E789984D83EEFA65C3B7B01F" ma:contentTypeVersion="10" ma:contentTypeDescription="Create a new document." ma:contentTypeScope="" ma:versionID="eaa0e5f9bbf1fb2cb3ab45cd3632f7da">
  <xsd:schema xmlns:xsd="http://www.w3.org/2001/XMLSchema" xmlns:xs="http://www.w3.org/2001/XMLSchema" xmlns:p="http://schemas.microsoft.com/office/2006/metadata/properties" xmlns:ns3="e900629b-2ccd-45c4-9023-803caae94728" targetNamespace="http://schemas.microsoft.com/office/2006/metadata/properties" ma:root="true" ma:fieldsID="cd59723981c82003de407e35b7e7dd37" ns3:_="">
    <xsd:import namespace="e900629b-2ccd-45c4-9023-803caae947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0629b-2ccd-45c4-9023-803caae94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9FFEF-A95D-4A74-8866-029110CF7691}">
  <ds:schemaRefs>
    <ds:schemaRef ds:uri="http://schemas.microsoft.com/sharepoint/v3/contenttype/forms"/>
  </ds:schemaRefs>
</ds:datastoreItem>
</file>

<file path=customXml/itemProps2.xml><?xml version="1.0" encoding="utf-8"?>
<ds:datastoreItem xmlns:ds="http://schemas.openxmlformats.org/officeDocument/2006/customXml" ds:itemID="{A832751C-76A4-4D50-B428-26D8BA22AE4B}">
  <ds:schemaRefs>
    <ds:schemaRef ds:uri="http://schemas.openxmlformats.org/officeDocument/2006/bibliography"/>
  </ds:schemaRefs>
</ds:datastoreItem>
</file>

<file path=customXml/itemProps3.xml><?xml version="1.0" encoding="utf-8"?>
<ds:datastoreItem xmlns:ds="http://schemas.openxmlformats.org/officeDocument/2006/customXml" ds:itemID="{94A84F90-EAFB-4312-950E-CD121063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0629b-2ccd-45c4-9023-803caae94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D113A-2C54-4DDE-B78D-D6B8474AD0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Author.dotm</Template>
  <TotalTime>41</TotalTime>
  <Pages>29</Pages>
  <Words>8792</Words>
  <Characters>51500</Characters>
  <Application>Microsoft Office Word</Application>
  <DocSecurity>0</DocSecurity>
  <Lines>1144</Lines>
  <Paragraphs>648</Paragraphs>
  <ScaleCrop>false</ScaleCrop>
  <HeadingPairs>
    <vt:vector size="2" baseType="variant">
      <vt:variant>
        <vt:lpstr>Title</vt:lpstr>
      </vt:variant>
      <vt:variant>
        <vt:i4>1</vt:i4>
      </vt:variant>
    </vt:vector>
  </HeadingPairs>
  <TitlesOfParts>
    <vt:vector size="1" baseType="lpstr">
      <vt:lpstr>Attachment-Product information for Nextstellis</vt:lpstr>
    </vt:vector>
  </TitlesOfParts>
  <Company/>
  <LinksUpToDate>false</LinksUpToDate>
  <CharactersWithSpaces>59644</CharactersWithSpaces>
  <SharedDoc>false</SharedDoc>
  <HLinks>
    <vt:vector size="18" baseType="variant">
      <vt:variant>
        <vt:i4>3080313</vt:i4>
      </vt:variant>
      <vt:variant>
        <vt:i4>27</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Nextstellis</dc:title>
  <dc:subject>prescription medicines</dc:subject>
  <dc:creator>Mayne Pharma International Pty Ltd</dc:creator>
  <cp:keywords/>
  <dc:description/>
  <cp:lastModifiedBy>LACK, Janet</cp:lastModifiedBy>
  <cp:revision>4</cp:revision>
  <cp:lastPrinted>2019-01-28T05:10:00Z</cp:lastPrinted>
  <dcterms:created xsi:type="dcterms:W3CDTF">2022-08-11T01:21:00Z</dcterms:created>
  <dcterms:modified xsi:type="dcterms:W3CDTF">2022-08-11T02:03:00Z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0x01010008400045E789984D83EEFA65C3B7B01F</vt:lpwstr>
  </property>
  <property fmtid="{D5CDD505-2E9C-101B-9397-08002B2CF9AE}" pid="3" name="Table and figure numbering style">
    <vt:lpwstr>Document</vt:lpwstr>
  </property>
</Properties>
</file>