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CC7D8B" w14:paraId="712EF414" w14:textId="77777777" w:rsidTr="00BF1190">
        <w:trPr>
          <w:trHeight w:val="1863"/>
        </w:trPr>
        <w:tc>
          <w:tcPr>
            <w:tcW w:w="3652" w:type="dxa"/>
            <w:tcBorders>
              <w:top w:val="nil"/>
              <w:left w:val="nil"/>
              <w:bottom w:val="nil"/>
              <w:right w:val="nil"/>
            </w:tcBorders>
          </w:tcPr>
          <w:p w14:paraId="083EEDA1" w14:textId="20927899" w:rsidR="008E7846" w:rsidRPr="00CC7D8B" w:rsidRDefault="00CA1CA5" w:rsidP="00F931CE">
            <w:pPr>
              <w:pStyle w:val="Date"/>
              <w:framePr w:hSpace="0" w:wrap="auto" w:vAnchor="margin" w:hAnchor="text" w:yAlign="inline"/>
              <w:suppressOverlap w:val="0"/>
            </w:pPr>
            <w:r w:rsidRPr="00CC7D8B">
              <w:t>July</w:t>
            </w:r>
            <w:r w:rsidR="00C346AB" w:rsidRPr="00CC7D8B">
              <w:t xml:space="preserve"> </w:t>
            </w:r>
            <w:r w:rsidRPr="00CC7D8B">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CC7D8B" w14:paraId="6409417E" w14:textId="77777777" w:rsidTr="0032583B">
        <w:trPr>
          <w:trHeight w:val="868"/>
        </w:trPr>
        <w:tc>
          <w:tcPr>
            <w:tcW w:w="9079" w:type="dxa"/>
          </w:tcPr>
          <w:p w14:paraId="3156A51E" w14:textId="7D8A139B" w:rsidR="0032583B" w:rsidRPr="00CC7D8B" w:rsidRDefault="0032583B" w:rsidP="00F931CE">
            <w:pPr>
              <w:pStyle w:val="Title"/>
              <w:framePr w:hSpace="0" w:wrap="auto" w:vAnchor="margin" w:yAlign="inline"/>
            </w:pPr>
            <w:r w:rsidRPr="00CC7D8B">
              <w:t>Australian Public Assessment Report for</w:t>
            </w:r>
            <w:r w:rsidR="00AF2313" w:rsidRPr="00CC7D8B">
              <w:t xml:space="preserve"> </w:t>
            </w:r>
            <w:r w:rsidR="004C6ED3" w:rsidRPr="00CC7D8B">
              <w:t>Spikevax</w:t>
            </w:r>
          </w:p>
        </w:tc>
      </w:tr>
      <w:tr w:rsidR="0032583B" w:rsidRPr="00CC7D8B" w14:paraId="0F517B4C" w14:textId="77777777" w:rsidTr="0032583B">
        <w:tc>
          <w:tcPr>
            <w:tcW w:w="9079" w:type="dxa"/>
          </w:tcPr>
          <w:p w14:paraId="5222778F" w14:textId="4C5D9763" w:rsidR="0032583B" w:rsidRPr="00CC7D8B" w:rsidRDefault="00BB75D6" w:rsidP="00F931CE">
            <w:pPr>
              <w:pStyle w:val="Subtitle"/>
              <w:framePr w:hSpace="0" w:wrap="auto" w:vAnchor="margin" w:yAlign="inline"/>
            </w:pPr>
            <w:r w:rsidRPr="00CC7D8B">
              <w:t>Active ingredients</w:t>
            </w:r>
            <w:r w:rsidR="0032583B" w:rsidRPr="00CC7D8B">
              <w:t xml:space="preserve">: </w:t>
            </w:r>
            <w:r w:rsidR="004C6ED3" w:rsidRPr="00CC7D8B">
              <w:t>Elasomeran</w:t>
            </w:r>
          </w:p>
        </w:tc>
      </w:tr>
      <w:tr w:rsidR="0032583B" w:rsidRPr="00CC7D8B" w14:paraId="7D980268" w14:textId="77777777" w:rsidTr="0032583B">
        <w:trPr>
          <w:trHeight w:val="486"/>
        </w:trPr>
        <w:tc>
          <w:tcPr>
            <w:tcW w:w="9079" w:type="dxa"/>
          </w:tcPr>
          <w:p w14:paraId="43F3DDFD" w14:textId="30CBB6DB" w:rsidR="0032583B" w:rsidRPr="00CC7D8B" w:rsidRDefault="00460036" w:rsidP="009556D7">
            <w:pPr>
              <w:pStyle w:val="Subtitle"/>
              <w:framePr w:hSpace="0" w:wrap="auto" w:vAnchor="margin" w:yAlign="inline"/>
            </w:pPr>
            <w:r w:rsidRPr="00CC7D8B">
              <w:t xml:space="preserve">Sponsor: </w:t>
            </w:r>
            <w:r w:rsidR="00CA1CA5" w:rsidRPr="00CC7D8B">
              <w:t>Moderna Australia Pty Ltd</w:t>
            </w:r>
          </w:p>
        </w:tc>
      </w:tr>
    </w:tbl>
    <w:p w14:paraId="4BA14545" w14:textId="77777777" w:rsidR="008E7846" w:rsidRPr="00CC7D8B" w:rsidRDefault="008E7846" w:rsidP="0085156D">
      <w:r w:rsidRPr="00CC7D8B">
        <w:br w:type="page"/>
      </w:r>
    </w:p>
    <w:p w14:paraId="04EB3AB7" w14:textId="77777777" w:rsidR="008E7846" w:rsidRPr="00CC7D8B" w:rsidRDefault="008E7846" w:rsidP="008E7846">
      <w:pPr>
        <w:pStyle w:val="NonTOCHeading2"/>
      </w:pPr>
      <w:r w:rsidRPr="00CC7D8B">
        <w:lastRenderedPageBreak/>
        <w:t>About the Therapeutic Goods Administration (TGA)</w:t>
      </w:r>
    </w:p>
    <w:p w14:paraId="4F383F5E" w14:textId="77777777" w:rsidR="00AF2313" w:rsidRPr="00CC7D8B" w:rsidRDefault="00AF2313" w:rsidP="00AF2313">
      <w:pPr>
        <w:pStyle w:val="ListBullet"/>
      </w:pPr>
      <w:r w:rsidRPr="00CC7D8B">
        <w:t>The Therapeutic Goods Administration (TGA) is part of the Australian Government Department of Health and is responsible for regulating therapeutic goods, including medicines, medical devices, and biologicals.</w:t>
      </w:r>
    </w:p>
    <w:p w14:paraId="3BE3DE87" w14:textId="77777777" w:rsidR="00AF2313" w:rsidRPr="00CC7D8B" w:rsidRDefault="00AF2313" w:rsidP="00AF2313">
      <w:pPr>
        <w:pStyle w:val="ListBullet"/>
      </w:pPr>
      <w:r w:rsidRPr="00CC7D8B">
        <w:t xml:space="preserve">The TGA administers the </w:t>
      </w:r>
      <w:r w:rsidRPr="00CC7D8B">
        <w:rPr>
          <w:i/>
          <w:iCs/>
        </w:rPr>
        <w:t>Therapeutic Goods Act 1989</w:t>
      </w:r>
      <w:r w:rsidRPr="00CC7D8B">
        <w:t xml:space="preserve"> (the Act), applying a risk management approach designed to ensure therapeutic goods supplied in Australia meet acceptable standards of quality, </w:t>
      </w:r>
      <w:r w:rsidR="00CC5044" w:rsidRPr="00CC7D8B">
        <w:t>safety,</w:t>
      </w:r>
      <w:r w:rsidRPr="00CC7D8B">
        <w:t xml:space="preserve"> and efficacy.</w:t>
      </w:r>
    </w:p>
    <w:p w14:paraId="2FDCB1AB" w14:textId="77777777" w:rsidR="00AF2313" w:rsidRPr="00CC7D8B" w:rsidRDefault="00AF2313" w:rsidP="00AF2313">
      <w:pPr>
        <w:pStyle w:val="ListBullet"/>
      </w:pPr>
      <w:r w:rsidRPr="00CC7D8B">
        <w:t>The work of the TGA is based on applying scientific and clinical expertise to decision-making, to ensure that the benefits to the Australian public outweigh any risks associated with the use of therapeutic goods.</w:t>
      </w:r>
    </w:p>
    <w:p w14:paraId="4098B1AE" w14:textId="77777777" w:rsidR="00AF2313" w:rsidRPr="00CC7D8B" w:rsidRDefault="00AF2313" w:rsidP="00AF2313">
      <w:pPr>
        <w:pStyle w:val="ListBullet"/>
      </w:pPr>
      <w:r w:rsidRPr="00CC7D8B">
        <w:t>The TGA relies on the public, healthcare professionals and industry to report problems with therapeutic goods. The TGA investigates reports received to determine any necessary regulatory action.</w:t>
      </w:r>
    </w:p>
    <w:p w14:paraId="3CE541C5" w14:textId="18D3E448" w:rsidR="00AF2313" w:rsidRPr="00CC7D8B" w:rsidRDefault="00AF2313" w:rsidP="00AF2313">
      <w:pPr>
        <w:pStyle w:val="ListBullet"/>
      </w:pPr>
      <w:r w:rsidRPr="00CC7D8B">
        <w:t xml:space="preserve">To report a problem with a therapeutic good, please see the information on the </w:t>
      </w:r>
      <w:hyperlink r:id="rId11" w:history="1">
        <w:r w:rsidRPr="00CC7D8B">
          <w:rPr>
            <w:rStyle w:val="Hyperlink"/>
          </w:rPr>
          <w:t>TGA website</w:t>
        </w:r>
      </w:hyperlink>
      <w:r w:rsidRPr="00CC7D8B">
        <w:t>.</w:t>
      </w:r>
    </w:p>
    <w:p w14:paraId="4218E913" w14:textId="77777777" w:rsidR="008E7846" w:rsidRPr="00CC7D8B" w:rsidRDefault="008E7846" w:rsidP="00875A6B">
      <w:pPr>
        <w:pStyle w:val="NonTOCHeading2"/>
      </w:pPr>
      <w:r w:rsidRPr="00CC7D8B">
        <w:t xml:space="preserve">About </w:t>
      </w:r>
      <w:proofErr w:type="spellStart"/>
      <w:r w:rsidRPr="00CC7D8B">
        <w:t>AusPARs</w:t>
      </w:r>
      <w:proofErr w:type="spellEnd"/>
    </w:p>
    <w:p w14:paraId="50B254D2" w14:textId="13E95D66" w:rsidR="00AF2313" w:rsidRPr="00CC7D8B" w:rsidRDefault="00AF2313" w:rsidP="00AF2313">
      <w:pPr>
        <w:pStyle w:val="ListBullet"/>
      </w:pPr>
      <w:r w:rsidRPr="00CC7D8B">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2" w:history="1">
        <w:r w:rsidRPr="00CC7D8B">
          <w:rPr>
            <w:rStyle w:val="Hyperlink"/>
          </w:rPr>
          <w:t>Australian Public Assessment Report (AusPAR) guidance</w:t>
        </w:r>
      </w:hyperlink>
      <w:r w:rsidRPr="00CC7D8B">
        <w:t>.</w:t>
      </w:r>
    </w:p>
    <w:p w14:paraId="646CCABD" w14:textId="77777777" w:rsidR="00AF2313" w:rsidRPr="00CC7D8B" w:rsidRDefault="00AF2313" w:rsidP="00AF2313">
      <w:pPr>
        <w:pStyle w:val="ListBullet"/>
      </w:pPr>
      <w:proofErr w:type="spellStart"/>
      <w:r w:rsidRPr="00CC7D8B">
        <w:t>AusPARs</w:t>
      </w:r>
      <w:proofErr w:type="spellEnd"/>
      <w:r w:rsidRPr="00CC7D8B">
        <w:t xml:space="preserve"> are prepared and published by the TGA.</w:t>
      </w:r>
    </w:p>
    <w:p w14:paraId="3CAA9551" w14:textId="77777777" w:rsidR="00AF2313" w:rsidRPr="00CC7D8B" w:rsidRDefault="00AF2313" w:rsidP="00AF2313">
      <w:pPr>
        <w:pStyle w:val="ListBullet"/>
      </w:pPr>
      <w:proofErr w:type="spellStart"/>
      <w:r w:rsidRPr="00CC7D8B">
        <w:t>AusPARs</w:t>
      </w:r>
      <w:proofErr w:type="spellEnd"/>
      <w:r w:rsidRPr="00CC7D8B">
        <w:t xml:space="preserve"> are static documents that provide information that relates to a submission at a particular point in time.</w:t>
      </w:r>
      <w:r w:rsidR="008110BC" w:rsidRPr="00CC7D8B">
        <w:t xml:space="preserve"> The publication of an AusPAR is an important part of the transparency of the TGA’s decision-making process.</w:t>
      </w:r>
    </w:p>
    <w:p w14:paraId="772F2A66" w14:textId="77777777" w:rsidR="00AF2313" w:rsidRPr="00CC7D8B" w:rsidRDefault="00AF2313" w:rsidP="00AF2313">
      <w:pPr>
        <w:pStyle w:val="ListBullet"/>
      </w:pPr>
      <w:r w:rsidRPr="00CC7D8B">
        <w:t>A new AusPAR may be provided to reflect changes to indications or major variations to a prescription medicine subject to evaluation by the TGA.</w:t>
      </w:r>
    </w:p>
    <w:p w14:paraId="677A936C" w14:textId="77777777" w:rsidR="00924482" w:rsidRPr="00CC7D8B" w:rsidRDefault="00924482" w:rsidP="00F54B65">
      <w:pPr>
        <w:pStyle w:val="LegalSubheading"/>
        <w:spacing w:before="3120"/>
      </w:pPr>
      <w:r w:rsidRPr="00CC7D8B">
        <w:t>Copyright</w:t>
      </w:r>
    </w:p>
    <w:p w14:paraId="6476868D" w14:textId="7AB0D137" w:rsidR="00924482" w:rsidRPr="00CC7D8B" w:rsidRDefault="00924482" w:rsidP="00924482">
      <w:pPr>
        <w:pStyle w:val="LegalCopy"/>
      </w:pPr>
      <w:r w:rsidRPr="00CC7D8B">
        <w:rPr>
          <w:rFonts w:cs="Arial"/>
          <w:lang w:val="en-GB"/>
        </w:rPr>
        <w:t>© Commonwealth of Australia 20</w:t>
      </w:r>
      <w:r w:rsidR="00460036" w:rsidRPr="00CC7D8B">
        <w:rPr>
          <w:rFonts w:cs="Arial"/>
          <w:lang w:val="en-GB"/>
        </w:rPr>
        <w:t>2</w:t>
      </w:r>
      <w:r w:rsidR="00AF2313" w:rsidRPr="00CC7D8B">
        <w:rPr>
          <w:rFonts w:cs="Arial"/>
          <w:lang w:val="en-GB"/>
        </w:rPr>
        <w:t>2</w:t>
      </w:r>
      <w:r w:rsidRPr="00CC7D8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CC7D8B">
        <w:rPr>
          <w:rFonts w:cs="Arial"/>
          <w:i/>
          <w:lang w:val="en-GB"/>
        </w:rPr>
        <w:t>Copyright Act 1968</w:t>
      </w:r>
      <w:r w:rsidRPr="00CC7D8B">
        <w:rPr>
          <w:rFonts w:cs="Arial"/>
          <w:lang w:val="en-GB"/>
        </w:rPr>
        <w:t xml:space="preserve"> or allowed by this copyright notice, all other rights are </w:t>
      </w:r>
      <w:r w:rsidR="00EB36D6" w:rsidRPr="00CC7D8B">
        <w:rPr>
          <w:rFonts w:cs="Arial"/>
          <w:lang w:val="en-GB"/>
        </w:rPr>
        <w:t>reserved,</w:t>
      </w:r>
      <w:r w:rsidRPr="00CC7D8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CC7D8B">
        <w:rPr>
          <w:rFonts w:cs="Arial"/>
          <w:lang w:val="en-GB"/>
        </w:rPr>
        <w:t>Woden</w:t>
      </w:r>
      <w:proofErr w:type="spellEnd"/>
      <w:r w:rsidRPr="00CC7D8B">
        <w:rPr>
          <w:rFonts w:cs="Arial"/>
          <w:lang w:val="en-GB"/>
        </w:rPr>
        <w:t xml:space="preserve"> ACT 2606 or emailed to &lt;</w:t>
      </w:r>
      <w:hyperlink r:id="rId13" w:history="1">
        <w:r w:rsidRPr="00CC7D8B">
          <w:rPr>
            <w:rStyle w:val="Hyperlink"/>
            <w:rFonts w:cs="Arial"/>
            <w:lang w:val="en-GB"/>
          </w:rPr>
          <w:t>tga.copyright@tga.gov.au</w:t>
        </w:r>
      </w:hyperlink>
      <w:r w:rsidRPr="00CC7D8B">
        <w:rPr>
          <w:rFonts w:cs="Arial"/>
        </w:rPr>
        <w:t>&gt;.</w:t>
      </w:r>
    </w:p>
    <w:p w14:paraId="3214B3C7" w14:textId="77777777" w:rsidR="00924482" w:rsidRPr="00CC7D8B" w:rsidRDefault="00924482" w:rsidP="00924482">
      <w:pPr>
        <w:pStyle w:val="LegalCopy"/>
        <w:sectPr w:rsidR="00924482" w:rsidRPr="00CC7D8B"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5F41A9FD" w14:textId="77777777" w:rsidR="0089635C" w:rsidRPr="00CC7D8B" w:rsidRDefault="0089635C" w:rsidP="0010788A">
          <w:pPr>
            <w:pStyle w:val="Contents"/>
          </w:pPr>
          <w:r w:rsidRPr="00CC7D8B">
            <w:t>Contents</w:t>
          </w:r>
        </w:p>
        <w:p w14:paraId="0F007C2D" w14:textId="689969FF" w:rsidR="00522240" w:rsidRDefault="00C525A2">
          <w:pPr>
            <w:pStyle w:val="TOC1"/>
            <w:rPr>
              <w:rFonts w:asciiTheme="minorHAnsi" w:eastAsiaTheme="minorEastAsia" w:hAnsiTheme="minorHAnsi" w:cstheme="minorBidi"/>
              <w:b w:val="0"/>
              <w:noProof/>
              <w:sz w:val="22"/>
              <w:lang w:eastAsia="en-AU"/>
            </w:rPr>
          </w:pPr>
          <w:r w:rsidRPr="00CC7D8B">
            <w:fldChar w:fldCharType="begin"/>
          </w:r>
          <w:r w:rsidRPr="00CC7D8B">
            <w:instrText xml:space="preserve"> TOC \h \z \t "Heading 2,1,Heading 3,2" </w:instrText>
          </w:r>
          <w:r w:rsidRPr="00CC7D8B">
            <w:fldChar w:fldCharType="separate"/>
          </w:r>
          <w:hyperlink w:anchor="_Toc109817285" w:history="1">
            <w:r w:rsidR="00522240" w:rsidRPr="008D3CE0">
              <w:rPr>
                <w:rStyle w:val="Hyperlink"/>
                <w:noProof/>
              </w:rPr>
              <w:t>List of abbreviations</w:t>
            </w:r>
            <w:r w:rsidR="00522240">
              <w:rPr>
                <w:noProof/>
                <w:webHidden/>
              </w:rPr>
              <w:tab/>
            </w:r>
            <w:r w:rsidR="00522240">
              <w:rPr>
                <w:noProof/>
                <w:webHidden/>
              </w:rPr>
              <w:fldChar w:fldCharType="begin"/>
            </w:r>
            <w:r w:rsidR="00522240">
              <w:rPr>
                <w:noProof/>
                <w:webHidden/>
              </w:rPr>
              <w:instrText xml:space="preserve"> PAGEREF _Toc109817285 \h </w:instrText>
            </w:r>
            <w:r w:rsidR="00522240">
              <w:rPr>
                <w:noProof/>
                <w:webHidden/>
              </w:rPr>
            </w:r>
            <w:r w:rsidR="00522240">
              <w:rPr>
                <w:noProof/>
                <w:webHidden/>
              </w:rPr>
              <w:fldChar w:fldCharType="separate"/>
            </w:r>
            <w:r w:rsidR="00522240">
              <w:rPr>
                <w:noProof/>
                <w:webHidden/>
              </w:rPr>
              <w:t>4</w:t>
            </w:r>
            <w:r w:rsidR="00522240">
              <w:rPr>
                <w:noProof/>
                <w:webHidden/>
              </w:rPr>
              <w:fldChar w:fldCharType="end"/>
            </w:r>
          </w:hyperlink>
        </w:p>
        <w:p w14:paraId="20A87D14" w14:textId="5FF57B39" w:rsidR="00522240" w:rsidRDefault="00700AB2">
          <w:pPr>
            <w:pStyle w:val="TOC1"/>
            <w:rPr>
              <w:rFonts w:asciiTheme="minorHAnsi" w:eastAsiaTheme="minorEastAsia" w:hAnsiTheme="minorHAnsi" w:cstheme="minorBidi"/>
              <w:b w:val="0"/>
              <w:noProof/>
              <w:sz w:val="22"/>
              <w:lang w:eastAsia="en-AU"/>
            </w:rPr>
          </w:pPr>
          <w:hyperlink w:anchor="_Toc109817286" w:history="1">
            <w:r w:rsidR="00522240" w:rsidRPr="008D3CE0">
              <w:rPr>
                <w:rStyle w:val="Hyperlink"/>
                <w:noProof/>
              </w:rPr>
              <w:t>Product submission</w:t>
            </w:r>
            <w:r w:rsidR="00522240">
              <w:rPr>
                <w:noProof/>
                <w:webHidden/>
              </w:rPr>
              <w:tab/>
            </w:r>
            <w:r w:rsidR="00522240">
              <w:rPr>
                <w:noProof/>
                <w:webHidden/>
              </w:rPr>
              <w:fldChar w:fldCharType="begin"/>
            </w:r>
            <w:r w:rsidR="00522240">
              <w:rPr>
                <w:noProof/>
                <w:webHidden/>
              </w:rPr>
              <w:instrText xml:space="preserve"> PAGEREF _Toc109817286 \h </w:instrText>
            </w:r>
            <w:r w:rsidR="00522240">
              <w:rPr>
                <w:noProof/>
                <w:webHidden/>
              </w:rPr>
            </w:r>
            <w:r w:rsidR="00522240">
              <w:rPr>
                <w:noProof/>
                <w:webHidden/>
              </w:rPr>
              <w:fldChar w:fldCharType="separate"/>
            </w:r>
            <w:r w:rsidR="00522240">
              <w:rPr>
                <w:noProof/>
                <w:webHidden/>
              </w:rPr>
              <w:t>6</w:t>
            </w:r>
            <w:r w:rsidR="00522240">
              <w:rPr>
                <w:noProof/>
                <w:webHidden/>
              </w:rPr>
              <w:fldChar w:fldCharType="end"/>
            </w:r>
          </w:hyperlink>
        </w:p>
        <w:p w14:paraId="7AD31A9D" w14:textId="69C9E997" w:rsidR="00522240" w:rsidRDefault="00700AB2">
          <w:pPr>
            <w:pStyle w:val="TOC2"/>
            <w:rPr>
              <w:rFonts w:asciiTheme="minorHAnsi" w:eastAsiaTheme="minorEastAsia" w:hAnsiTheme="minorHAnsi" w:cstheme="minorBidi"/>
              <w:b w:val="0"/>
              <w:noProof/>
              <w:sz w:val="22"/>
              <w:lang w:eastAsia="en-AU"/>
            </w:rPr>
          </w:pPr>
          <w:hyperlink w:anchor="_Toc109817287" w:history="1">
            <w:r w:rsidR="00522240" w:rsidRPr="008D3CE0">
              <w:rPr>
                <w:rStyle w:val="Hyperlink"/>
                <w:noProof/>
                <w:lang w:eastAsia="en-AU"/>
              </w:rPr>
              <w:t>Submission details</w:t>
            </w:r>
            <w:r w:rsidR="00522240">
              <w:rPr>
                <w:noProof/>
                <w:webHidden/>
              </w:rPr>
              <w:tab/>
            </w:r>
            <w:r w:rsidR="00522240">
              <w:rPr>
                <w:noProof/>
                <w:webHidden/>
              </w:rPr>
              <w:fldChar w:fldCharType="begin"/>
            </w:r>
            <w:r w:rsidR="00522240">
              <w:rPr>
                <w:noProof/>
                <w:webHidden/>
              </w:rPr>
              <w:instrText xml:space="preserve"> PAGEREF _Toc109817287 \h </w:instrText>
            </w:r>
            <w:r w:rsidR="00522240">
              <w:rPr>
                <w:noProof/>
                <w:webHidden/>
              </w:rPr>
            </w:r>
            <w:r w:rsidR="00522240">
              <w:rPr>
                <w:noProof/>
                <w:webHidden/>
              </w:rPr>
              <w:fldChar w:fldCharType="separate"/>
            </w:r>
            <w:r w:rsidR="00522240">
              <w:rPr>
                <w:noProof/>
                <w:webHidden/>
              </w:rPr>
              <w:t>6</w:t>
            </w:r>
            <w:r w:rsidR="00522240">
              <w:rPr>
                <w:noProof/>
                <w:webHidden/>
              </w:rPr>
              <w:fldChar w:fldCharType="end"/>
            </w:r>
          </w:hyperlink>
        </w:p>
        <w:p w14:paraId="0FB0FBA3" w14:textId="2F0AE855" w:rsidR="00522240" w:rsidRDefault="00700AB2">
          <w:pPr>
            <w:pStyle w:val="TOC2"/>
            <w:rPr>
              <w:rFonts w:asciiTheme="minorHAnsi" w:eastAsiaTheme="minorEastAsia" w:hAnsiTheme="minorHAnsi" w:cstheme="minorBidi"/>
              <w:b w:val="0"/>
              <w:noProof/>
              <w:sz w:val="22"/>
              <w:lang w:eastAsia="en-AU"/>
            </w:rPr>
          </w:pPr>
          <w:hyperlink w:anchor="_Toc109817288" w:history="1">
            <w:r w:rsidR="00522240" w:rsidRPr="008D3CE0">
              <w:rPr>
                <w:rStyle w:val="Hyperlink"/>
                <w:noProof/>
              </w:rPr>
              <w:t>Product background</w:t>
            </w:r>
            <w:r w:rsidR="00522240">
              <w:rPr>
                <w:noProof/>
                <w:webHidden/>
              </w:rPr>
              <w:tab/>
            </w:r>
            <w:r w:rsidR="00522240">
              <w:rPr>
                <w:noProof/>
                <w:webHidden/>
              </w:rPr>
              <w:fldChar w:fldCharType="begin"/>
            </w:r>
            <w:r w:rsidR="00522240">
              <w:rPr>
                <w:noProof/>
                <w:webHidden/>
              </w:rPr>
              <w:instrText xml:space="preserve"> PAGEREF _Toc109817288 \h </w:instrText>
            </w:r>
            <w:r w:rsidR="00522240">
              <w:rPr>
                <w:noProof/>
                <w:webHidden/>
              </w:rPr>
            </w:r>
            <w:r w:rsidR="00522240">
              <w:rPr>
                <w:noProof/>
                <w:webHidden/>
              </w:rPr>
              <w:fldChar w:fldCharType="separate"/>
            </w:r>
            <w:r w:rsidR="00522240">
              <w:rPr>
                <w:noProof/>
                <w:webHidden/>
              </w:rPr>
              <w:t>8</w:t>
            </w:r>
            <w:r w:rsidR="00522240">
              <w:rPr>
                <w:noProof/>
                <w:webHidden/>
              </w:rPr>
              <w:fldChar w:fldCharType="end"/>
            </w:r>
          </w:hyperlink>
        </w:p>
        <w:p w14:paraId="13B266C6" w14:textId="010E6003" w:rsidR="00522240" w:rsidRDefault="00700AB2">
          <w:pPr>
            <w:pStyle w:val="TOC2"/>
            <w:rPr>
              <w:rFonts w:asciiTheme="minorHAnsi" w:eastAsiaTheme="minorEastAsia" w:hAnsiTheme="minorHAnsi" w:cstheme="minorBidi"/>
              <w:b w:val="0"/>
              <w:noProof/>
              <w:sz w:val="22"/>
              <w:lang w:eastAsia="en-AU"/>
            </w:rPr>
          </w:pPr>
          <w:hyperlink w:anchor="_Toc109817289" w:history="1">
            <w:r w:rsidR="00522240" w:rsidRPr="008D3CE0">
              <w:rPr>
                <w:rStyle w:val="Hyperlink"/>
                <w:noProof/>
              </w:rPr>
              <w:t>Regulatory status</w:t>
            </w:r>
            <w:r w:rsidR="00522240">
              <w:rPr>
                <w:noProof/>
                <w:webHidden/>
              </w:rPr>
              <w:tab/>
            </w:r>
            <w:r w:rsidR="00522240">
              <w:rPr>
                <w:noProof/>
                <w:webHidden/>
              </w:rPr>
              <w:fldChar w:fldCharType="begin"/>
            </w:r>
            <w:r w:rsidR="00522240">
              <w:rPr>
                <w:noProof/>
                <w:webHidden/>
              </w:rPr>
              <w:instrText xml:space="preserve"> PAGEREF _Toc109817289 \h </w:instrText>
            </w:r>
            <w:r w:rsidR="00522240">
              <w:rPr>
                <w:noProof/>
                <w:webHidden/>
              </w:rPr>
            </w:r>
            <w:r w:rsidR="00522240">
              <w:rPr>
                <w:noProof/>
                <w:webHidden/>
              </w:rPr>
              <w:fldChar w:fldCharType="separate"/>
            </w:r>
            <w:r w:rsidR="00522240">
              <w:rPr>
                <w:noProof/>
                <w:webHidden/>
              </w:rPr>
              <w:t>11</w:t>
            </w:r>
            <w:r w:rsidR="00522240">
              <w:rPr>
                <w:noProof/>
                <w:webHidden/>
              </w:rPr>
              <w:fldChar w:fldCharType="end"/>
            </w:r>
          </w:hyperlink>
        </w:p>
        <w:p w14:paraId="3E1D6324" w14:textId="224F9300" w:rsidR="00522240" w:rsidRDefault="00700AB2">
          <w:pPr>
            <w:pStyle w:val="TOC2"/>
            <w:rPr>
              <w:rFonts w:asciiTheme="minorHAnsi" w:eastAsiaTheme="minorEastAsia" w:hAnsiTheme="minorHAnsi" w:cstheme="minorBidi"/>
              <w:b w:val="0"/>
              <w:noProof/>
              <w:sz w:val="22"/>
              <w:lang w:eastAsia="en-AU"/>
            </w:rPr>
          </w:pPr>
          <w:hyperlink w:anchor="_Toc109817290" w:history="1">
            <w:r w:rsidR="00522240" w:rsidRPr="008D3CE0">
              <w:rPr>
                <w:rStyle w:val="Hyperlink"/>
                <w:noProof/>
              </w:rPr>
              <w:t>Product Information</w:t>
            </w:r>
            <w:r w:rsidR="00522240">
              <w:rPr>
                <w:noProof/>
                <w:webHidden/>
              </w:rPr>
              <w:tab/>
            </w:r>
            <w:r w:rsidR="00522240">
              <w:rPr>
                <w:noProof/>
                <w:webHidden/>
              </w:rPr>
              <w:fldChar w:fldCharType="begin"/>
            </w:r>
            <w:r w:rsidR="00522240">
              <w:rPr>
                <w:noProof/>
                <w:webHidden/>
              </w:rPr>
              <w:instrText xml:space="preserve"> PAGEREF _Toc109817290 \h </w:instrText>
            </w:r>
            <w:r w:rsidR="00522240">
              <w:rPr>
                <w:noProof/>
                <w:webHidden/>
              </w:rPr>
            </w:r>
            <w:r w:rsidR="00522240">
              <w:rPr>
                <w:noProof/>
                <w:webHidden/>
              </w:rPr>
              <w:fldChar w:fldCharType="separate"/>
            </w:r>
            <w:r w:rsidR="00522240">
              <w:rPr>
                <w:noProof/>
                <w:webHidden/>
              </w:rPr>
              <w:t>12</w:t>
            </w:r>
            <w:r w:rsidR="00522240">
              <w:rPr>
                <w:noProof/>
                <w:webHidden/>
              </w:rPr>
              <w:fldChar w:fldCharType="end"/>
            </w:r>
          </w:hyperlink>
        </w:p>
        <w:p w14:paraId="0871322D" w14:textId="6789514C" w:rsidR="00522240" w:rsidRDefault="00700AB2">
          <w:pPr>
            <w:pStyle w:val="TOC1"/>
            <w:rPr>
              <w:rFonts w:asciiTheme="minorHAnsi" w:eastAsiaTheme="minorEastAsia" w:hAnsiTheme="minorHAnsi" w:cstheme="minorBidi"/>
              <w:b w:val="0"/>
              <w:noProof/>
              <w:sz w:val="22"/>
              <w:lang w:eastAsia="en-AU"/>
            </w:rPr>
          </w:pPr>
          <w:hyperlink w:anchor="_Toc109817291" w:history="1">
            <w:r w:rsidR="00522240" w:rsidRPr="008D3CE0">
              <w:rPr>
                <w:rStyle w:val="Hyperlink"/>
                <w:noProof/>
              </w:rPr>
              <w:t>Registration timeline</w:t>
            </w:r>
            <w:r w:rsidR="00522240">
              <w:rPr>
                <w:noProof/>
                <w:webHidden/>
              </w:rPr>
              <w:tab/>
            </w:r>
            <w:r w:rsidR="00522240">
              <w:rPr>
                <w:noProof/>
                <w:webHidden/>
              </w:rPr>
              <w:fldChar w:fldCharType="begin"/>
            </w:r>
            <w:r w:rsidR="00522240">
              <w:rPr>
                <w:noProof/>
                <w:webHidden/>
              </w:rPr>
              <w:instrText xml:space="preserve"> PAGEREF _Toc109817291 \h </w:instrText>
            </w:r>
            <w:r w:rsidR="00522240">
              <w:rPr>
                <w:noProof/>
                <w:webHidden/>
              </w:rPr>
            </w:r>
            <w:r w:rsidR="00522240">
              <w:rPr>
                <w:noProof/>
                <w:webHidden/>
              </w:rPr>
              <w:fldChar w:fldCharType="separate"/>
            </w:r>
            <w:r w:rsidR="00522240">
              <w:rPr>
                <w:noProof/>
                <w:webHidden/>
              </w:rPr>
              <w:t>12</w:t>
            </w:r>
            <w:r w:rsidR="00522240">
              <w:rPr>
                <w:noProof/>
                <w:webHidden/>
              </w:rPr>
              <w:fldChar w:fldCharType="end"/>
            </w:r>
          </w:hyperlink>
        </w:p>
        <w:p w14:paraId="799E9082" w14:textId="740883FB" w:rsidR="00522240" w:rsidRDefault="00700AB2">
          <w:pPr>
            <w:pStyle w:val="TOC1"/>
            <w:rPr>
              <w:rFonts w:asciiTheme="minorHAnsi" w:eastAsiaTheme="minorEastAsia" w:hAnsiTheme="minorHAnsi" w:cstheme="minorBidi"/>
              <w:b w:val="0"/>
              <w:noProof/>
              <w:sz w:val="22"/>
              <w:lang w:eastAsia="en-AU"/>
            </w:rPr>
          </w:pPr>
          <w:hyperlink w:anchor="_Toc109817292" w:history="1">
            <w:r w:rsidR="00522240" w:rsidRPr="008D3CE0">
              <w:rPr>
                <w:rStyle w:val="Hyperlink"/>
                <w:noProof/>
              </w:rPr>
              <w:t>Submission overview and risk/benefit assessment</w:t>
            </w:r>
            <w:r w:rsidR="00522240">
              <w:rPr>
                <w:noProof/>
                <w:webHidden/>
              </w:rPr>
              <w:tab/>
            </w:r>
            <w:r w:rsidR="00522240">
              <w:rPr>
                <w:noProof/>
                <w:webHidden/>
              </w:rPr>
              <w:fldChar w:fldCharType="begin"/>
            </w:r>
            <w:r w:rsidR="00522240">
              <w:rPr>
                <w:noProof/>
                <w:webHidden/>
              </w:rPr>
              <w:instrText xml:space="preserve"> PAGEREF _Toc109817292 \h </w:instrText>
            </w:r>
            <w:r w:rsidR="00522240">
              <w:rPr>
                <w:noProof/>
                <w:webHidden/>
              </w:rPr>
            </w:r>
            <w:r w:rsidR="00522240">
              <w:rPr>
                <w:noProof/>
                <w:webHidden/>
              </w:rPr>
              <w:fldChar w:fldCharType="separate"/>
            </w:r>
            <w:r w:rsidR="00522240">
              <w:rPr>
                <w:noProof/>
                <w:webHidden/>
              </w:rPr>
              <w:t>13</w:t>
            </w:r>
            <w:r w:rsidR="00522240">
              <w:rPr>
                <w:noProof/>
                <w:webHidden/>
              </w:rPr>
              <w:fldChar w:fldCharType="end"/>
            </w:r>
          </w:hyperlink>
        </w:p>
        <w:p w14:paraId="531AB2DA" w14:textId="229CEF71" w:rsidR="00522240" w:rsidRDefault="00700AB2">
          <w:pPr>
            <w:pStyle w:val="TOC2"/>
            <w:rPr>
              <w:rFonts w:asciiTheme="minorHAnsi" w:eastAsiaTheme="minorEastAsia" w:hAnsiTheme="minorHAnsi" w:cstheme="minorBidi"/>
              <w:b w:val="0"/>
              <w:noProof/>
              <w:sz w:val="22"/>
              <w:lang w:eastAsia="en-AU"/>
            </w:rPr>
          </w:pPr>
          <w:hyperlink w:anchor="_Toc109817293" w:history="1">
            <w:r w:rsidR="00522240" w:rsidRPr="008D3CE0">
              <w:rPr>
                <w:rStyle w:val="Hyperlink"/>
                <w:noProof/>
              </w:rPr>
              <w:t>Quality</w:t>
            </w:r>
            <w:r w:rsidR="00522240">
              <w:rPr>
                <w:noProof/>
                <w:webHidden/>
              </w:rPr>
              <w:tab/>
            </w:r>
            <w:r w:rsidR="00522240">
              <w:rPr>
                <w:noProof/>
                <w:webHidden/>
              </w:rPr>
              <w:fldChar w:fldCharType="begin"/>
            </w:r>
            <w:r w:rsidR="00522240">
              <w:rPr>
                <w:noProof/>
                <w:webHidden/>
              </w:rPr>
              <w:instrText xml:space="preserve"> PAGEREF _Toc109817293 \h </w:instrText>
            </w:r>
            <w:r w:rsidR="00522240">
              <w:rPr>
                <w:noProof/>
                <w:webHidden/>
              </w:rPr>
            </w:r>
            <w:r w:rsidR="00522240">
              <w:rPr>
                <w:noProof/>
                <w:webHidden/>
              </w:rPr>
              <w:fldChar w:fldCharType="separate"/>
            </w:r>
            <w:r w:rsidR="00522240">
              <w:rPr>
                <w:noProof/>
                <w:webHidden/>
              </w:rPr>
              <w:t>13</w:t>
            </w:r>
            <w:r w:rsidR="00522240">
              <w:rPr>
                <w:noProof/>
                <w:webHidden/>
              </w:rPr>
              <w:fldChar w:fldCharType="end"/>
            </w:r>
          </w:hyperlink>
        </w:p>
        <w:p w14:paraId="424C3720" w14:textId="39A0A97B" w:rsidR="00522240" w:rsidRDefault="00700AB2">
          <w:pPr>
            <w:pStyle w:val="TOC2"/>
            <w:rPr>
              <w:rFonts w:asciiTheme="minorHAnsi" w:eastAsiaTheme="minorEastAsia" w:hAnsiTheme="minorHAnsi" w:cstheme="minorBidi"/>
              <w:b w:val="0"/>
              <w:noProof/>
              <w:sz w:val="22"/>
              <w:lang w:eastAsia="en-AU"/>
            </w:rPr>
          </w:pPr>
          <w:hyperlink w:anchor="_Toc109817294" w:history="1">
            <w:r w:rsidR="00522240" w:rsidRPr="008D3CE0">
              <w:rPr>
                <w:rStyle w:val="Hyperlink"/>
                <w:noProof/>
              </w:rPr>
              <w:t>Nonclinical</w:t>
            </w:r>
            <w:r w:rsidR="00522240">
              <w:rPr>
                <w:noProof/>
                <w:webHidden/>
              </w:rPr>
              <w:tab/>
            </w:r>
            <w:r w:rsidR="00522240">
              <w:rPr>
                <w:noProof/>
                <w:webHidden/>
              </w:rPr>
              <w:fldChar w:fldCharType="begin"/>
            </w:r>
            <w:r w:rsidR="00522240">
              <w:rPr>
                <w:noProof/>
                <w:webHidden/>
              </w:rPr>
              <w:instrText xml:space="preserve"> PAGEREF _Toc109817294 \h </w:instrText>
            </w:r>
            <w:r w:rsidR="00522240">
              <w:rPr>
                <w:noProof/>
                <w:webHidden/>
              </w:rPr>
            </w:r>
            <w:r w:rsidR="00522240">
              <w:rPr>
                <w:noProof/>
                <w:webHidden/>
              </w:rPr>
              <w:fldChar w:fldCharType="separate"/>
            </w:r>
            <w:r w:rsidR="00522240">
              <w:rPr>
                <w:noProof/>
                <w:webHidden/>
              </w:rPr>
              <w:t>14</w:t>
            </w:r>
            <w:r w:rsidR="00522240">
              <w:rPr>
                <w:noProof/>
                <w:webHidden/>
              </w:rPr>
              <w:fldChar w:fldCharType="end"/>
            </w:r>
          </w:hyperlink>
        </w:p>
        <w:p w14:paraId="00EBAFFA" w14:textId="6B934066" w:rsidR="00522240" w:rsidRDefault="00700AB2">
          <w:pPr>
            <w:pStyle w:val="TOC2"/>
            <w:rPr>
              <w:rFonts w:asciiTheme="minorHAnsi" w:eastAsiaTheme="minorEastAsia" w:hAnsiTheme="minorHAnsi" w:cstheme="minorBidi"/>
              <w:b w:val="0"/>
              <w:noProof/>
              <w:sz w:val="22"/>
              <w:lang w:eastAsia="en-AU"/>
            </w:rPr>
          </w:pPr>
          <w:hyperlink w:anchor="_Toc109817295" w:history="1">
            <w:r w:rsidR="00522240" w:rsidRPr="008D3CE0">
              <w:rPr>
                <w:rStyle w:val="Hyperlink"/>
                <w:noProof/>
              </w:rPr>
              <w:t>Clinical</w:t>
            </w:r>
            <w:r w:rsidR="00522240">
              <w:rPr>
                <w:noProof/>
                <w:webHidden/>
              </w:rPr>
              <w:tab/>
            </w:r>
            <w:r w:rsidR="00522240">
              <w:rPr>
                <w:noProof/>
                <w:webHidden/>
              </w:rPr>
              <w:fldChar w:fldCharType="begin"/>
            </w:r>
            <w:r w:rsidR="00522240">
              <w:rPr>
                <w:noProof/>
                <w:webHidden/>
              </w:rPr>
              <w:instrText xml:space="preserve"> PAGEREF _Toc109817295 \h </w:instrText>
            </w:r>
            <w:r w:rsidR="00522240">
              <w:rPr>
                <w:noProof/>
                <w:webHidden/>
              </w:rPr>
            </w:r>
            <w:r w:rsidR="00522240">
              <w:rPr>
                <w:noProof/>
                <w:webHidden/>
              </w:rPr>
              <w:fldChar w:fldCharType="separate"/>
            </w:r>
            <w:r w:rsidR="00522240">
              <w:rPr>
                <w:noProof/>
                <w:webHidden/>
              </w:rPr>
              <w:t>14</w:t>
            </w:r>
            <w:r w:rsidR="00522240">
              <w:rPr>
                <w:noProof/>
                <w:webHidden/>
              </w:rPr>
              <w:fldChar w:fldCharType="end"/>
            </w:r>
          </w:hyperlink>
        </w:p>
        <w:p w14:paraId="6CCACC21" w14:textId="57C4C1F6" w:rsidR="00522240" w:rsidRDefault="00700AB2">
          <w:pPr>
            <w:pStyle w:val="TOC2"/>
            <w:rPr>
              <w:rFonts w:asciiTheme="minorHAnsi" w:eastAsiaTheme="minorEastAsia" w:hAnsiTheme="minorHAnsi" w:cstheme="minorBidi"/>
              <w:b w:val="0"/>
              <w:noProof/>
              <w:sz w:val="22"/>
              <w:lang w:eastAsia="en-AU"/>
            </w:rPr>
          </w:pPr>
          <w:hyperlink w:anchor="_Toc109817296" w:history="1">
            <w:r w:rsidR="00522240" w:rsidRPr="008D3CE0">
              <w:rPr>
                <w:rStyle w:val="Hyperlink"/>
                <w:noProof/>
                <w:lang w:eastAsia="en-AU"/>
              </w:rPr>
              <w:t>Risk management plan</w:t>
            </w:r>
            <w:r w:rsidR="00522240">
              <w:rPr>
                <w:noProof/>
                <w:webHidden/>
              </w:rPr>
              <w:tab/>
            </w:r>
            <w:r w:rsidR="00522240">
              <w:rPr>
                <w:noProof/>
                <w:webHidden/>
              </w:rPr>
              <w:fldChar w:fldCharType="begin"/>
            </w:r>
            <w:r w:rsidR="00522240">
              <w:rPr>
                <w:noProof/>
                <w:webHidden/>
              </w:rPr>
              <w:instrText xml:space="preserve"> PAGEREF _Toc109817296 \h </w:instrText>
            </w:r>
            <w:r w:rsidR="00522240">
              <w:rPr>
                <w:noProof/>
                <w:webHidden/>
              </w:rPr>
            </w:r>
            <w:r w:rsidR="00522240">
              <w:rPr>
                <w:noProof/>
                <w:webHidden/>
              </w:rPr>
              <w:fldChar w:fldCharType="separate"/>
            </w:r>
            <w:r w:rsidR="00522240">
              <w:rPr>
                <w:noProof/>
                <w:webHidden/>
              </w:rPr>
              <w:t>22</w:t>
            </w:r>
            <w:r w:rsidR="00522240">
              <w:rPr>
                <w:noProof/>
                <w:webHidden/>
              </w:rPr>
              <w:fldChar w:fldCharType="end"/>
            </w:r>
          </w:hyperlink>
        </w:p>
        <w:p w14:paraId="3B0604AD" w14:textId="3C670E93" w:rsidR="00522240" w:rsidRDefault="00700AB2">
          <w:pPr>
            <w:pStyle w:val="TOC2"/>
            <w:rPr>
              <w:rFonts w:asciiTheme="minorHAnsi" w:eastAsiaTheme="minorEastAsia" w:hAnsiTheme="minorHAnsi" w:cstheme="minorBidi"/>
              <w:b w:val="0"/>
              <w:noProof/>
              <w:sz w:val="22"/>
              <w:lang w:eastAsia="en-AU"/>
            </w:rPr>
          </w:pPr>
          <w:hyperlink w:anchor="_Toc109817297" w:history="1">
            <w:r w:rsidR="00522240" w:rsidRPr="008D3CE0">
              <w:rPr>
                <w:rStyle w:val="Hyperlink"/>
                <w:noProof/>
              </w:rPr>
              <w:t>Risk-benefit analysis</w:t>
            </w:r>
            <w:r w:rsidR="00522240">
              <w:rPr>
                <w:noProof/>
                <w:webHidden/>
              </w:rPr>
              <w:tab/>
            </w:r>
            <w:r w:rsidR="00522240">
              <w:rPr>
                <w:noProof/>
                <w:webHidden/>
              </w:rPr>
              <w:fldChar w:fldCharType="begin"/>
            </w:r>
            <w:r w:rsidR="00522240">
              <w:rPr>
                <w:noProof/>
                <w:webHidden/>
              </w:rPr>
              <w:instrText xml:space="preserve"> PAGEREF _Toc109817297 \h </w:instrText>
            </w:r>
            <w:r w:rsidR="00522240">
              <w:rPr>
                <w:noProof/>
                <w:webHidden/>
              </w:rPr>
            </w:r>
            <w:r w:rsidR="00522240">
              <w:rPr>
                <w:noProof/>
                <w:webHidden/>
              </w:rPr>
              <w:fldChar w:fldCharType="separate"/>
            </w:r>
            <w:r w:rsidR="00522240">
              <w:rPr>
                <w:noProof/>
                <w:webHidden/>
              </w:rPr>
              <w:t>24</w:t>
            </w:r>
            <w:r w:rsidR="00522240">
              <w:rPr>
                <w:noProof/>
                <w:webHidden/>
              </w:rPr>
              <w:fldChar w:fldCharType="end"/>
            </w:r>
          </w:hyperlink>
        </w:p>
        <w:p w14:paraId="70EE3B6F" w14:textId="684AB8D9" w:rsidR="00522240" w:rsidRDefault="00700AB2">
          <w:pPr>
            <w:pStyle w:val="TOC1"/>
            <w:rPr>
              <w:rFonts w:asciiTheme="minorHAnsi" w:eastAsiaTheme="minorEastAsia" w:hAnsiTheme="minorHAnsi" w:cstheme="minorBidi"/>
              <w:b w:val="0"/>
              <w:noProof/>
              <w:sz w:val="22"/>
              <w:lang w:eastAsia="en-AU"/>
            </w:rPr>
          </w:pPr>
          <w:hyperlink w:anchor="_Toc109817298" w:history="1">
            <w:r w:rsidR="00522240" w:rsidRPr="008D3CE0">
              <w:rPr>
                <w:rStyle w:val="Hyperlink"/>
                <w:noProof/>
              </w:rPr>
              <w:t>Outcome</w:t>
            </w:r>
            <w:r w:rsidR="00522240">
              <w:rPr>
                <w:noProof/>
                <w:webHidden/>
              </w:rPr>
              <w:tab/>
            </w:r>
            <w:r w:rsidR="00522240">
              <w:rPr>
                <w:noProof/>
                <w:webHidden/>
              </w:rPr>
              <w:fldChar w:fldCharType="begin"/>
            </w:r>
            <w:r w:rsidR="00522240">
              <w:rPr>
                <w:noProof/>
                <w:webHidden/>
              </w:rPr>
              <w:instrText xml:space="preserve"> PAGEREF _Toc109817298 \h </w:instrText>
            </w:r>
            <w:r w:rsidR="00522240">
              <w:rPr>
                <w:noProof/>
                <w:webHidden/>
              </w:rPr>
            </w:r>
            <w:r w:rsidR="00522240">
              <w:rPr>
                <w:noProof/>
                <w:webHidden/>
              </w:rPr>
              <w:fldChar w:fldCharType="separate"/>
            </w:r>
            <w:r w:rsidR="00522240">
              <w:rPr>
                <w:noProof/>
                <w:webHidden/>
              </w:rPr>
              <w:t>27</w:t>
            </w:r>
            <w:r w:rsidR="00522240">
              <w:rPr>
                <w:noProof/>
                <w:webHidden/>
              </w:rPr>
              <w:fldChar w:fldCharType="end"/>
            </w:r>
          </w:hyperlink>
        </w:p>
        <w:p w14:paraId="7E6B0250" w14:textId="107CD915" w:rsidR="00522240" w:rsidRDefault="00700AB2">
          <w:pPr>
            <w:pStyle w:val="TOC2"/>
            <w:rPr>
              <w:rFonts w:asciiTheme="minorHAnsi" w:eastAsiaTheme="minorEastAsia" w:hAnsiTheme="minorHAnsi" w:cstheme="minorBidi"/>
              <w:b w:val="0"/>
              <w:noProof/>
              <w:sz w:val="22"/>
              <w:lang w:eastAsia="en-AU"/>
            </w:rPr>
          </w:pPr>
          <w:hyperlink w:anchor="_Toc109817299" w:history="1">
            <w:r w:rsidR="00522240" w:rsidRPr="008D3CE0">
              <w:rPr>
                <w:rStyle w:val="Hyperlink"/>
                <w:noProof/>
              </w:rPr>
              <w:t>Specific conditions of registration applying to these goods</w:t>
            </w:r>
            <w:r w:rsidR="00522240">
              <w:rPr>
                <w:noProof/>
                <w:webHidden/>
              </w:rPr>
              <w:tab/>
            </w:r>
            <w:r w:rsidR="00522240">
              <w:rPr>
                <w:noProof/>
                <w:webHidden/>
              </w:rPr>
              <w:fldChar w:fldCharType="begin"/>
            </w:r>
            <w:r w:rsidR="00522240">
              <w:rPr>
                <w:noProof/>
                <w:webHidden/>
              </w:rPr>
              <w:instrText xml:space="preserve"> PAGEREF _Toc109817299 \h </w:instrText>
            </w:r>
            <w:r w:rsidR="00522240">
              <w:rPr>
                <w:noProof/>
                <w:webHidden/>
              </w:rPr>
            </w:r>
            <w:r w:rsidR="00522240">
              <w:rPr>
                <w:noProof/>
                <w:webHidden/>
              </w:rPr>
              <w:fldChar w:fldCharType="separate"/>
            </w:r>
            <w:r w:rsidR="00522240">
              <w:rPr>
                <w:noProof/>
                <w:webHidden/>
              </w:rPr>
              <w:t>28</w:t>
            </w:r>
            <w:r w:rsidR="00522240">
              <w:rPr>
                <w:noProof/>
                <w:webHidden/>
              </w:rPr>
              <w:fldChar w:fldCharType="end"/>
            </w:r>
          </w:hyperlink>
        </w:p>
        <w:p w14:paraId="6A44B3F7" w14:textId="79AA03B3" w:rsidR="00522240" w:rsidRDefault="00700AB2">
          <w:pPr>
            <w:pStyle w:val="TOC1"/>
            <w:rPr>
              <w:rFonts w:asciiTheme="minorHAnsi" w:eastAsiaTheme="minorEastAsia" w:hAnsiTheme="minorHAnsi" w:cstheme="minorBidi"/>
              <w:b w:val="0"/>
              <w:noProof/>
              <w:sz w:val="22"/>
              <w:lang w:eastAsia="en-AU"/>
            </w:rPr>
          </w:pPr>
          <w:hyperlink w:anchor="_Toc109817300" w:history="1">
            <w:r w:rsidR="00522240" w:rsidRPr="008D3CE0">
              <w:rPr>
                <w:rStyle w:val="Hyperlink"/>
                <w:noProof/>
              </w:rPr>
              <w:t>Attachment 1. Product Information</w:t>
            </w:r>
            <w:r w:rsidR="00522240">
              <w:rPr>
                <w:noProof/>
                <w:webHidden/>
              </w:rPr>
              <w:tab/>
            </w:r>
            <w:r w:rsidR="00522240">
              <w:rPr>
                <w:noProof/>
                <w:webHidden/>
              </w:rPr>
              <w:fldChar w:fldCharType="begin"/>
            </w:r>
            <w:r w:rsidR="00522240">
              <w:rPr>
                <w:noProof/>
                <w:webHidden/>
              </w:rPr>
              <w:instrText xml:space="preserve"> PAGEREF _Toc109817300 \h </w:instrText>
            </w:r>
            <w:r w:rsidR="00522240">
              <w:rPr>
                <w:noProof/>
                <w:webHidden/>
              </w:rPr>
            </w:r>
            <w:r w:rsidR="00522240">
              <w:rPr>
                <w:noProof/>
                <w:webHidden/>
              </w:rPr>
              <w:fldChar w:fldCharType="separate"/>
            </w:r>
            <w:r w:rsidR="00522240">
              <w:rPr>
                <w:noProof/>
                <w:webHidden/>
              </w:rPr>
              <w:t>30</w:t>
            </w:r>
            <w:r w:rsidR="00522240">
              <w:rPr>
                <w:noProof/>
                <w:webHidden/>
              </w:rPr>
              <w:fldChar w:fldCharType="end"/>
            </w:r>
          </w:hyperlink>
        </w:p>
        <w:p w14:paraId="1AFDC8EC" w14:textId="68B90323" w:rsidR="003A7F6C" w:rsidRPr="00CC7D8B" w:rsidRDefault="00C525A2" w:rsidP="00EB36D6">
          <w:r w:rsidRPr="00CC7D8B">
            <w:fldChar w:fldCharType="end"/>
          </w:r>
        </w:p>
      </w:sdtContent>
    </w:sdt>
    <w:bookmarkStart w:id="2" w:name="_Toc314842482" w:displacedByCustomXml="prev"/>
    <w:p w14:paraId="1511D16A" w14:textId="77777777" w:rsidR="00FD119B" w:rsidRPr="00CC7D8B" w:rsidRDefault="00FD119B">
      <w:pPr>
        <w:spacing w:before="0" w:after="200" w:line="0" w:lineRule="auto"/>
      </w:pPr>
      <w:r w:rsidRPr="00CC7D8B">
        <w:br w:type="page"/>
      </w:r>
    </w:p>
    <w:p w14:paraId="679B9484" w14:textId="77777777" w:rsidR="00AF2313" w:rsidRPr="00CC7D8B" w:rsidRDefault="00AF2313" w:rsidP="00AF2313">
      <w:pPr>
        <w:pStyle w:val="Heading2"/>
      </w:pPr>
      <w:bookmarkStart w:id="3" w:name="_Toc98931917"/>
      <w:bookmarkStart w:id="4" w:name="_Toc109817285"/>
      <w:r w:rsidRPr="00CC7D8B">
        <w:lastRenderedPageBreak/>
        <w:t>List of abbreviations</w:t>
      </w:r>
      <w:bookmarkEnd w:id="3"/>
      <w:bookmarkEnd w:id="4"/>
    </w:p>
    <w:tbl>
      <w:tblPr>
        <w:tblStyle w:val="TableTGAblue"/>
        <w:tblW w:w="5000" w:type="pct"/>
        <w:tblLook w:val="04A0" w:firstRow="1" w:lastRow="0" w:firstColumn="1" w:lastColumn="0" w:noHBand="0" w:noVBand="1"/>
      </w:tblPr>
      <w:tblGrid>
        <w:gridCol w:w="1890"/>
        <w:gridCol w:w="6594"/>
      </w:tblGrid>
      <w:tr w:rsidR="00AF2313" w:rsidRPr="00CC7D8B" w14:paraId="6C5C56C7" w14:textId="77777777" w:rsidTr="00505F26">
        <w:trPr>
          <w:cnfStyle w:val="100000000000" w:firstRow="1" w:lastRow="0" w:firstColumn="0" w:lastColumn="0" w:oddVBand="0" w:evenVBand="0" w:oddHBand="0" w:evenHBand="0" w:firstRowFirstColumn="0" w:firstRowLastColumn="0" w:lastRowFirstColumn="0" w:lastRowLastColumn="0"/>
          <w:cantSplit/>
        </w:trPr>
        <w:tc>
          <w:tcPr>
            <w:tcW w:w="1114" w:type="pct"/>
            <w:hideMark/>
          </w:tcPr>
          <w:p w14:paraId="540A607D" w14:textId="04AD3CB8" w:rsidR="00AF2313" w:rsidRPr="00C157B1" w:rsidRDefault="00AF2313" w:rsidP="005C5D5D">
            <w:r w:rsidRPr="005C5D5D">
              <w:t>Abbreviation</w:t>
            </w:r>
          </w:p>
        </w:tc>
        <w:tc>
          <w:tcPr>
            <w:tcW w:w="3886" w:type="pct"/>
            <w:hideMark/>
          </w:tcPr>
          <w:p w14:paraId="2D248057" w14:textId="77777777" w:rsidR="00AF2313" w:rsidRPr="005C5D5D" w:rsidRDefault="00AF2313" w:rsidP="005C5D5D">
            <w:r w:rsidRPr="005C5D5D">
              <w:t>Meaning</w:t>
            </w:r>
          </w:p>
        </w:tc>
      </w:tr>
      <w:tr w:rsidR="00AF2313" w:rsidRPr="00CC7D8B" w14:paraId="19CD5BA6"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hideMark/>
          </w:tcPr>
          <w:p w14:paraId="291C994D" w14:textId="77777777" w:rsidR="00AF2313" w:rsidRPr="00CC7D8B" w:rsidRDefault="00AF2313">
            <w:r w:rsidRPr="00CC7D8B">
              <w:t>ACV</w:t>
            </w:r>
          </w:p>
        </w:tc>
        <w:tc>
          <w:tcPr>
            <w:tcW w:w="3886" w:type="pct"/>
            <w:tcBorders>
              <w:top w:val="single" w:sz="8" w:space="0" w:color="002C47"/>
              <w:left w:val="single" w:sz="8" w:space="0" w:color="002C47"/>
              <w:bottom w:val="single" w:sz="8" w:space="0" w:color="002C47"/>
              <w:right w:val="single" w:sz="8" w:space="0" w:color="002C47"/>
            </w:tcBorders>
            <w:hideMark/>
          </w:tcPr>
          <w:p w14:paraId="4931E28F" w14:textId="77777777" w:rsidR="00AF2313" w:rsidRPr="00CC7D8B" w:rsidRDefault="00AF2313">
            <w:r w:rsidRPr="00CC7D8B">
              <w:t>Advisory Committee on Vaccines</w:t>
            </w:r>
          </w:p>
        </w:tc>
      </w:tr>
      <w:tr w:rsidR="00AB607A" w:rsidRPr="00CC7D8B" w14:paraId="1BCD0704"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16DE60B3" w14:textId="69122BA5" w:rsidR="00AB607A" w:rsidRPr="00507D4B" w:rsidRDefault="00AB607A">
            <w:r w:rsidRPr="00AB607A">
              <w:t>ARGPM</w:t>
            </w:r>
          </w:p>
        </w:tc>
        <w:tc>
          <w:tcPr>
            <w:tcW w:w="3886" w:type="pct"/>
            <w:tcBorders>
              <w:top w:val="single" w:sz="8" w:space="0" w:color="002C47"/>
              <w:left w:val="single" w:sz="8" w:space="0" w:color="002C47"/>
              <w:bottom w:val="single" w:sz="8" w:space="0" w:color="002C47"/>
              <w:right w:val="single" w:sz="8" w:space="0" w:color="002C47"/>
            </w:tcBorders>
          </w:tcPr>
          <w:p w14:paraId="6C3080E0" w14:textId="3E5CD9B1" w:rsidR="00AB607A" w:rsidRPr="00507D4B" w:rsidRDefault="00AB607A">
            <w:r w:rsidRPr="00AB607A">
              <w:t>Australian Regulatory Guidelines for Prescription Medicines</w:t>
            </w:r>
          </w:p>
        </w:tc>
      </w:tr>
      <w:tr w:rsidR="00AF2313" w:rsidRPr="00CC7D8B" w14:paraId="4EA243FE"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hideMark/>
          </w:tcPr>
          <w:p w14:paraId="76419EA8" w14:textId="77777777" w:rsidR="00AF2313" w:rsidRPr="00CC7D8B" w:rsidRDefault="00AF2313">
            <w:r w:rsidRPr="00CC7D8B">
              <w:t>ARTG</w:t>
            </w:r>
          </w:p>
        </w:tc>
        <w:tc>
          <w:tcPr>
            <w:tcW w:w="3886" w:type="pct"/>
            <w:tcBorders>
              <w:top w:val="single" w:sz="8" w:space="0" w:color="002C47"/>
              <w:left w:val="single" w:sz="8" w:space="0" w:color="002C47"/>
              <w:bottom w:val="single" w:sz="8" w:space="0" w:color="002C47"/>
              <w:right w:val="single" w:sz="8" w:space="0" w:color="002C47"/>
            </w:tcBorders>
            <w:hideMark/>
          </w:tcPr>
          <w:p w14:paraId="4E708B71" w14:textId="77777777" w:rsidR="00AF2313" w:rsidRPr="00CC7D8B" w:rsidRDefault="00AF2313">
            <w:r w:rsidRPr="00CC7D8B">
              <w:t>Australian Register of Therapeutic Goods</w:t>
            </w:r>
          </w:p>
        </w:tc>
      </w:tr>
      <w:tr w:rsidR="00AB607A" w:rsidRPr="00CC7D8B" w14:paraId="4DFAF415"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06D75615" w14:textId="5BC1BF22" w:rsidR="00AB607A" w:rsidRPr="00CC7D8B" w:rsidRDefault="00AB607A" w:rsidP="00AB607A">
            <w:r w:rsidRPr="00507D4B">
              <w:t>ASA</w:t>
            </w:r>
          </w:p>
        </w:tc>
        <w:tc>
          <w:tcPr>
            <w:tcW w:w="3886" w:type="pct"/>
            <w:tcBorders>
              <w:top w:val="single" w:sz="8" w:space="0" w:color="002C47"/>
              <w:left w:val="single" w:sz="8" w:space="0" w:color="002C47"/>
              <w:bottom w:val="single" w:sz="8" w:space="0" w:color="002C47"/>
              <w:right w:val="single" w:sz="8" w:space="0" w:color="002C47"/>
            </w:tcBorders>
          </w:tcPr>
          <w:p w14:paraId="0E0E19A8" w14:textId="32CE5F02" w:rsidR="00AB607A" w:rsidRPr="00CC7D8B" w:rsidRDefault="00AB607A" w:rsidP="00AB607A">
            <w:r w:rsidRPr="00507D4B">
              <w:t>Australia specific annex</w:t>
            </w:r>
          </w:p>
        </w:tc>
      </w:tr>
      <w:tr w:rsidR="00AB607A" w:rsidRPr="00CC7D8B" w14:paraId="6F783F43"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7C5F2FA0" w14:textId="7DE2214B" w:rsidR="00AB607A" w:rsidRPr="00CC7D8B" w:rsidRDefault="00AB607A" w:rsidP="00AB607A">
            <w:r w:rsidRPr="00CC7D8B">
              <w:t>ATAGI</w:t>
            </w:r>
          </w:p>
        </w:tc>
        <w:tc>
          <w:tcPr>
            <w:tcW w:w="3886" w:type="pct"/>
            <w:tcBorders>
              <w:top w:val="single" w:sz="8" w:space="0" w:color="002C47"/>
              <w:left w:val="single" w:sz="8" w:space="0" w:color="002C47"/>
              <w:bottom w:val="single" w:sz="8" w:space="0" w:color="002C47"/>
              <w:right w:val="single" w:sz="8" w:space="0" w:color="002C47"/>
            </w:tcBorders>
          </w:tcPr>
          <w:p w14:paraId="6AB2FBF1" w14:textId="64A55DD4" w:rsidR="00AB607A" w:rsidRPr="00CC7D8B" w:rsidRDefault="00AB607A" w:rsidP="00AB607A">
            <w:r w:rsidRPr="00CC7D8B">
              <w:t>Australian Technical Advisory Group on Immunisation</w:t>
            </w:r>
          </w:p>
        </w:tc>
      </w:tr>
      <w:tr w:rsidR="00AB607A" w:rsidRPr="00CC7D8B" w14:paraId="6E32031A"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46E2FF1A" w14:textId="0FADDBFB" w:rsidR="00AB607A" w:rsidRPr="00CC7D8B" w:rsidRDefault="00AB607A" w:rsidP="00AB607A">
            <w:r w:rsidRPr="00CC7D8B">
              <w:t>CI</w:t>
            </w:r>
          </w:p>
        </w:tc>
        <w:tc>
          <w:tcPr>
            <w:tcW w:w="3886" w:type="pct"/>
            <w:tcBorders>
              <w:top w:val="single" w:sz="8" w:space="0" w:color="002C47"/>
              <w:left w:val="single" w:sz="8" w:space="0" w:color="002C47"/>
              <w:bottom w:val="single" w:sz="8" w:space="0" w:color="002C47"/>
              <w:right w:val="single" w:sz="8" w:space="0" w:color="002C47"/>
            </w:tcBorders>
          </w:tcPr>
          <w:p w14:paraId="0D6170D3" w14:textId="470B4162" w:rsidR="00AB607A" w:rsidRPr="00CC7D8B" w:rsidRDefault="00AB607A" w:rsidP="00AB607A">
            <w:r w:rsidRPr="00CC7D8B">
              <w:t>Confidence interval</w:t>
            </w:r>
          </w:p>
        </w:tc>
      </w:tr>
      <w:tr w:rsidR="00AB607A" w:rsidRPr="00CC7D8B" w14:paraId="72180AAB"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54DE225E" w14:textId="1F5E2A0D" w:rsidR="00AB607A" w:rsidRPr="00CC7D8B" w:rsidRDefault="00AB607A" w:rsidP="00AB607A">
            <w:r w:rsidRPr="00CC7D8B">
              <w:t>COVID-19</w:t>
            </w:r>
          </w:p>
        </w:tc>
        <w:tc>
          <w:tcPr>
            <w:tcW w:w="3886" w:type="pct"/>
            <w:tcBorders>
              <w:top w:val="single" w:sz="8" w:space="0" w:color="002C47"/>
              <w:left w:val="single" w:sz="8" w:space="0" w:color="002C47"/>
              <w:bottom w:val="single" w:sz="8" w:space="0" w:color="002C47"/>
              <w:right w:val="single" w:sz="8" w:space="0" w:color="002C47"/>
            </w:tcBorders>
          </w:tcPr>
          <w:p w14:paraId="68D94424" w14:textId="53645008" w:rsidR="00AB607A" w:rsidRPr="00CC7D8B" w:rsidRDefault="00AB607A" w:rsidP="00AB607A">
            <w:r w:rsidRPr="00CC7D8B">
              <w:t>Coronavirus disease 2019</w:t>
            </w:r>
          </w:p>
        </w:tc>
      </w:tr>
      <w:tr w:rsidR="00AB607A" w:rsidRPr="00CC7D8B" w14:paraId="7D25784F"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2D38F488" w14:textId="4D338BF6" w:rsidR="00AB607A" w:rsidRPr="00CC7D8B" w:rsidRDefault="00AB607A" w:rsidP="00AB607A">
            <w:r w:rsidRPr="00AB607A">
              <w:t>CPD</w:t>
            </w:r>
          </w:p>
        </w:tc>
        <w:tc>
          <w:tcPr>
            <w:tcW w:w="3886" w:type="pct"/>
            <w:tcBorders>
              <w:top w:val="single" w:sz="8" w:space="0" w:color="002C47"/>
              <w:left w:val="single" w:sz="8" w:space="0" w:color="002C47"/>
              <w:bottom w:val="single" w:sz="8" w:space="0" w:color="002C47"/>
              <w:right w:val="single" w:sz="8" w:space="0" w:color="002C47"/>
            </w:tcBorders>
          </w:tcPr>
          <w:p w14:paraId="7D09D461" w14:textId="16924B6E" w:rsidR="00AB607A" w:rsidRPr="00CC7D8B" w:rsidRDefault="00AB607A" w:rsidP="00AB607A">
            <w:r w:rsidRPr="00AB607A">
              <w:t>Certified Product Details</w:t>
            </w:r>
          </w:p>
        </w:tc>
      </w:tr>
      <w:tr w:rsidR="00AB607A" w:rsidRPr="00CC7D8B" w14:paraId="2B6330C8"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1314CFCB" w14:textId="4FB5AD42" w:rsidR="00AB607A" w:rsidRPr="00CC7D8B" w:rsidRDefault="00AB607A" w:rsidP="00AB607A">
            <w:r>
              <w:t>DLP</w:t>
            </w:r>
          </w:p>
        </w:tc>
        <w:tc>
          <w:tcPr>
            <w:tcW w:w="3886" w:type="pct"/>
            <w:tcBorders>
              <w:top w:val="single" w:sz="8" w:space="0" w:color="002C47"/>
              <w:left w:val="single" w:sz="8" w:space="0" w:color="002C47"/>
              <w:bottom w:val="single" w:sz="8" w:space="0" w:color="002C47"/>
              <w:right w:val="single" w:sz="8" w:space="0" w:color="002C47"/>
            </w:tcBorders>
          </w:tcPr>
          <w:p w14:paraId="20745EBD" w14:textId="62217306" w:rsidR="00AB607A" w:rsidRPr="00CC7D8B" w:rsidRDefault="00AB607A" w:rsidP="00AB607A">
            <w:r>
              <w:t>Data lock point</w:t>
            </w:r>
          </w:p>
        </w:tc>
      </w:tr>
      <w:tr w:rsidR="00AB607A" w:rsidRPr="00CC7D8B" w14:paraId="00EDA79F"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0509BE92" w14:textId="38442520" w:rsidR="00AB607A" w:rsidRPr="00CC7D8B" w:rsidRDefault="00AB607A" w:rsidP="00AB607A">
            <w:r w:rsidRPr="00CC7D8B">
              <w:t>EU</w:t>
            </w:r>
          </w:p>
        </w:tc>
        <w:tc>
          <w:tcPr>
            <w:tcW w:w="3886" w:type="pct"/>
            <w:tcBorders>
              <w:top w:val="single" w:sz="8" w:space="0" w:color="002C47"/>
              <w:left w:val="single" w:sz="8" w:space="0" w:color="002C47"/>
              <w:bottom w:val="single" w:sz="8" w:space="0" w:color="002C47"/>
              <w:right w:val="single" w:sz="8" w:space="0" w:color="002C47"/>
            </w:tcBorders>
          </w:tcPr>
          <w:p w14:paraId="61E09CD6" w14:textId="29511678" w:rsidR="00AB607A" w:rsidRPr="00CC7D8B" w:rsidRDefault="00AB607A" w:rsidP="00AB607A">
            <w:r w:rsidRPr="00CC7D8B">
              <w:t>European Union</w:t>
            </w:r>
          </w:p>
        </w:tc>
      </w:tr>
      <w:tr w:rsidR="00AB607A" w:rsidRPr="00CC7D8B" w14:paraId="1C4706EA"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1D3DAB63" w14:textId="6BE10510" w:rsidR="00AB607A" w:rsidRPr="00CC7D8B" w:rsidRDefault="00AB607A" w:rsidP="00AB607A">
            <w:r w:rsidRPr="00CC7D8B">
              <w:t>FDA</w:t>
            </w:r>
          </w:p>
        </w:tc>
        <w:tc>
          <w:tcPr>
            <w:tcW w:w="3886" w:type="pct"/>
            <w:tcBorders>
              <w:top w:val="single" w:sz="8" w:space="0" w:color="002C47"/>
              <w:left w:val="single" w:sz="8" w:space="0" w:color="002C47"/>
              <w:bottom w:val="single" w:sz="8" w:space="0" w:color="002C47"/>
              <w:right w:val="single" w:sz="8" w:space="0" w:color="002C47"/>
            </w:tcBorders>
          </w:tcPr>
          <w:p w14:paraId="61E4A97D" w14:textId="2AAAD734" w:rsidR="00AB607A" w:rsidRPr="00CC7D8B" w:rsidRDefault="00AB607A" w:rsidP="00AB607A">
            <w:r w:rsidRPr="00CC7D8B">
              <w:t>Food and Drug Administration (United States of America)</w:t>
            </w:r>
          </w:p>
        </w:tc>
      </w:tr>
      <w:tr w:rsidR="00AB607A" w:rsidRPr="00CC7D8B" w14:paraId="0CB30FBB"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595323B6" w14:textId="4C6F3FE4" w:rsidR="00AB607A" w:rsidRPr="00CC7D8B" w:rsidRDefault="00AB607A" w:rsidP="00AB607A">
            <w:r w:rsidRPr="00CC7D8B">
              <w:t>GMR</w:t>
            </w:r>
          </w:p>
        </w:tc>
        <w:tc>
          <w:tcPr>
            <w:tcW w:w="3886" w:type="pct"/>
            <w:tcBorders>
              <w:top w:val="single" w:sz="8" w:space="0" w:color="002C47"/>
              <w:left w:val="single" w:sz="8" w:space="0" w:color="002C47"/>
              <w:bottom w:val="single" w:sz="8" w:space="0" w:color="002C47"/>
              <w:right w:val="single" w:sz="8" w:space="0" w:color="002C47"/>
            </w:tcBorders>
          </w:tcPr>
          <w:p w14:paraId="658DD1B6" w14:textId="6DE504F7" w:rsidR="00AB607A" w:rsidRPr="00CC7D8B" w:rsidRDefault="00AB607A" w:rsidP="00AB607A">
            <w:r w:rsidRPr="00CC7D8B">
              <w:t>Geometric mean ratio</w:t>
            </w:r>
          </w:p>
        </w:tc>
      </w:tr>
      <w:tr w:rsidR="00AB607A" w:rsidRPr="00CC7D8B" w14:paraId="3663D6A9"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16F08B5D" w14:textId="2F2ED907" w:rsidR="00AB607A" w:rsidRPr="00CC7D8B" w:rsidRDefault="00AB607A" w:rsidP="00AB607A">
            <w:r w:rsidRPr="00CC7D8B">
              <w:t>GMT</w:t>
            </w:r>
          </w:p>
        </w:tc>
        <w:tc>
          <w:tcPr>
            <w:tcW w:w="3886" w:type="pct"/>
            <w:tcBorders>
              <w:top w:val="single" w:sz="8" w:space="0" w:color="002C47"/>
              <w:left w:val="single" w:sz="8" w:space="0" w:color="002C47"/>
              <w:bottom w:val="single" w:sz="8" w:space="0" w:color="002C47"/>
              <w:right w:val="single" w:sz="8" w:space="0" w:color="002C47"/>
            </w:tcBorders>
          </w:tcPr>
          <w:p w14:paraId="251F21E3" w14:textId="417ADE9B" w:rsidR="00AB607A" w:rsidRPr="00CC7D8B" w:rsidRDefault="00AB607A" w:rsidP="00AB607A">
            <w:r w:rsidRPr="00CC7D8B">
              <w:t>Geometric mean titre</w:t>
            </w:r>
          </w:p>
        </w:tc>
      </w:tr>
      <w:tr w:rsidR="00AB607A" w:rsidRPr="00CC7D8B" w14:paraId="7013EE04"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69A8BD02" w14:textId="672A6F19" w:rsidR="00AB607A" w:rsidRPr="00CC7D8B" w:rsidRDefault="00AB607A" w:rsidP="00AB607A">
            <w:r w:rsidRPr="00E7244E">
              <w:t>GVP</w:t>
            </w:r>
          </w:p>
        </w:tc>
        <w:tc>
          <w:tcPr>
            <w:tcW w:w="3886" w:type="pct"/>
            <w:tcBorders>
              <w:top w:val="single" w:sz="8" w:space="0" w:color="002C47"/>
              <w:left w:val="single" w:sz="8" w:space="0" w:color="002C47"/>
              <w:bottom w:val="single" w:sz="8" w:space="0" w:color="002C47"/>
              <w:right w:val="single" w:sz="8" w:space="0" w:color="002C47"/>
            </w:tcBorders>
          </w:tcPr>
          <w:p w14:paraId="0967D99C" w14:textId="0A0E7D31" w:rsidR="00AB607A" w:rsidRPr="00CC7D8B" w:rsidRDefault="00AB607A" w:rsidP="00AB607A">
            <w:r w:rsidRPr="00E7244E">
              <w:t>Good Pharmacovigilance Practices</w:t>
            </w:r>
          </w:p>
        </w:tc>
      </w:tr>
      <w:tr w:rsidR="00AB607A" w:rsidRPr="00CC7D8B" w14:paraId="38E94754"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4BD9B59E" w14:textId="0D917F89" w:rsidR="00AB607A" w:rsidRPr="00CC7D8B" w:rsidRDefault="00AB607A" w:rsidP="00AB607A">
            <w:r w:rsidRPr="00CC7D8B">
              <w:t>MIS</w:t>
            </w:r>
          </w:p>
        </w:tc>
        <w:tc>
          <w:tcPr>
            <w:tcW w:w="3886" w:type="pct"/>
            <w:tcBorders>
              <w:top w:val="single" w:sz="8" w:space="0" w:color="002C47"/>
              <w:left w:val="single" w:sz="8" w:space="0" w:color="002C47"/>
              <w:bottom w:val="single" w:sz="8" w:space="0" w:color="002C47"/>
              <w:right w:val="single" w:sz="8" w:space="0" w:color="002C47"/>
            </w:tcBorders>
          </w:tcPr>
          <w:p w14:paraId="7A195546" w14:textId="364EDC95" w:rsidR="00AB607A" w:rsidRPr="00CC7D8B" w:rsidRDefault="00AB607A" w:rsidP="00AB607A">
            <w:r w:rsidRPr="00CC7D8B">
              <w:t>Multi-system inflammatory syndrome</w:t>
            </w:r>
          </w:p>
        </w:tc>
      </w:tr>
      <w:tr w:rsidR="00AB607A" w:rsidRPr="00CC7D8B" w14:paraId="3CBA2AD6"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64B08BBF" w14:textId="4D0A24F7" w:rsidR="00AB607A" w:rsidRPr="00CC7D8B" w:rsidRDefault="00AB607A" w:rsidP="00AB607A">
            <w:r w:rsidRPr="00CC7D8B">
              <w:t>MIS-C</w:t>
            </w:r>
          </w:p>
        </w:tc>
        <w:tc>
          <w:tcPr>
            <w:tcW w:w="3886" w:type="pct"/>
            <w:tcBorders>
              <w:top w:val="single" w:sz="8" w:space="0" w:color="002C47"/>
              <w:left w:val="single" w:sz="8" w:space="0" w:color="002C47"/>
              <w:bottom w:val="single" w:sz="8" w:space="0" w:color="002C47"/>
              <w:right w:val="single" w:sz="8" w:space="0" w:color="002C47"/>
            </w:tcBorders>
          </w:tcPr>
          <w:p w14:paraId="63EE0171" w14:textId="7A0ECD42" w:rsidR="00AB607A" w:rsidRPr="00CC7D8B" w:rsidRDefault="00AB607A" w:rsidP="00AB607A">
            <w:bookmarkStart w:id="5" w:name="_Hlk108691132"/>
            <w:r w:rsidRPr="00CC7D8B">
              <w:t>Multi-system inflammatory syndrome in children</w:t>
            </w:r>
            <w:bookmarkEnd w:id="5"/>
          </w:p>
        </w:tc>
      </w:tr>
      <w:tr w:rsidR="00AB607A" w:rsidRPr="00CC7D8B" w14:paraId="7F616C2D"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25CF9024" w14:textId="577FE68B" w:rsidR="00AB607A" w:rsidRPr="00CC7D8B" w:rsidRDefault="00AB607A" w:rsidP="00AB607A">
            <w:r w:rsidRPr="00CC7D8B">
              <w:t>mRNA</w:t>
            </w:r>
          </w:p>
        </w:tc>
        <w:tc>
          <w:tcPr>
            <w:tcW w:w="3886" w:type="pct"/>
            <w:tcBorders>
              <w:top w:val="single" w:sz="8" w:space="0" w:color="002C47"/>
              <w:left w:val="single" w:sz="8" w:space="0" w:color="002C47"/>
              <w:bottom w:val="single" w:sz="8" w:space="0" w:color="002C47"/>
              <w:right w:val="single" w:sz="8" w:space="0" w:color="002C47"/>
            </w:tcBorders>
          </w:tcPr>
          <w:p w14:paraId="26D974C5" w14:textId="21C01DC8" w:rsidR="00AB607A" w:rsidRPr="00CC7D8B" w:rsidRDefault="00AB607A" w:rsidP="00AB607A">
            <w:r w:rsidRPr="00CC7D8B">
              <w:t>Messenger ribonucleic acid</w:t>
            </w:r>
          </w:p>
        </w:tc>
      </w:tr>
      <w:tr w:rsidR="00AB607A" w:rsidRPr="00CC7D8B" w14:paraId="08BE0BC1"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7AE934D1" w14:textId="26708B75" w:rsidR="00AB607A" w:rsidRPr="00CC7D8B" w:rsidRDefault="00AB607A" w:rsidP="00AB607A">
            <w:r w:rsidRPr="00CC7D8B">
              <w:t>mRNA</w:t>
            </w:r>
            <w:r w:rsidR="004A4DD1">
              <w:noBreakHyphen/>
            </w:r>
            <w:r w:rsidRPr="00CC7D8B">
              <w:t>1273</w:t>
            </w:r>
          </w:p>
        </w:tc>
        <w:tc>
          <w:tcPr>
            <w:tcW w:w="3886" w:type="pct"/>
            <w:tcBorders>
              <w:top w:val="single" w:sz="8" w:space="0" w:color="002C47"/>
              <w:left w:val="single" w:sz="8" w:space="0" w:color="002C47"/>
              <w:bottom w:val="single" w:sz="8" w:space="0" w:color="002C47"/>
              <w:right w:val="single" w:sz="8" w:space="0" w:color="002C47"/>
            </w:tcBorders>
          </w:tcPr>
          <w:p w14:paraId="5F9C42DD" w14:textId="16BEB267" w:rsidR="00AB607A" w:rsidRPr="00CC7D8B" w:rsidRDefault="00AB607A" w:rsidP="00AB607A">
            <w:bookmarkStart w:id="6" w:name="_Hlk108693250"/>
            <w:r w:rsidRPr="00CC7D8B">
              <w:t>Spikevax (elasomeran) COVID-19 vaccine drug development name</w:t>
            </w:r>
            <w:bookmarkEnd w:id="6"/>
          </w:p>
        </w:tc>
      </w:tr>
      <w:tr w:rsidR="00AB607A" w:rsidRPr="00CC7D8B" w14:paraId="59FDF014"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409183CF" w14:textId="76346460" w:rsidR="00AB607A" w:rsidRPr="00CC7D8B" w:rsidRDefault="00AB607A" w:rsidP="00AB607A">
            <w:r w:rsidRPr="00CC7D8B">
              <w:t>PI</w:t>
            </w:r>
          </w:p>
        </w:tc>
        <w:tc>
          <w:tcPr>
            <w:tcW w:w="3886" w:type="pct"/>
            <w:tcBorders>
              <w:top w:val="single" w:sz="8" w:space="0" w:color="002C47"/>
              <w:left w:val="single" w:sz="8" w:space="0" w:color="002C47"/>
              <w:bottom w:val="single" w:sz="8" w:space="0" w:color="002C47"/>
              <w:right w:val="single" w:sz="8" w:space="0" w:color="002C47"/>
            </w:tcBorders>
          </w:tcPr>
          <w:p w14:paraId="297A7597" w14:textId="3574A383" w:rsidR="00AB607A" w:rsidRPr="00CC7D8B" w:rsidRDefault="00AB607A" w:rsidP="00AB607A">
            <w:r w:rsidRPr="00CC7D8B">
              <w:t>Product Information</w:t>
            </w:r>
          </w:p>
        </w:tc>
      </w:tr>
      <w:tr w:rsidR="00AB607A" w:rsidRPr="00CC7D8B" w14:paraId="16D74A21"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03C1F13B" w14:textId="5D78B17A" w:rsidR="00AB607A" w:rsidRPr="00CC7D8B" w:rsidRDefault="00AB607A" w:rsidP="00AB607A">
            <w:r w:rsidRPr="00E7244E">
              <w:t>PSUR</w:t>
            </w:r>
          </w:p>
        </w:tc>
        <w:tc>
          <w:tcPr>
            <w:tcW w:w="3886" w:type="pct"/>
            <w:tcBorders>
              <w:top w:val="single" w:sz="8" w:space="0" w:color="002C47"/>
              <w:left w:val="single" w:sz="8" w:space="0" w:color="002C47"/>
              <w:bottom w:val="single" w:sz="8" w:space="0" w:color="002C47"/>
              <w:right w:val="single" w:sz="8" w:space="0" w:color="002C47"/>
            </w:tcBorders>
          </w:tcPr>
          <w:p w14:paraId="42501F8D" w14:textId="457E6FAD" w:rsidR="00AB607A" w:rsidRPr="00CC7D8B" w:rsidRDefault="00AB607A" w:rsidP="00AB607A">
            <w:r>
              <w:t>P</w:t>
            </w:r>
            <w:r w:rsidRPr="00E7244E">
              <w:t>eriodic safety update report</w:t>
            </w:r>
          </w:p>
        </w:tc>
      </w:tr>
      <w:tr w:rsidR="00AB607A" w:rsidRPr="00CC7D8B" w14:paraId="782DBA53"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4F54F77E" w14:textId="40CC0371" w:rsidR="00AB607A" w:rsidRPr="00E7244E" w:rsidRDefault="00AB607A" w:rsidP="00AB607A">
            <w:r w:rsidRPr="007515D2">
              <w:t>QC</w:t>
            </w:r>
          </w:p>
        </w:tc>
        <w:tc>
          <w:tcPr>
            <w:tcW w:w="3886" w:type="pct"/>
            <w:tcBorders>
              <w:top w:val="single" w:sz="8" w:space="0" w:color="002C47"/>
              <w:left w:val="single" w:sz="8" w:space="0" w:color="002C47"/>
              <w:bottom w:val="single" w:sz="8" w:space="0" w:color="002C47"/>
              <w:right w:val="single" w:sz="8" w:space="0" w:color="002C47"/>
            </w:tcBorders>
          </w:tcPr>
          <w:p w14:paraId="09A77485" w14:textId="0929BAD4" w:rsidR="00AB607A" w:rsidRDefault="00AB607A" w:rsidP="00AB607A">
            <w:r>
              <w:t>Q</w:t>
            </w:r>
            <w:r w:rsidRPr="007515D2">
              <w:t>uality control</w:t>
            </w:r>
          </w:p>
        </w:tc>
      </w:tr>
      <w:tr w:rsidR="00AB607A" w:rsidRPr="00CC7D8B" w14:paraId="2B65B1E9"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3DB75C10" w14:textId="03437159" w:rsidR="00AB607A" w:rsidRPr="007515D2" w:rsidRDefault="00AB607A" w:rsidP="00AB607A">
            <w:r w:rsidRPr="00AB607A">
              <w:t>OCABR</w:t>
            </w:r>
          </w:p>
        </w:tc>
        <w:tc>
          <w:tcPr>
            <w:tcW w:w="3886" w:type="pct"/>
            <w:tcBorders>
              <w:top w:val="single" w:sz="8" w:space="0" w:color="002C47"/>
              <w:left w:val="single" w:sz="8" w:space="0" w:color="002C47"/>
              <w:bottom w:val="single" w:sz="8" w:space="0" w:color="002C47"/>
              <w:right w:val="single" w:sz="8" w:space="0" w:color="002C47"/>
            </w:tcBorders>
          </w:tcPr>
          <w:p w14:paraId="3E53AECD" w14:textId="01FA9F5A" w:rsidR="00AB607A" w:rsidRDefault="00AB607A" w:rsidP="00AB607A">
            <w:r w:rsidRPr="00AB607A">
              <w:t>Official Control Authority Batch Release</w:t>
            </w:r>
            <w:r>
              <w:t xml:space="preserve"> (European Union)</w:t>
            </w:r>
          </w:p>
        </w:tc>
      </w:tr>
      <w:tr w:rsidR="00AB607A" w:rsidRPr="00CC7D8B" w14:paraId="708F0E5D"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7C61C7D4" w14:textId="5312D708" w:rsidR="00AB607A" w:rsidRPr="00CC7D8B" w:rsidRDefault="00AB607A" w:rsidP="00AB607A">
            <w:r w:rsidRPr="00507D4B">
              <w:t>RMP</w:t>
            </w:r>
          </w:p>
        </w:tc>
        <w:tc>
          <w:tcPr>
            <w:tcW w:w="3886" w:type="pct"/>
            <w:tcBorders>
              <w:top w:val="single" w:sz="8" w:space="0" w:color="002C47"/>
              <w:left w:val="single" w:sz="8" w:space="0" w:color="002C47"/>
              <w:bottom w:val="single" w:sz="8" w:space="0" w:color="002C47"/>
              <w:right w:val="single" w:sz="8" w:space="0" w:color="002C47"/>
            </w:tcBorders>
          </w:tcPr>
          <w:p w14:paraId="4E3C0B6C" w14:textId="09BF8866" w:rsidR="00AB607A" w:rsidRPr="00CC7D8B" w:rsidRDefault="00AB607A" w:rsidP="00AB607A">
            <w:r>
              <w:t>R</w:t>
            </w:r>
            <w:r w:rsidRPr="00507D4B">
              <w:t>isk management plan</w:t>
            </w:r>
          </w:p>
        </w:tc>
      </w:tr>
      <w:tr w:rsidR="00AB607A" w:rsidRPr="00CC7D8B" w14:paraId="1B3CB688"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1FA51354" w14:textId="03333B21" w:rsidR="00AB607A" w:rsidRPr="00CC7D8B" w:rsidRDefault="00AB607A" w:rsidP="00AB607A">
            <w:r w:rsidRPr="00CC7D8B">
              <w:t>SARS-CoV-2</w:t>
            </w:r>
          </w:p>
        </w:tc>
        <w:tc>
          <w:tcPr>
            <w:tcW w:w="3886" w:type="pct"/>
            <w:tcBorders>
              <w:top w:val="single" w:sz="8" w:space="0" w:color="002C47"/>
              <w:left w:val="single" w:sz="8" w:space="0" w:color="002C47"/>
              <w:bottom w:val="single" w:sz="8" w:space="0" w:color="002C47"/>
              <w:right w:val="single" w:sz="8" w:space="0" w:color="002C47"/>
            </w:tcBorders>
          </w:tcPr>
          <w:p w14:paraId="1AE340E1" w14:textId="748CDEDA" w:rsidR="00AB607A" w:rsidRPr="00CC7D8B" w:rsidRDefault="00AB607A" w:rsidP="00AB607A">
            <w:r w:rsidRPr="00CC7D8B">
              <w:t xml:space="preserve">Severe acute respiratory syndrome </w:t>
            </w:r>
            <w:proofErr w:type="gramStart"/>
            <w:r w:rsidRPr="00CC7D8B">
              <w:t>coronavirus-2</w:t>
            </w:r>
            <w:proofErr w:type="gramEnd"/>
          </w:p>
        </w:tc>
      </w:tr>
      <w:tr w:rsidR="00AB607A" w:rsidRPr="00CC7D8B" w14:paraId="135C60EF"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5E70CF26" w14:textId="59FF6952" w:rsidR="00AB607A" w:rsidRPr="00CC7D8B" w:rsidRDefault="00AB607A" w:rsidP="00AB607A">
            <w:r w:rsidRPr="00CC7D8B">
              <w:lastRenderedPageBreak/>
              <w:t>Study P204</w:t>
            </w:r>
          </w:p>
        </w:tc>
        <w:tc>
          <w:tcPr>
            <w:tcW w:w="3886" w:type="pct"/>
            <w:tcBorders>
              <w:top w:val="single" w:sz="8" w:space="0" w:color="002C47"/>
              <w:left w:val="single" w:sz="8" w:space="0" w:color="002C47"/>
              <w:bottom w:val="single" w:sz="8" w:space="0" w:color="002C47"/>
              <w:right w:val="single" w:sz="8" w:space="0" w:color="002C47"/>
            </w:tcBorders>
          </w:tcPr>
          <w:p w14:paraId="28C7C850" w14:textId="367846FB" w:rsidR="00AB607A" w:rsidRPr="00CC7D8B" w:rsidRDefault="00AB607A" w:rsidP="00AB607A">
            <w:r w:rsidRPr="00CC7D8B">
              <w:t>Study mRNA-1273-P204</w:t>
            </w:r>
          </w:p>
        </w:tc>
      </w:tr>
      <w:tr w:rsidR="00AB607A" w:rsidRPr="00CC7D8B" w14:paraId="25B1AE31"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7F688A48" w14:textId="2C744C71" w:rsidR="00AB607A" w:rsidRPr="00CC7D8B" w:rsidRDefault="00AB607A" w:rsidP="00AB607A">
            <w:r w:rsidRPr="00CC7D8B">
              <w:t>Study P301</w:t>
            </w:r>
          </w:p>
        </w:tc>
        <w:tc>
          <w:tcPr>
            <w:tcW w:w="3886" w:type="pct"/>
            <w:tcBorders>
              <w:top w:val="single" w:sz="8" w:space="0" w:color="002C47"/>
              <w:left w:val="single" w:sz="8" w:space="0" w:color="002C47"/>
              <w:bottom w:val="single" w:sz="8" w:space="0" w:color="002C47"/>
              <w:right w:val="single" w:sz="8" w:space="0" w:color="002C47"/>
            </w:tcBorders>
          </w:tcPr>
          <w:p w14:paraId="688DDF05" w14:textId="04A55F33" w:rsidR="00AB607A" w:rsidRPr="00CC7D8B" w:rsidRDefault="00AB607A" w:rsidP="00AB607A">
            <w:r w:rsidRPr="00CC7D8B">
              <w:t>Study mRNA-1273-P301</w:t>
            </w:r>
          </w:p>
        </w:tc>
      </w:tr>
      <w:tr w:rsidR="00AB607A" w:rsidRPr="00CC7D8B" w14:paraId="584049A1"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00241A96" w14:textId="35558E26" w:rsidR="00AB607A" w:rsidRPr="00CC7D8B" w:rsidRDefault="00AB607A" w:rsidP="00AB607A">
            <w:r w:rsidRPr="00CC7D8B">
              <w:t>TGA</w:t>
            </w:r>
          </w:p>
        </w:tc>
        <w:tc>
          <w:tcPr>
            <w:tcW w:w="3886" w:type="pct"/>
            <w:tcBorders>
              <w:top w:val="single" w:sz="8" w:space="0" w:color="002C47"/>
              <w:left w:val="single" w:sz="8" w:space="0" w:color="002C47"/>
              <w:bottom w:val="single" w:sz="8" w:space="0" w:color="002C47"/>
              <w:right w:val="single" w:sz="8" w:space="0" w:color="002C47"/>
            </w:tcBorders>
          </w:tcPr>
          <w:p w14:paraId="041C99AE" w14:textId="2E3B27A4" w:rsidR="00AB607A" w:rsidRPr="00CC7D8B" w:rsidRDefault="00AB607A" w:rsidP="00AB607A">
            <w:r w:rsidRPr="00CC7D8B">
              <w:t>Therapeutic Goods Administration</w:t>
            </w:r>
          </w:p>
        </w:tc>
      </w:tr>
      <w:tr w:rsidR="00AB607A" w:rsidRPr="00CC7D8B" w14:paraId="4C0EE07C"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422E1A2F" w14:textId="3F61436E" w:rsidR="00AB607A" w:rsidRPr="00CC7D8B" w:rsidRDefault="00AB607A" w:rsidP="00AB607A">
            <w:r w:rsidRPr="00AB607A">
              <w:t>UK</w:t>
            </w:r>
          </w:p>
        </w:tc>
        <w:tc>
          <w:tcPr>
            <w:tcW w:w="3886" w:type="pct"/>
            <w:tcBorders>
              <w:top w:val="single" w:sz="8" w:space="0" w:color="002C47"/>
              <w:left w:val="single" w:sz="8" w:space="0" w:color="002C47"/>
              <w:bottom w:val="single" w:sz="8" w:space="0" w:color="002C47"/>
              <w:right w:val="single" w:sz="8" w:space="0" w:color="002C47"/>
            </w:tcBorders>
          </w:tcPr>
          <w:p w14:paraId="7DAF6050" w14:textId="00983F15" w:rsidR="00AB607A" w:rsidRPr="00CC7D8B" w:rsidRDefault="00AB607A" w:rsidP="00AB607A">
            <w:r w:rsidRPr="00AB607A">
              <w:t>United Kingdom</w:t>
            </w:r>
          </w:p>
        </w:tc>
      </w:tr>
      <w:tr w:rsidR="00AB607A" w:rsidRPr="00CC7D8B" w14:paraId="592932E6"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6FD66A50" w14:textId="3EAB66CF" w:rsidR="00AB607A" w:rsidRPr="00CC7D8B" w:rsidRDefault="00AB607A" w:rsidP="00AB607A">
            <w:r w:rsidRPr="00CC7D8B">
              <w:t>US(A)</w:t>
            </w:r>
          </w:p>
        </w:tc>
        <w:tc>
          <w:tcPr>
            <w:tcW w:w="3886" w:type="pct"/>
            <w:tcBorders>
              <w:top w:val="single" w:sz="8" w:space="0" w:color="002C47"/>
              <w:left w:val="single" w:sz="8" w:space="0" w:color="002C47"/>
              <w:bottom w:val="single" w:sz="8" w:space="0" w:color="002C47"/>
              <w:right w:val="single" w:sz="8" w:space="0" w:color="002C47"/>
            </w:tcBorders>
          </w:tcPr>
          <w:p w14:paraId="0FB9777A" w14:textId="45BD8B90" w:rsidR="00AB607A" w:rsidRPr="00CC7D8B" w:rsidRDefault="00AB607A" w:rsidP="00AB607A">
            <w:r w:rsidRPr="00CC7D8B">
              <w:t>United States (of America)</w:t>
            </w:r>
          </w:p>
        </w:tc>
      </w:tr>
      <w:tr w:rsidR="00AB607A" w:rsidRPr="00CC7D8B" w14:paraId="2103E82A" w14:textId="77777777" w:rsidTr="00505F26">
        <w:trPr>
          <w:cantSplit/>
        </w:trPr>
        <w:tc>
          <w:tcPr>
            <w:tcW w:w="1114" w:type="pct"/>
            <w:tcBorders>
              <w:top w:val="single" w:sz="8" w:space="0" w:color="002C47"/>
              <w:left w:val="single" w:sz="8" w:space="0" w:color="002C47"/>
              <w:bottom w:val="single" w:sz="8" w:space="0" w:color="002C47"/>
              <w:right w:val="single" w:sz="8" w:space="0" w:color="002C47"/>
            </w:tcBorders>
          </w:tcPr>
          <w:p w14:paraId="50AB74C0" w14:textId="2DEE513A" w:rsidR="00AB607A" w:rsidRPr="00CC7D8B" w:rsidRDefault="00AB607A" w:rsidP="00AB607A">
            <w:r w:rsidRPr="00CC7D8B">
              <w:t>VE</w:t>
            </w:r>
          </w:p>
        </w:tc>
        <w:tc>
          <w:tcPr>
            <w:tcW w:w="3886" w:type="pct"/>
            <w:tcBorders>
              <w:top w:val="single" w:sz="8" w:space="0" w:color="002C47"/>
              <w:left w:val="single" w:sz="8" w:space="0" w:color="002C47"/>
              <w:bottom w:val="single" w:sz="8" w:space="0" w:color="002C47"/>
              <w:right w:val="single" w:sz="8" w:space="0" w:color="002C47"/>
            </w:tcBorders>
          </w:tcPr>
          <w:p w14:paraId="5CAAD6EB" w14:textId="4C9E4E5E" w:rsidR="00AB607A" w:rsidRPr="00CC7D8B" w:rsidRDefault="00AB607A" w:rsidP="00AB607A">
            <w:r w:rsidRPr="00CC7D8B">
              <w:t>Vaccine efficacy</w:t>
            </w:r>
          </w:p>
        </w:tc>
      </w:tr>
    </w:tbl>
    <w:p w14:paraId="0536A347" w14:textId="77777777" w:rsidR="00FD119B" w:rsidRPr="00CC7D8B" w:rsidRDefault="00FD119B" w:rsidP="00FD119B">
      <w:pPr>
        <w:spacing w:before="0" w:after="200" w:line="0" w:lineRule="auto"/>
        <w:rPr>
          <w:b/>
          <w:i/>
          <w:sz w:val="24"/>
          <w:szCs w:val="24"/>
        </w:rPr>
      </w:pPr>
      <w:r w:rsidRPr="00CC7D8B">
        <w:rPr>
          <w:b/>
          <w:i/>
          <w:sz w:val="24"/>
          <w:szCs w:val="24"/>
        </w:rPr>
        <w:br w:type="page"/>
      </w:r>
    </w:p>
    <w:p w14:paraId="4E9693BF" w14:textId="77777777" w:rsidR="008E7846" w:rsidRPr="00CC7D8B" w:rsidRDefault="009F2673" w:rsidP="008E7846">
      <w:pPr>
        <w:pStyle w:val="Heading2"/>
      </w:pPr>
      <w:bookmarkStart w:id="7" w:name="_Toc109817286"/>
      <w:r w:rsidRPr="00CC7D8B">
        <w:lastRenderedPageBreak/>
        <w:t>Pr</w:t>
      </w:r>
      <w:r w:rsidR="008E7846" w:rsidRPr="00CC7D8B">
        <w:t>oduct submission</w:t>
      </w:r>
      <w:bookmarkEnd w:id="7"/>
      <w:bookmarkEnd w:id="2"/>
      <w:bookmarkEnd w:id="0"/>
    </w:p>
    <w:p w14:paraId="2B16B72D" w14:textId="77777777" w:rsidR="008E7846" w:rsidRPr="00CC7D8B" w:rsidRDefault="008E7846" w:rsidP="009E5A87">
      <w:pPr>
        <w:pStyle w:val="Heading3"/>
        <w:rPr>
          <w:lang w:eastAsia="en-AU"/>
        </w:rPr>
      </w:pPr>
      <w:bookmarkStart w:id="8" w:name="_Toc247691502"/>
      <w:bookmarkStart w:id="9" w:name="_Toc314842483"/>
      <w:bookmarkStart w:id="10" w:name="_Toc109817287"/>
      <w:r w:rsidRPr="00CC7D8B">
        <w:rPr>
          <w:lang w:eastAsia="en-AU"/>
        </w:rPr>
        <w:t>Submission details</w:t>
      </w:r>
      <w:bookmarkEnd w:id="8"/>
      <w:bookmarkEnd w:id="9"/>
      <w:bookmarkEnd w:id="10"/>
    </w:p>
    <w:tbl>
      <w:tblPr>
        <w:tblW w:w="5000" w:type="pct"/>
        <w:tblLook w:val="01E0" w:firstRow="1" w:lastRow="1" w:firstColumn="1" w:lastColumn="1" w:noHBand="0" w:noVBand="0"/>
      </w:tblPr>
      <w:tblGrid>
        <w:gridCol w:w="2682"/>
        <w:gridCol w:w="5822"/>
      </w:tblGrid>
      <w:tr w:rsidR="009F2673" w:rsidRPr="00CC7D8B" w14:paraId="5CBE400B" w14:textId="77777777" w:rsidTr="00CA1CA5">
        <w:tc>
          <w:tcPr>
            <w:tcW w:w="1577" w:type="pct"/>
          </w:tcPr>
          <w:p w14:paraId="217E11B1" w14:textId="77777777" w:rsidR="009F2673" w:rsidRPr="00CC7D8B" w:rsidRDefault="009F2673" w:rsidP="009E5A87">
            <w:pPr>
              <w:rPr>
                <w:i/>
              </w:rPr>
            </w:pPr>
            <w:bookmarkStart w:id="11" w:name="_Hlk110521868"/>
            <w:r w:rsidRPr="00CC7D8B">
              <w:rPr>
                <w:i/>
              </w:rPr>
              <w:t>Type of submission:</w:t>
            </w:r>
          </w:p>
        </w:tc>
        <w:tc>
          <w:tcPr>
            <w:tcW w:w="3423" w:type="pct"/>
          </w:tcPr>
          <w:p w14:paraId="7C7983B2" w14:textId="0094D989" w:rsidR="009F2673" w:rsidRPr="00CC7D8B" w:rsidRDefault="00FF5490" w:rsidP="009E5A87">
            <w:r w:rsidRPr="00CC7D8B">
              <w:t xml:space="preserve">Extension of </w:t>
            </w:r>
            <w:r w:rsidR="00E541C4" w:rsidRPr="00CC7D8B">
              <w:t>i</w:t>
            </w:r>
            <w:r w:rsidRPr="00CC7D8B">
              <w:t xml:space="preserve">ndication and </w:t>
            </w:r>
            <w:r w:rsidR="00E541C4" w:rsidRPr="00CC7D8B">
              <w:t>major variation (new strength)</w:t>
            </w:r>
          </w:p>
        </w:tc>
      </w:tr>
      <w:bookmarkEnd w:id="11"/>
      <w:tr w:rsidR="009F2673" w:rsidRPr="00CC7D8B" w14:paraId="7AB00497" w14:textId="77777777" w:rsidTr="00CA1CA5">
        <w:tc>
          <w:tcPr>
            <w:tcW w:w="1577" w:type="pct"/>
          </w:tcPr>
          <w:p w14:paraId="09ABD3EB" w14:textId="485BD4E6" w:rsidR="009F2673" w:rsidRPr="00CC7D8B" w:rsidRDefault="009F2673" w:rsidP="009E5A87">
            <w:pPr>
              <w:rPr>
                <w:i/>
              </w:rPr>
            </w:pPr>
            <w:r w:rsidRPr="00CC7D8B">
              <w:rPr>
                <w:i/>
              </w:rPr>
              <w:t>Product name:</w:t>
            </w:r>
          </w:p>
        </w:tc>
        <w:tc>
          <w:tcPr>
            <w:tcW w:w="3423" w:type="pct"/>
          </w:tcPr>
          <w:p w14:paraId="1FEDA3C2" w14:textId="3C65C3C1" w:rsidR="009F2673" w:rsidRPr="00CC7D8B" w:rsidRDefault="00404C84" w:rsidP="009E5A87">
            <w:r w:rsidRPr="00CC7D8B">
              <w:t>Spikevax</w:t>
            </w:r>
          </w:p>
        </w:tc>
      </w:tr>
      <w:tr w:rsidR="009F2673" w:rsidRPr="00CC7D8B" w14:paraId="76BFC10C" w14:textId="77777777" w:rsidTr="00CA1CA5">
        <w:tc>
          <w:tcPr>
            <w:tcW w:w="1577" w:type="pct"/>
          </w:tcPr>
          <w:p w14:paraId="4DAD211F" w14:textId="021CD8A8" w:rsidR="009F2673" w:rsidRPr="00CC7D8B" w:rsidRDefault="009F2673" w:rsidP="009E5A87">
            <w:pPr>
              <w:rPr>
                <w:i/>
              </w:rPr>
            </w:pPr>
            <w:r w:rsidRPr="00CC7D8B">
              <w:rPr>
                <w:i/>
              </w:rPr>
              <w:t>Active ingredient:</w:t>
            </w:r>
          </w:p>
        </w:tc>
        <w:tc>
          <w:tcPr>
            <w:tcW w:w="3423" w:type="pct"/>
          </w:tcPr>
          <w:p w14:paraId="05DC7D4E" w14:textId="464483D8" w:rsidR="009F2673" w:rsidRPr="00CC7D8B" w:rsidRDefault="00404C84" w:rsidP="009E5A87">
            <w:r w:rsidRPr="00CC7D8B">
              <w:t>Elasomeran</w:t>
            </w:r>
          </w:p>
        </w:tc>
      </w:tr>
      <w:tr w:rsidR="009F2673" w:rsidRPr="00CC7D8B" w14:paraId="09946BB4" w14:textId="77777777" w:rsidTr="00CA1CA5">
        <w:tc>
          <w:tcPr>
            <w:tcW w:w="1577" w:type="pct"/>
          </w:tcPr>
          <w:p w14:paraId="355DCD8A" w14:textId="77777777" w:rsidR="009F2673" w:rsidRPr="00CC7D8B" w:rsidRDefault="009F2673" w:rsidP="009E5A87">
            <w:pPr>
              <w:rPr>
                <w:i/>
              </w:rPr>
            </w:pPr>
            <w:r w:rsidRPr="00CC7D8B">
              <w:rPr>
                <w:i/>
              </w:rPr>
              <w:t>Decision:</w:t>
            </w:r>
          </w:p>
        </w:tc>
        <w:tc>
          <w:tcPr>
            <w:tcW w:w="3423" w:type="pct"/>
          </w:tcPr>
          <w:p w14:paraId="6AA2FB6D" w14:textId="2809B784" w:rsidR="009F2673" w:rsidRPr="007B1C46" w:rsidRDefault="009F2673" w:rsidP="007B1C46">
            <w:r w:rsidRPr="007B1C46">
              <w:t xml:space="preserve">Approved </w:t>
            </w:r>
            <w:bookmarkStart w:id="12" w:name="_Hlk110521879"/>
            <w:r w:rsidRPr="007B1C46">
              <w:t>for provisional registration</w:t>
            </w:r>
            <w:bookmarkEnd w:id="12"/>
          </w:p>
        </w:tc>
      </w:tr>
      <w:tr w:rsidR="009F2673" w:rsidRPr="00CC7D8B" w14:paraId="4DEE07AD" w14:textId="77777777" w:rsidTr="00CA1CA5">
        <w:tc>
          <w:tcPr>
            <w:tcW w:w="1577" w:type="pct"/>
          </w:tcPr>
          <w:p w14:paraId="1DF48979" w14:textId="77777777" w:rsidR="009F2673" w:rsidRPr="00CC7D8B" w:rsidRDefault="009F2673" w:rsidP="009E5A87">
            <w:pPr>
              <w:rPr>
                <w:i/>
              </w:rPr>
            </w:pPr>
            <w:r w:rsidRPr="00CC7D8B">
              <w:rPr>
                <w:i/>
              </w:rPr>
              <w:t>Date of decision:</w:t>
            </w:r>
          </w:p>
        </w:tc>
        <w:tc>
          <w:tcPr>
            <w:tcW w:w="3423" w:type="pct"/>
          </w:tcPr>
          <w:p w14:paraId="494A9975" w14:textId="363E45B0" w:rsidR="009F2673" w:rsidRPr="007B1C46" w:rsidRDefault="007B1C46" w:rsidP="007B1C46">
            <w:r w:rsidRPr="00C157B1">
              <w:t>19 July 2022</w:t>
            </w:r>
          </w:p>
        </w:tc>
      </w:tr>
      <w:tr w:rsidR="009F2673" w:rsidRPr="00CC7D8B" w14:paraId="11941C86" w14:textId="77777777" w:rsidTr="00CA1CA5">
        <w:tc>
          <w:tcPr>
            <w:tcW w:w="1577" w:type="pct"/>
          </w:tcPr>
          <w:p w14:paraId="3FA96073" w14:textId="77777777" w:rsidR="009F2673" w:rsidRPr="00CC7D8B" w:rsidRDefault="009F2673" w:rsidP="009E5A87">
            <w:pPr>
              <w:rPr>
                <w:i/>
              </w:rPr>
            </w:pPr>
            <w:r w:rsidRPr="00CC7D8B">
              <w:rPr>
                <w:i/>
              </w:rPr>
              <w:t>Date of entry onto ARTG:</w:t>
            </w:r>
          </w:p>
        </w:tc>
        <w:tc>
          <w:tcPr>
            <w:tcW w:w="3423" w:type="pct"/>
          </w:tcPr>
          <w:p w14:paraId="5FE5E521" w14:textId="5400999F" w:rsidR="009F2673" w:rsidRPr="007B1C46" w:rsidRDefault="007B1C46" w:rsidP="007B1C46">
            <w:r w:rsidRPr="00C157B1">
              <w:t>19 July 2022</w:t>
            </w:r>
          </w:p>
        </w:tc>
      </w:tr>
      <w:tr w:rsidR="009F2673" w:rsidRPr="00CC7D8B" w14:paraId="116B5184" w14:textId="77777777" w:rsidTr="00CA1CA5">
        <w:tc>
          <w:tcPr>
            <w:tcW w:w="1577" w:type="pct"/>
          </w:tcPr>
          <w:p w14:paraId="7A170BFB" w14:textId="22D34B86" w:rsidR="009F2673" w:rsidRPr="00CC7D8B" w:rsidRDefault="009F2673" w:rsidP="009E5A87">
            <w:pPr>
              <w:rPr>
                <w:i/>
              </w:rPr>
            </w:pPr>
            <w:r w:rsidRPr="00CC7D8B">
              <w:rPr>
                <w:i/>
              </w:rPr>
              <w:t>ARTG numbers:</w:t>
            </w:r>
          </w:p>
        </w:tc>
        <w:tc>
          <w:tcPr>
            <w:tcW w:w="3423" w:type="pct"/>
          </w:tcPr>
          <w:p w14:paraId="61338B13" w14:textId="4CFE193D" w:rsidR="009F2673" w:rsidRPr="007B1C46" w:rsidRDefault="00FF5490" w:rsidP="007B1C46">
            <w:r w:rsidRPr="00C157B1">
              <w:t xml:space="preserve">370599, </w:t>
            </w:r>
            <w:r w:rsidR="007B1C46" w:rsidRPr="00C157B1">
              <w:t>388244 and 388245</w:t>
            </w:r>
          </w:p>
        </w:tc>
      </w:tr>
      <w:tr w:rsidR="009F2673" w:rsidRPr="00CC7D8B" w14:paraId="11C9854B" w14:textId="77777777" w:rsidTr="00CA1CA5">
        <w:tc>
          <w:tcPr>
            <w:tcW w:w="1577" w:type="pct"/>
          </w:tcPr>
          <w:p w14:paraId="5D22E0DC" w14:textId="0A5CDA20" w:rsidR="009F2673" w:rsidRPr="00CC7D8B" w:rsidRDefault="001B1DA4" w:rsidP="009E5A87">
            <w:pPr>
              <w:rPr>
                <w:i/>
              </w:rPr>
            </w:pPr>
            <w:r w:rsidRPr="00CC7D8B">
              <w:rPr>
                <w:rFonts w:ascii="Wingdings 3" w:hAnsi="Wingdings 3"/>
                <w:sz w:val="34"/>
                <w:szCs w:val="34"/>
                <w:lang w:eastAsia="en-AU"/>
              </w:rPr>
              <w:t></w:t>
            </w:r>
            <w:hyperlink r:id="rId17" w:history="1">
              <w:r w:rsidR="009F2673" w:rsidRPr="00CC7D8B">
                <w:rPr>
                  <w:rStyle w:val="Hyperlink"/>
                  <w:i/>
                </w:rPr>
                <w:t>Black Triangle Scheme</w:t>
              </w:r>
            </w:hyperlink>
            <w:r w:rsidR="009F2673" w:rsidRPr="00CC7D8B">
              <w:rPr>
                <w:i/>
              </w:rPr>
              <w:t>:</w:t>
            </w:r>
          </w:p>
        </w:tc>
        <w:tc>
          <w:tcPr>
            <w:tcW w:w="3423" w:type="pct"/>
          </w:tcPr>
          <w:p w14:paraId="4A207A49" w14:textId="4B7D0139" w:rsidR="009F2673" w:rsidRPr="00CC7D8B" w:rsidRDefault="009F2673" w:rsidP="00404C84">
            <w:r w:rsidRPr="00CC7D8B">
              <w:t>Yes</w:t>
            </w:r>
            <w:r w:rsidR="00404C84" w:rsidRPr="00CC7D8B">
              <w:t>.</w:t>
            </w:r>
          </w:p>
          <w:p w14:paraId="2CA35A3C" w14:textId="38726DC5" w:rsidR="009F2673" w:rsidRPr="00CC7D8B" w:rsidRDefault="009F2673" w:rsidP="009E5A87">
            <w:r w:rsidRPr="00CC7D8B">
              <w:t>This product will remain in the scheme for 5 years, starting on the date the new indication was approved</w:t>
            </w:r>
            <w:r w:rsidR="00404C84" w:rsidRPr="00CC7D8B">
              <w:t>.</w:t>
            </w:r>
          </w:p>
        </w:tc>
      </w:tr>
      <w:tr w:rsidR="009F2673" w:rsidRPr="00CC7D8B" w14:paraId="78B31818" w14:textId="77777777" w:rsidTr="00CA1CA5">
        <w:tc>
          <w:tcPr>
            <w:tcW w:w="1577" w:type="pct"/>
          </w:tcPr>
          <w:p w14:paraId="7B0B4B62" w14:textId="77777777" w:rsidR="009F2673" w:rsidRPr="00CC7D8B" w:rsidRDefault="009F2673" w:rsidP="009E5A87">
            <w:pPr>
              <w:rPr>
                <w:i/>
              </w:rPr>
            </w:pPr>
            <w:r w:rsidRPr="00CC7D8B">
              <w:rPr>
                <w:i/>
              </w:rPr>
              <w:t>Sponsor’s name and address:</w:t>
            </w:r>
          </w:p>
        </w:tc>
        <w:tc>
          <w:tcPr>
            <w:tcW w:w="3423" w:type="pct"/>
          </w:tcPr>
          <w:p w14:paraId="173DE69D" w14:textId="77777777" w:rsidR="009F2673" w:rsidRPr="00CC7D8B" w:rsidRDefault="00404C84" w:rsidP="009E5A87">
            <w:r w:rsidRPr="00CC7D8B">
              <w:t>Moderna Australia Pty Ltd</w:t>
            </w:r>
          </w:p>
          <w:p w14:paraId="1F581F81" w14:textId="77777777" w:rsidR="00404C84" w:rsidRPr="00CC7D8B" w:rsidRDefault="00404C84" w:rsidP="00404C84">
            <w:r w:rsidRPr="00CC7D8B">
              <w:t>Level 6, 60 Martin Place</w:t>
            </w:r>
          </w:p>
          <w:p w14:paraId="7B57F731" w14:textId="049B7FCA" w:rsidR="00404C84" w:rsidRPr="00CC7D8B" w:rsidRDefault="00404C84" w:rsidP="00404C84">
            <w:r w:rsidRPr="00CC7D8B">
              <w:t>Sydney NSW, 2000</w:t>
            </w:r>
          </w:p>
        </w:tc>
      </w:tr>
      <w:tr w:rsidR="009F2673" w:rsidRPr="00CC7D8B" w14:paraId="1CE6FA2C" w14:textId="77777777" w:rsidTr="00CA1CA5">
        <w:tc>
          <w:tcPr>
            <w:tcW w:w="1577" w:type="pct"/>
          </w:tcPr>
          <w:p w14:paraId="09B05652" w14:textId="15023099" w:rsidR="009F2673" w:rsidRPr="00CC7D8B" w:rsidRDefault="009F2673" w:rsidP="009E5A87">
            <w:pPr>
              <w:rPr>
                <w:i/>
              </w:rPr>
            </w:pPr>
            <w:r w:rsidRPr="00CC7D8B">
              <w:rPr>
                <w:i/>
              </w:rPr>
              <w:t>Dose form:</w:t>
            </w:r>
          </w:p>
        </w:tc>
        <w:tc>
          <w:tcPr>
            <w:tcW w:w="3423" w:type="pct"/>
          </w:tcPr>
          <w:p w14:paraId="4CEC362B" w14:textId="1B2BF0B8" w:rsidR="009F2673" w:rsidRPr="00CC7D8B" w:rsidRDefault="00FF5490" w:rsidP="009E5A87">
            <w:r w:rsidRPr="00CC7D8B">
              <w:t>Suspension for injection</w:t>
            </w:r>
          </w:p>
        </w:tc>
      </w:tr>
      <w:tr w:rsidR="009F2673" w:rsidRPr="00CC7D8B" w14:paraId="20CFD820" w14:textId="77777777" w:rsidTr="00CA1CA5">
        <w:tc>
          <w:tcPr>
            <w:tcW w:w="1577" w:type="pct"/>
          </w:tcPr>
          <w:p w14:paraId="641828B3" w14:textId="5EE6CB8F" w:rsidR="009F2673" w:rsidRPr="00CC7D8B" w:rsidRDefault="009F2673" w:rsidP="009E5A87">
            <w:pPr>
              <w:rPr>
                <w:i/>
              </w:rPr>
            </w:pPr>
            <w:r w:rsidRPr="00CC7D8B">
              <w:rPr>
                <w:i/>
              </w:rPr>
              <w:t>Strengths:</w:t>
            </w:r>
          </w:p>
        </w:tc>
        <w:tc>
          <w:tcPr>
            <w:tcW w:w="3423" w:type="pct"/>
          </w:tcPr>
          <w:p w14:paraId="0DDE3625" w14:textId="676187EE" w:rsidR="009F2673" w:rsidRPr="00CC7D8B" w:rsidRDefault="00FF5490" w:rsidP="009E5A87">
            <w:r w:rsidRPr="00CC7D8B">
              <w:t xml:space="preserve">0.2 mg/mL and </w:t>
            </w:r>
            <w:r w:rsidR="00404C84" w:rsidRPr="00CC7D8B">
              <w:t>0.1 mg/mL</w:t>
            </w:r>
          </w:p>
        </w:tc>
      </w:tr>
      <w:tr w:rsidR="009F2673" w:rsidRPr="00CC7D8B" w14:paraId="25711737" w14:textId="77777777" w:rsidTr="00CA1CA5">
        <w:tc>
          <w:tcPr>
            <w:tcW w:w="1577" w:type="pct"/>
          </w:tcPr>
          <w:p w14:paraId="60A2FD51" w14:textId="3F8816D4" w:rsidR="009F2673" w:rsidRPr="00CC7D8B" w:rsidRDefault="009F2673" w:rsidP="009E5A87">
            <w:pPr>
              <w:rPr>
                <w:i/>
              </w:rPr>
            </w:pPr>
            <w:r w:rsidRPr="00CC7D8B">
              <w:rPr>
                <w:i/>
              </w:rPr>
              <w:t>Containers:</w:t>
            </w:r>
          </w:p>
        </w:tc>
        <w:tc>
          <w:tcPr>
            <w:tcW w:w="3423" w:type="pct"/>
          </w:tcPr>
          <w:p w14:paraId="67DD0762" w14:textId="5B1F72D2" w:rsidR="009F2673" w:rsidRPr="00CC7D8B" w:rsidRDefault="00FF5490" w:rsidP="009E5A87">
            <w:r w:rsidRPr="00CC7D8B">
              <w:t>Vial and p</w:t>
            </w:r>
            <w:r w:rsidR="00630A6C" w:rsidRPr="00CC7D8B">
              <w:t>re-filled syringe</w:t>
            </w:r>
          </w:p>
        </w:tc>
      </w:tr>
      <w:tr w:rsidR="009F2673" w:rsidRPr="00CC7D8B" w14:paraId="08858177" w14:textId="77777777" w:rsidTr="00CA1CA5">
        <w:tc>
          <w:tcPr>
            <w:tcW w:w="1577" w:type="pct"/>
          </w:tcPr>
          <w:p w14:paraId="7E945FEF" w14:textId="357BD735" w:rsidR="009F2673" w:rsidRPr="00CC7D8B" w:rsidRDefault="009F2673" w:rsidP="009E5A87">
            <w:pPr>
              <w:rPr>
                <w:i/>
              </w:rPr>
            </w:pPr>
            <w:r w:rsidRPr="00CC7D8B">
              <w:rPr>
                <w:i/>
              </w:rPr>
              <w:t>Pack size:</w:t>
            </w:r>
          </w:p>
        </w:tc>
        <w:tc>
          <w:tcPr>
            <w:tcW w:w="3423" w:type="pct"/>
          </w:tcPr>
          <w:p w14:paraId="563251FB" w14:textId="23A8A8C7" w:rsidR="00FF5490" w:rsidRPr="00CC7D8B" w:rsidRDefault="00FF5490" w:rsidP="00630A6C">
            <w:r w:rsidRPr="00CC7D8B">
              <w:t>10 x 5 mL multidose vials (0.2 mg/mL)</w:t>
            </w:r>
          </w:p>
          <w:p w14:paraId="3192AB14" w14:textId="185FA2AD" w:rsidR="00FF5490" w:rsidRPr="00CC7D8B" w:rsidRDefault="00FF5490" w:rsidP="00FF5490">
            <w:r w:rsidRPr="00CC7D8B">
              <w:t>10 x 2.5 mL multidose vials (0.1 mg/mL)</w:t>
            </w:r>
          </w:p>
          <w:p w14:paraId="1D31548E" w14:textId="44CC077B" w:rsidR="00630A6C" w:rsidRPr="00CC7D8B" w:rsidRDefault="00630A6C" w:rsidP="00FF5490">
            <w:r w:rsidRPr="00CC7D8B">
              <w:t>10</w:t>
            </w:r>
            <w:r w:rsidR="00206AFA">
              <w:t xml:space="preserve"> </w:t>
            </w:r>
            <w:r w:rsidR="00FE309A">
              <w:t xml:space="preserve">x pre-filled syringes </w:t>
            </w:r>
            <w:r w:rsidR="00206AFA">
              <w:t>(</w:t>
            </w:r>
            <w:r w:rsidR="00FE309A">
              <w:t xml:space="preserve">as </w:t>
            </w:r>
            <w:r w:rsidR="00206AFA">
              <w:t>5 packs of 2</w:t>
            </w:r>
            <w:r w:rsidRPr="00CC7D8B">
              <w:t xml:space="preserve"> pre-filled syringes</w:t>
            </w:r>
            <w:r w:rsidR="00FE309A">
              <w:t>)</w:t>
            </w:r>
            <w:r w:rsidRPr="00CC7D8B">
              <w:t xml:space="preserve"> (0.1 mg/mL)</w:t>
            </w:r>
          </w:p>
        </w:tc>
      </w:tr>
      <w:tr w:rsidR="009F2673" w:rsidRPr="00CC7D8B" w14:paraId="2FC73D67" w14:textId="77777777" w:rsidTr="00CA1CA5">
        <w:tc>
          <w:tcPr>
            <w:tcW w:w="1577" w:type="pct"/>
          </w:tcPr>
          <w:p w14:paraId="04C4565A" w14:textId="77777777" w:rsidR="009F2673" w:rsidRPr="00CC7D8B" w:rsidRDefault="009F2673" w:rsidP="009E5A87">
            <w:pPr>
              <w:rPr>
                <w:i/>
              </w:rPr>
            </w:pPr>
            <w:r w:rsidRPr="00CC7D8B">
              <w:rPr>
                <w:i/>
              </w:rPr>
              <w:t>Approved therapeutic use:</w:t>
            </w:r>
          </w:p>
        </w:tc>
        <w:tc>
          <w:tcPr>
            <w:tcW w:w="3423" w:type="pct"/>
          </w:tcPr>
          <w:p w14:paraId="1CBE613E" w14:textId="6247CB47" w:rsidR="007B1C46" w:rsidRPr="00C157B1" w:rsidRDefault="007B1C46" w:rsidP="00C157B1">
            <w:pPr>
              <w:rPr>
                <w:i/>
                <w:iCs/>
              </w:rPr>
            </w:pPr>
            <w:r w:rsidRPr="00C157B1">
              <w:rPr>
                <w:i/>
                <w:iCs/>
              </w:rPr>
              <w:t>Spikevax (elasomeran) COVID-19 vaccine has provisional approval for the indication below:</w:t>
            </w:r>
          </w:p>
          <w:p w14:paraId="4EA558E5" w14:textId="28DE2DA1" w:rsidR="007B1C46" w:rsidRPr="00C157B1" w:rsidRDefault="007B1C46" w:rsidP="00C157B1">
            <w:pPr>
              <w:rPr>
                <w:i/>
                <w:iCs/>
              </w:rPr>
            </w:pPr>
            <w:r w:rsidRPr="00C157B1">
              <w:rPr>
                <w:i/>
                <w:iCs/>
              </w:rPr>
              <w:t>Active immunisation to prevent coronavirus disease 2019 (COVID-19) caused by SARS-CoV-2 in individuals 6 months of age and older.</w:t>
            </w:r>
          </w:p>
          <w:p w14:paraId="38502D12" w14:textId="6E893C8C" w:rsidR="007B1C46" w:rsidRPr="00C157B1" w:rsidRDefault="007B1C46" w:rsidP="00C157B1">
            <w:pPr>
              <w:rPr>
                <w:i/>
                <w:iCs/>
              </w:rPr>
            </w:pPr>
            <w:r w:rsidRPr="00C157B1">
              <w:rPr>
                <w:i/>
                <w:iCs/>
              </w:rPr>
              <w:t>The use of this vaccine should be in accordance with official recommendations.</w:t>
            </w:r>
          </w:p>
          <w:p w14:paraId="7B315CEF" w14:textId="750CBB8B" w:rsidR="007B1C46" w:rsidRPr="007B1C46" w:rsidRDefault="007B1C46" w:rsidP="00507D4B">
            <w:r w:rsidRPr="00C157B1">
              <w:rPr>
                <w:i/>
                <w:iCs/>
              </w:rPr>
              <w:t xml:space="preserve">The decision has been made </w:t>
            </w:r>
            <w:proofErr w:type="gramStart"/>
            <w:r w:rsidRPr="00C157B1">
              <w:rPr>
                <w:i/>
                <w:iCs/>
              </w:rPr>
              <w:t>on the basis of</w:t>
            </w:r>
            <w:proofErr w:type="gramEnd"/>
            <w:r w:rsidRPr="00C157B1">
              <w:rPr>
                <w:i/>
                <w:iCs/>
              </w:rPr>
              <w:t xml:space="preserve"> short-term efficacy and safety data. Continued approval depends on the evidence of </w:t>
            </w:r>
            <w:proofErr w:type="gramStart"/>
            <w:r w:rsidRPr="00C157B1">
              <w:rPr>
                <w:i/>
                <w:iCs/>
              </w:rPr>
              <w:t>longer term</w:t>
            </w:r>
            <w:proofErr w:type="gramEnd"/>
            <w:r w:rsidRPr="00C157B1">
              <w:rPr>
                <w:i/>
                <w:iCs/>
              </w:rPr>
              <w:t xml:space="preserve"> efficacy and safety from ongoing clinical trials and post-market assessment.</w:t>
            </w:r>
          </w:p>
        </w:tc>
      </w:tr>
      <w:tr w:rsidR="009F2673" w:rsidRPr="00CC7D8B" w14:paraId="1E0175C1" w14:textId="77777777" w:rsidTr="00CA1CA5">
        <w:tc>
          <w:tcPr>
            <w:tcW w:w="1577" w:type="pct"/>
          </w:tcPr>
          <w:p w14:paraId="098B6692" w14:textId="46F602CC" w:rsidR="009F2673" w:rsidRPr="00CC7D8B" w:rsidRDefault="009F2673" w:rsidP="009E5A87">
            <w:pPr>
              <w:rPr>
                <w:i/>
              </w:rPr>
            </w:pPr>
            <w:r w:rsidRPr="00CC7D8B">
              <w:rPr>
                <w:i/>
              </w:rPr>
              <w:t>Route of administration:</w:t>
            </w:r>
          </w:p>
        </w:tc>
        <w:tc>
          <w:tcPr>
            <w:tcW w:w="3423" w:type="pct"/>
          </w:tcPr>
          <w:p w14:paraId="43EAB3D3" w14:textId="3F60B14E" w:rsidR="009F2673" w:rsidRPr="00CC7D8B" w:rsidRDefault="00504F93" w:rsidP="009E5A87">
            <w:r w:rsidRPr="00CC7D8B">
              <w:t>Intramuscular</w:t>
            </w:r>
          </w:p>
        </w:tc>
      </w:tr>
      <w:tr w:rsidR="001B27F1" w:rsidRPr="00CC7D8B" w14:paraId="5AEBB898" w14:textId="77777777" w:rsidTr="00CA1CA5">
        <w:tc>
          <w:tcPr>
            <w:tcW w:w="1577" w:type="pct"/>
          </w:tcPr>
          <w:p w14:paraId="390F2742" w14:textId="77777777" w:rsidR="001B27F1" w:rsidRPr="00CC7D8B" w:rsidRDefault="001B27F1" w:rsidP="001B27F1">
            <w:pPr>
              <w:rPr>
                <w:i/>
              </w:rPr>
            </w:pPr>
            <w:r w:rsidRPr="00CC7D8B">
              <w:rPr>
                <w:i/>
              </w:rPr>
              <w:lastRenderedPageBreak/>
              <w:t>Dosage:</w:t>
            </w:r>
          </w:p>
        </w:tc>
        <w:tc>
          <w:tcPr>
            <w:tcW w:w="3423" w:type="pct"/>
          </w:tcPr>
          <w:p w14:paraId="132EE432" w14:textId="77777777" w:rsidR="001B27F1" w:rsidRDefault="001B27F1" w:rsidP="001B27F1">
            <w:r w:rsidRPr="00E572BE">
              <w:t>Dosage is based on multiple factors, including the vaccination type (primary series, booster dose and immunocompromised individuals), and the age group of the patient.</w:t>
            </w:r>
          </w:p>
          <w:p w14:paraId="08F50651" w14:textId="77777777" w:rsidR="001B27F1" w:rsidRDefault="001B27F1" w:rsidP="001B27F1">
            <w:r w:rsidRPr="00755BB5">
              <w:rPr>
                <w:b/>
                <w:bCs/>
              </w:rPr>
              <w:t>Primary series</w:t>
            </w:r>
          </w:p>
          <w:p w14:paraId="3B001516" w14:textId="57E3C09E" w:rsidR="001B27F1" w:rsidRPr="00755BB5" w:rsidRDefault="001B27F1" w:rsidP="001B27F1">
            <w:pPr>
              <w:rPr>
                <w:b/>
                <w:bCs/>
              </w:rPr>
            </w:pPr>
            <w:r w:rsidRPr="009A2011">
              <w:t>It is recommended to administer the second dose 28</w:t>
            </w:r>
            <w:r w:rsidR="00505F26">
              <w:t> </w:t>
            </w:r>
            <w:r w:rsidRPr="009A2011">
              <w:t>days after the first dose.</w:t>
            </w:r>
          </w:p>
          <w:p w14:paraId="0D35C7A9" w14:textId="1FE3FDC1" w:rsidR="001B27F1" w:rsidRDefault="001B27F1" w:rsidP="001B27F1">
            <w:pPr>
              <w:rPr>
                <w:i/>
                <w:iCs/>
              </w:rPr>
            </w:pPr>
            <w:r w:rsidRPr="009326F0">
              <w:rPr>
                <w:i/>
                <w:iCs/>
              </w:rPr>
              <w:t>Individual</w:t>
            </w:r>
            <w:r>
              <w:rPr>
                <w:i/>
                <w:iCs/>
              </w:rPr>
              <w:t>s</w:t>
            </w:r>
            <w:r w:rsidRPr="009326F0">
              <w:rPr>
                <w:i/>
                <w:iCs/>
              </w:rPr>
              <w:t xml:space="preserve"> 6 months to </w:t>
            </w:r>
            <w:r>
              <w:rPr>
                <w:i/>
                <w:iCs/>
              </w:rPr>
              <w:t>less than</w:t>
            </w:r>
            <w:r w:rsidRPr="009326F0">
              <w:rPr>
                <w:i/>
                <w:iCs/>
              </w:rPr>
              <w:t xml:space="preserve"> 6 years of age</w:t>
            </w:r>
          </w:p>
          <w:p w14:paraId="77861828" w14:textId="77777777" w:rsidR="00BC01B8" w:rsidRDefault="00BC01B8" w:rsidP="00BC01B8">
            <w:r>
              <w:t>Spikevax is administered as a course of 2 doses of Spikevax 0.1 mg/mL solution via intramuscular injection.</w:t>
            </w:r>
          </w:p>
          <w:p w14:paraId="547BCD5E" w14:textId="783479FE" w:rsidR="00505F26" w:rsidRDefault="00BC01B8" w:rsidP="00BC01B8">
            <w:r>
              <w:t>Each 0.25 mL dose of Spikevax 0.1 mg/mL contains 25 µg elasomeran.</w:t>
            </w:r>
          </w:p>
          <w:p w14:paraId="27CA77E9" w14:textId="58A2805F" w:rsidR="001B27F1" w:rsidRDefault="001B27F1" w:rsidP="001B27F1">
            <w:pPr>
              <w:rPr>
                <w:i/>
                <w:iCs/>
              </w:rPr>
            </w:pPr>
            <w:r w:rsidRPr="009326F0">
              <w:rPr>
                <w:i/>
                <w:iCs/>
              </w:rPr>
              <w:t>Individual</w:t>
            </w:r>
            <w:r>
              <w:rPr>
                <w:i/>
                <w:iCs/>
              </w:rPr>
              <w:t>s</w:t>
            </w:r>
            <w:r w:rsidRPr="009326F0">
              <w:rPr>
                <w:i/>
                <w:iCs/>
              </w:rPr>
              <w:t xml:space="preserve"> 6 </w:t>
            </w:r>
            <w:r>
              <w:rPr>
                <w:i/>
                <w:iCs/>
              </w:rPr>
              <w:t>years</w:t>
            </w:r>
            <w:r w:rsidRPr="009326F0">
              <w:rPr>
                <w:i/>
                <w:iCs/>
              </w:rPr>
              <w:t xml:space="preserve"> to </w:t>
            </w:r>
            <w:r>
              <w:rPr>
                <w:i/>
                <w:iCs/>
              </w:rPr>
              <w:t>less than</w:t>
            </w:r>
            <w:r w:rsidRPr="009326F0">
              <w:rPr>
                <w:i/>
                <w:iCs/>
              </w:rPr>
              <w:t xml:space="preserve"> </w:t>
            </w:r>
            <w:r>
              <w:rPr>
                <w:i/>
                <w:iCs/>
              </w:rPr>
              <w:t>12</w:t>
            </w:r>
            <w:r w:rsidRPr="009326F0">
              <w:rPr>
                <w:i/>
                <w:iCs/>
              </w:rPr>
              <w:t xml:space="preserve"> years of age</w:t>
            </w:r>
          </w:p>
          <w:p w14:paraId="25180F84" w14:textId="77777777" w:rsidR="00BC01B8" w:rsidRDefault="00BC01B8" w:rsidP="00BC01B8">
            <w:r>
              <w:t>Spikevax is administered as a course of 2 doses of either Spikevax 0.1 mg/</w:t>
            </w:r>
            <w:proofErr w:type="gramStart"/>
            <w:r>
              <w:t>mL;</w:t>
            </w:r>
            <w:proofErr w:type="gramEnd"/>
            <w:r>
              <w:t xml:space="preserve"> or Spikevax 0.2 mg/mL solution via intramuscular injection.</w:t>
            </w:r>
          </w:p>
          <w:p w14:paraId="27180CB4" w14:textId="6E6E1A3A" w:rsidR="00BC01B8" w:rsidRDefault="00BC01B8" w:rsidP="00BC01B8">
            <w:r>
              <w:t>Each 0.5 mL dose of Spikevax 0.1 mg/mL contains 50</w:t>
            </w:r>
            <w:r w:rsidR="008B3C59">
              <w:t> </w:t>
            </w:r>
            <w:r>
              <w:t>µg elasomeran.</w:t>
            </w:r>
          </w:p>
          <w:p w14:paraId="4E96A1B2" w14:textId="0E252348" w:rsidR="00BC01B8" w:rsidRDefault="00BC01B8" w:rsidP="00BC01B8">
            <w:r>
              <w:t>Each 0.25 mL dose of Spikevax 0.2 mg/mL contains 50</w:t>
            </w:r>
            <w:r w:rsidR="008B3C59">
              <w:t> </w:t>
            </w:r>
            <w:r>
              <w:t>µg elasomeran</w:t>
            </w:r>
          </w:p>
          <w:p w14:paraId="124496A8" w14:textId="77777777" w:rsidR="001B27F1" w:rsidRDefault="001B27F1" w:rsidP="001B27F1">
            <w:pPr>
              <w:rPr>
                <w:i/>
                <w:iCs/>
              </w:rPr>
            </w:pPr>
            <w:r w:rsidRPr="00755BB5">
              <w:rPr>
                <w:i/>
                <w:iCs/>
              </w:rPr>
              <w:t>Individuals 12 years of age</w:t>
            </w:r>
            <w:r>
              <w:rPr>
                <w:i/>
                <w:iCs/>
              </w:rPr>
              <w:t xml:space="preserve"> and older</w:t>
            </w:r>
          </w:p>
          <w:p w14:paraId="7441B2CF" w14:textId="77777777" w:rsidR="00BC01B8" w:rsidRDefault="00BC01B8" w:rsidP="00BC01B8">
            <w:r>
              <w:t>Spikevax is administered as a course of 2 doses of Spikevax 0.2 mg/mL solution via intramuscular injection.</w:t>
            </w:r>
          </w:p>
          <w:p w14:paraId="32C7EF8A" w14:textId="118BA46A" w:rsidR="00BC01B8" w:rsidRDefault="00BC01B8" w:rsidP="00BC01B8">
            <w:r>
              <w:t>Each 0.5 mL dose of Spikevax 0.2 mg/mL contains 100</w:t>
            </w:r>
            <w:r w:rsidR="008B3C59">
              <w:t> </w:t>
            </w:r>
            <w:r>
              <w:t>µg elasomeran.</w:t>
            </w:r>
          </w:p>
          <w:p w14:paraId="7A2DC4BE" w14:textId="77777777" w:rsidR="001B27F1" w:rsidRDefault="001B27F1" w:rsidP="001B27F1">
            <w:pPr>
              <w:rPr>
                <w:b/>
                <w:bCs/>
              </w:rPr>
            </w:pPr>
            <w:r w:rsidRPr="009326F0">
              <w:rPr>
                <w:b/>
                <w:bCs/>
              </w:rPr>
              <w:t>Immunocompromised individuals</w:t>
            </w:r>
          </w:p>
          <w:p w14:paraId="48E1A608" w14:textId="3200A514" w:rsidR="001B27F1" w:rsidRDefault="001B27F1" w:rsidP="001B27F1">
            <w:pPr>
              <w:rPr>
                <w:i/>
                <w:iCs/>
              </w:rPr>
            </w:pPr>
            <w:r w:rsidRPr="009326F0">
              <w:rPr>
                <w:i/>
                <w:iCs/>
              </w:rPr>
              <w:t>Individual</w:t>
            </w:r>
            <w:r>
              <w:rPr>
                <w:i/>
                <w:iCs/>
              </w:rPr>
              <w:t>s</w:t>
            </w:r>
            <w:r w:rsidRPr="009326F0">
              <w:rPr>
                <w:i/>
                <w:iCs/>
              </w:rPr>
              <w:t xml:space="preserve"> 6 months to </w:t>
            </w:r>
            <w:r>
              <w:rPr>
                <w:i/>
                <w:iCs/>
              </w:rPr>
              <w:t>less than</w:t>
            </w:r>
            <w:r w:rsidRPr="009326F0">
              <w:rPr>
                <w:i/>
                <w:iCs/>
              </w:rPr>
              <w:t xml:space="preserve"> 6 years of age</w:t>
            </w:r>
          </w:p>
          <w:p w14:paraId="2960FEE0" w14:textId="77777777" w:rsidR="00BC01B8" w:rsidRDefault="00BC01B8" w:rsidP="00BC01B8">
            <w:r>
              <w:t>A third dose of Spikevax 0.1 mg/mL solution for intramuscular injection may be given at least 28 days after the second dose of the primary series of vaccination.</w:t>
            </w:r>
          </w:p>
          <w:p w14:paraId="0F7406FA" w14:textId="7086B665" w:rsidR="00BC01B8" w:rsidRDefault="00BC01B8" w:rsidP="00BC01B8">
            <w:r>
              <w:t>Each 0.25 mL dose of Spikevax 0.1 mg/mL contains 25</w:t>
            </w:r>
            <w:r w:rsidR="008B3C59">
              <w:t> </w:t>
            </w:r>
            <w:r>
              <w:t>µg elasomeran.</w:t>
            </w:r>
          </w:p>
          <w:p w14:paraId="31CA8BC8" w14:textId="77777777" w:rsidR="001B27F1" w:rsidRDefault="001B27F1" w:rsidP="001B27F1">
            <w:pPr>
              <w:rPr>
                <w:i/>
                <w:iCs/>
              </w:rPr>
            </w:pPr>
            <w:r w:rsidRPr="009326F0">
              <w:rPr>
                <w:i/>
                <w:iCs/>
              </w:rPr>
              <w:t>Individuals 12 years of age</w:t>
            </w:r>
            <w:r>
              <w:rPr>
                <w:i/>
                <w:iCs/>
              </w:rPr>
              <w:t xml:space="preserve"> and older</w:t>
            </w:r>
          </w:p>
          <w:p w14:paraId="1CCAE295" w14:textId="031B8FE8" w:rsidR="006D220D" w:rsidRDefault="006D220D" w:rsidP="006D220D">
            <w:r>
              <w:t>A third dose of Spikevax 0.2 mg/mL solution for intramuscular injection may be given at least 28 days after the second dose of the primary series of vaccination.</w:t>
            </w:r>
          </w:p>
          <w:p w14:paraId="3D4D2877" w14:textId="352CB5D7" w:rsidR="006D220D" w:rsidRDefault="006D220D" w:rsidP="006D220D">
            <w:r>
              <w:t>Each 0.5 mL dose of Spikevax 0.2 mg/mL contains 100</w:t>
            </w:r>
            <w:r w:rsidR="008B3C59">
              <w:t> </w:t>
            </w:r>
            <w:r>
              <w:t>µg elasomeran</w:t>
            </w:r>
            <w:r w:rsidR="009C7631">
              <w:t>.</w:t>
            </w:r>
          </w:p>
          <w:p w14:paraId="28809DD5" w14:textId="3504B376" w:rsidR="001B27F1" w:rsidRDefault="001B27F1" w:rsidP="001B27F1">
            <w:pPr>
              <w:rPr>
                <w:b/>
                <w:bCs/>
              </w:rPr>
            </w:pPr>
            <w:r w:rsidRPr="00755BB5">
              <w:rPr>
                <w:b/>
                <w:bCs/>
              </w:rPr>
              <w:t>Booster dose</w:t>
            </w:r>
          </w:p>
          <w:p w14:paraId="21587AAC" w14:textId="77777777" w:rsidR="006D220D" w:rsidRDefault="006D220D" w:rsidP="006D220D">
            <w:r>
              <w:t>The decision when and for whom to implement a booster (third dose) of Spikevax should be made based on available vaccine safety and effectiveness data in accordance with official recommendations.</w:t>
            </w:r>
          </w:p>
          <w:p w14:paraId="6933AC0C" w14:textId="322E6206" w:rsidR="001B27F1" w:rsidRDefault="001B27F1" w:rsidP="001B27F1">
            <w:pPr>
              <w:rPr>
                <w:i/>
                <w:iCs/>
              </w:rPr>
            </w:pPr>
            <w:r>
              <w:rPr>
                <w:i/>
                <w:iCs/>
              </w:rPr>
              <w:lastRenderedPageBreak/>
              <w:t>Individual</w:t>
            </w:r>
            <w:r w:rsidR="009C7631">
              <w:rPr>
                <w:i/>
                <w:iCs/>
              </w:rPr>
              <w:t>s</w:t>
            </w:r>
            <w:r>
              <w:rPr>
                <w:i/>
                <w:iCs/>
              </w:rPr>
              <w:t xml:space="preserve"> 18 years of age and</w:t>
            </w:r>
            <w:r w:rsidRPr="009326F0">
              <w:rPr>
                <w:i/>
                <w:iCs/>
              </w:rPr>
              <w:t xml:space="preserve"> older</w:t>
            </w:r>
          </w:p>
          <w:p w14:paraId="1CFBD9E5" w14:textId="7558FC09" w:rsidR="006D220D" w:rsidRDefault="006D220D" w:rsidP="006D220D">
            <w:r>
              <w:t>A third dose of either Spikevax 0.1 mg/mL; or Spikevax 0.2</w:t>
            </w:r>
            <w:r w:rsidR="008B3C59">
              <w:t> </w:t>
            </w:r>
            <w:r>
              <w:t>mg/mL solution for intramuscular injection is administered at least 6 months after the second dose of the primary series of vaccination.</w:t>
            </w:r>
          </w:p>
          <w:p w14:paraId="04E2EFB3" w14:textId="67477DCA" w:rsidR="006D220D" w:rsidRDefault="006D220D" w:rsidP="006D220D">
            <w:r>
              <w:t>Each 0.5 mL dose of Spikevax 0.1 mg/mL contains 50</w:t>
            </w:r>
            <w:r w:rsidR="008B3C59">
              <w:t> </w:t>
            </w:r>
            <w:r>
              <w:t>µg elasomeran.</w:t>
            </w:r>
          </w:p>
          <w:p w14:paraId="5DAF1DF6" w14:textId="0794C164" w:rsidR="006D220D" w:rsidRDefault="006D220D" w:rsidP="006D220D">
            <w:r>
              <w:t>Each 0.25 mL dose of Spikevax 0.2 mg/mL contains 50</w:t>
            </w:r>
            <w:r w:rsidR="008B3C59">
              <w:t> </w:t>
            </w:r>
            <w:r>
              <w:t>µg elasomeran.</w:t>
            </w:r>
          </w:p>
          <w:p w14:paraId="67E86EB3" w14:textId="1585264F" w:rsidR="001B27F1" w:rsidRPr="00E572BE" w:rsidRDefault="001B27F1" w:rsidP="001B27F1">
            <w:r>
              <w:t>For further information regarding dosage (including the interchangeability of Spikevax with other COVID-19 vaccines), refer to the Product Information.</w:t>
            </w:r>
          </w:p>
        </w:tc>
      </w:tr>
      <w:tr w:rsidR="001B27F1" w:rsidRPr="00CC7D8B" w14:paraId="11E18FBA" w14:textId="77777777" w:rsidTr="00CA1CA5">
        <w:tc>
          <w:tcPr>
            <w:tcW w:w="1577" w:type="pct"/>
          </w:tcPr>
          <w:p w14:paraId="20158AD1" w14:textId="369ADA3E" w:rsidR="001B27F1" w:rsidRPr="00CC7D8B" w:rsidRDefault="001B27F1" w:rsidP="001B27F1">
            <w:pPr>
              <w:rPr>
                <w:i/>
              </w:rPr>
            </w:pPr>
            <w:r w:rsidRPr="00CC7D8B">
              <w:rPr>
                <w:i/>
              </w:rPr>
              <w:lastRenderedPageBreak/>
              <w:t>Pregnancy category:</w:t>
            </w:r>
          </w:p>
        </w:tc>
        <w:tc>
          <w:tcPr>
            <w:tcW w:w="3423" w:type="pct"/>
          </w:tcPr>
          <w:p w14:paraId="58E4997B" w14:textId="1C7369F6" w:rsidR="001B27F1" w:rsidRPr="00CC7D8B" w:rsidRDefault="001B27F1" w:rsidP="001B27F1">
            <w:r w:rsidRPr="00CC7D8B">
              <w:t>B1</w:t>
            </w:r>
          </w:p>
          <w:p w14:paraId="1EEA2730" w14:textId="77777777" w:rsidR="001B27F1" w:rsidRPr="00CC7D8B" w:rsidRDefault="001B27F1" w:rsidP="001B27F1">
            <w:r w:rsidRPr="00CC7D8B">
              <w:t>Drugs which have been taken by only a limited number of pregnant women and women of childbearing age, without an increase in the frequency of malformation or other direct or indirect harmful effects on the human fetus having been observed.</w:t>
            </w:r>
          </w:p>
          <w:p w14:paraId="12B4B7B8" w14:textId="26BC6974" w:rsidR="001B27F1" w:rsidRPr="00CC7D8B" w:rsidRDefault="001B27F1" w:rsidP="001B27F1">
            <w:r w:rsidRPr="00CC7D8B">
              <w:t>Studies in animals have not shown evidence of an increased occurrence of fetal damage.</w:t>
            </w:r>
          </w:p>
          <w:p w14:paraId="508ED080" w14:textId="48138084" w:rsidR="001B27F1" w:rsidRPr="00CC7D8B" w:rsidRDefault="001B27F1" w:rsidP="001B27F1">
            <w:r w:rsidRPr="00CC7D8B">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5538227" w14:textId="77777777" w:rsidR="008E7846" w:rsidRPr="00CC7D8B" w:rsidRDefault="008E7846" w:rsidP="008E7846">
      <w:pPr>
        <w:pStyle w:val="Heading3"/>
      </w:pPr>
      <w:bookmarkStart w:id="13" w:name="_Toc247691503"/>
      <w:bookmarkStart w:id="14" w:name="_Toc314842484"/>
      <w:bookmarkStart w:id="15" w:name="_Toc109817288"/>
      <w:r w:rsidRPr="00CC7D8B">
        <w:t>Product background</w:t>
      </w:r>
      <w:bookmarkEnd w:id="13"/>
      <w:bookmarkEnd w:id="14"/>
      <w:bookmarkEnd w:id="15"/>
    </w:p>
    <w:p w14:paraId="3FB4D2C2" w14:textId="4A4CFCF4" w:rsidR="009F2673" w:rsidRPr="00CC7D8B" w:rsidRDefault="009F2673" w:rsidP="009F2673">
      <w:r w:rsidRPr="00CC7D8B">
        <w:t xml:space="preserve">This AusPAR describes the </w:t>
      </w:r>
      <w:r w:rsidR="001E359E" w:rsidRPr="00CC7D8B">
        <w:t>submission</w:t>
      </w:r>
      <w:r w:rsidRPr="00CC7D8B">
        <w:t xml:space="preserve"> by </w:t>
      </w:r>
      <w:r w:rsidR="00404C84" w:rsidRPr="00CC7D8B">
        <w:t>Moderna Australia Pty Ltd</w:t>
      </w:r>
      <w:r w:rsidRPr="00CC7D8B">
        <w:t xml:space="preserve"> (the sponsor) to register </w:t>
      </w:r>
      <w:r w:rsidR="00404C84" w:rsidRPr="00CC7D8B">
        <w:t xml:space="preserve">Spikevax </w:t>
      </w:r>
      <w:r w:rsidRPr="00CC7D8B">
        <w:t>(</w:t>
      </w:r>
      <w:r w:rsidR="00404C84" w:rsidRPr="00CC7D8B">
        <w:t>elasomeran</w:t>
      </w:r>
      <w:r w:rsidRPr="00CC7D8B">
        <w:t xml:space="preserve">) </w:t>
      </w:r>
      <w:r w:rsidR="00C32995" w:rsidRPr="00CC7D8B">
        <w:t>0.</w:t>
      </w:r>
      <w:r w:rsidR="00EF7ED7">
        <w:t>1</w:t>
      </w:r>
      <w:r w:rsidR="00C32995" w:rsidRPr="00CC7D8B">
        <w:t xml:space="preserve"> mg/mL and 0.</w:t>
      </w:r>
      <w:r w:rsidR="00EF7ED7">
        <w:t>2</w:t>
      </w:r>
      <w:r w:rsidR="00C32995" w:rsidRPr="00CC7D8B">
        <w:t xml:space="preserve"> mg/mL</w:t>
      </w:r>
      <w:r w:rsidRPr="00CC7D8B">
        <w:t xml:space="preserve"> </w:t>
      </w:r>
      <w:r w:rsidR="00EF7ED7">
        <w:t>solution (</w:t>
      </w:r>
      <w:r w:rsidR="00C32995" w:rsidRPr="00CC7D8B">
        <w:t>suspension</w:t>
      </w:r>
      <w:r w:rsidR="00EF7ED7">
        <w:t>)</w:t>
      </w:r>
      <w:r w:rsidR="00C32995" w:rsidRPr="00CC7D8B">
        <w:t xml:space="preserve"> for </w:t>
      </w:r>
      <w:r w:rsidR="00EF7ED7">
        <w:t xml:space="preserve">intramuscular </w:t>
      </w:r>
      <w:r w:rsidR="00C32995" w:rsidRPr="00CC7D8B">
        <w:t>injection</w:t>
      </w:r>
      <w:r w:rsidRPr="00CC7D8B">
        <w:t xml:space="preserve"> for the following proposed extension of indications</w:t>
      </w:r>
      <w:r w:rsidR="00504F93" w:rsidRPr="00CC7D8B">
        <w:t xml:space="preserve"> (under Submission</w:t>
      </w:r>
      <w:r w:rsidR="00505F26">
        <w:t> </w:t>
      </w:r>
      <w:r w:rsidR="00504F93" w:rsidRPr="00CC7D8B">
        <w:t>PM-2022-01792-1-2):</w:t>
      </w:r>
    </w:p>
    <w:p w14:paraId="6D2E04AB" w14:textId="56942470" w:rsidR="00FF5490" w:rsidRPr="00CC7D8B" w:rsidRDefault="00C32995" w:rsidP="00FF5490">
      <w:pPr>
        <w:ind w:left="720"/>
        <w:rPr>
          <w:i/>
          <w:iCs/>
        </w:rPr>
      </w:pPr>
      <w:r w:rsidRPr="00CC7D8B">
        <w:rPr>
          <w:i/>
          <w:iCs/>
        </w:rPr>
        <w:t>Spikevax</w:t>
      </w:r>
      <w:r w:rsidR="00FF5490" w:rsidRPr="00CC7D8B">
        <w:rPr>
          <w:i/>
          <w:iCs/>
        </w:rPr>
        <w:t xml:space="preserve"> (elasomeran) COVID-19 </w:t>
      </w:r>
      <w:r w:rsidR="00057C45" w:rsidRPr="00CC7D8B">
        <w:rPr>
          <w:i/>
          <w:iCs/>
        </w:rPr>
        <w:t>vaccine</w:t>
      </w:r>
      <w:r w:rsidR="00FF5490" w:rsidRPr="00CC7D8B">
        <w:rPr>
          <w:i/>
          <w:iCs/>
        </w:rPr>
        <w:t xml:space="preserve"> has provisional approval for the indication below:</w:t>
      </w:r>
    </w:p>
    <w:p w14:paraId="1062015A" w14:textId="03822C08" w:rsidR="00FF5490" w:rsidRPr="00CC7D8B" w:rsidRDefault="00FF5490" w:rsidP="00FF5490">
      <w:pPr>
        <w:ind w:left="720"/>
        <w:rPr>
          <w:i/>
          <w:iCs/>
        </w:rPr>
      </w:pPr>
      <w:r w:rsidRPr="00CC7D8B">
        <w:rPr>
          <w:i/>
          <w:iCs/>
        </w:rPr>
        <w:t>Active immunisation to prevent coronavirus disease 2019 (COVID-19) caused by SARS-CoV-2 in individuals 6 months of age and older.</w:t>
      </w:r>
    </w:p>
    <w:p w14:paraId="50913E30" w14:textId="2CEBB312" w:rsidR="00FF5490" w:rsidRPr="00CC7D8B" w:rsidRDefault="00FF5490" w:rsidP="00FF5490">
      <w:pPr>
        <w:ind w:left="720"/>
        <w:rPr>
          <w:i/>
          <w:iCs/>
        </w:rPr>
      </w:pPr>
      <w:r w:rsidRPr="00CC7D8B">
        <w:rPr>
          <w:i/>
          <w:iCs/>
        </w:rPr>
        <w:t>The use of this vaccine should be in accordance with official recommendations.</w:t>
      </w:r>
    </w:p>
    <w:p w14:paraId="05EA9F31" w14:textId="21EB7356" w:rsidR="00FF5490" w:rsidRPr="00CC7D8B" w:rsidRDefault="00FF5490" w:rsidP="00FF5490">
      <w:pPr>
        <w:ind w:left="720"/>
        <w:rPr>
          <w:i/>
          <w:iCs/>
        </w:rPr>
      </w:pPr>
      <w:r w:rsidRPr="00CC7D8B">
        <w:rPr>
          <w:i/>
          <w:iCs/>
        </w:rPr>
        <w:t xml:space="preserve">The decision has been made </w:t>
      </w:r>
      <w:proofErr w:type="gramStart"/>
      <w:r w:rsidRPr="00CC7D8B">
        <w:rPr>
          <w:i/>
          <w:iCs/>
        </w:rPr>
        <w:t>on the basis of</w:t>
      </w:r>
      <w:proofErr w:type="gramEnd"/>
      <w:r w:rsidRPr="00CC7D8B">
        <w:rPr>
          <w:i/>
          <w:iCs/>
        </w:rPr>
        <w:t xml:space="preserve"> short-term efficacy and safety data. Continued approval depends on the evidence of </w:t>
      </w:r>
      <w:proofErr w:type="gramStart"/>
      <w:r w:rsidRPr="00CC7D8B">
        <w:rPr>
          <w:i/>
          <w:iCs/>
        </w:rPr>
        <w:t>longer term</w:t>
      </w:r>
      <w:proofErr w:type="gramEnd"/>
      <w:r w:rsidRPr="00CC7D8B">
        <w:rPr>
          <w:i/>
          <w:iCs/>
        </w:rPr>
        <w:t xml:space="preserve"> efficacy and safety from ongoing clinical trials and post-market assessment.</w:t>
      </w:r>
    </w:p>
    <w:p w14:paraId="79A60BE7" w14:textId="1CB71717" w:rsidR="004143AC" w:rsidRDefault="00C041C1" w:rsidP="00674FDE">
      <w:r w:rsidRPr="00CC7D8B">
        <w:lastRenderedPageBreak/>
        <w:t>The sponsor also seeks to register a new</w:t>
      </w:r>
      <w:r w:rsidR="00F563B9">
        <w:t xml:space="preserve"> </w:t>
      </w:r>
      <w:r w:rsidRPr="00CC7D8B">
        <w:t xml:space="preserve">strength </w:t>
      </w:r>
      <w:r w:rsidR="00F563B9">
        <w:t>(0.1 mg/mL) of Spikevax (elasomeran). At the time this submission was considered Spikevax (elasomeran) was available in a single strength of 0.2 mg/mL only</w:t>
      </w:r>
      <w:r w:rsidR="00E35657">
        <w:t>, receiving provisional approval in August 2021.</w:t>
      </w:r>
      <w:bookmarkStart w:id="16" w:name="_Ref109644729"/>
      <w:r w:rsidR="00E35657">
        <w:rPr>
          <w:rStyle w:val="FootnoteReference"/>
        </w:rPr>
        <w:footnoteReference w:id="2"/>
      </w:r>
      <w:bookmarkEnd w:id="16"/>
    </w:p>
    <w:p w14:paraId="11AEE1C0" w14:textId="4C1460A9" w:rsidR="00F563B9" w:rsidRPr="005C5D5D" w:rsidRDefault="004143AC" w:rsidP="00674FDE">
      <w:r>
        <w:t>For</w:t>
      </w:r>
      <w:r w:rsidR="00F563B9">
        <w:t xml:space="preserve"> the proposed new strength (0.1 mg/mL), the sponsor has proposed new pack presentations of 2.5 mL multi</w:t>
      </w:r>
      <w:r>
        <w:t>-</w:t>
      </w:r>
      <w:r w:rsidR="00F563B9">
        <w:t>dose vial</w:t>
      </w:r>
      <w:r>
        <w:t xml:space="preserve">s </w:t>
      </w:r>
      <w:r w:rsidR="00F563B9">
        <w:t xml:space="preserve">and </w:t>
      </w:r>
      <w:r>
        <w:t xml:space="preserve">multipacks of pre-filled syringes. The previously approved 0.2 mg/mL </w:t>
      </w:r>
      <w:r w:rsidR="00D561B1">
        <w:t>Spikevax</w:t>
      </w:r>
      <w:r>
        <w:t xml:space="preserve"> presentation is supplied as 5 mL multi-dose vials.</w:t>
      </w:r>
    </w:p>
    <w:p w14:paraId="08C2687B" w14:textId="28E73DB4" w:rsidR="00E541C4" w:rsidRPr="00CC7D8B" w:rsidRDefault="00C041C1" w:rsidP="00674FDE">
      <w:r w:rsidRPr="00CC7D8B">
        <w:t>The p</w:t>
      </w:r>
      <w:r w:rsidR="00E541C4" w:rsidRPr="00CC7D8B">
        <w:t xml:space="preserve">roposed change to </w:t>
      </w:r>
      <w:r w:rsidR="004143AC">
        <w:t xml:space="preserve">the </w:t>
      </w:r>
      <w:r w:rsidR="00E541C4" w:rsidRPr="00CC7D8B">
        <w:t>dose regimen (under Submission PM-2022-01760-1-2)</w:t>
      </w:r>
      <w:r w:rsidR="008326B1" w:rsidRPr="00CC7D8B">
        <w:t xml:space="preserve"> are</w:t>
      </w:r>
      <w:r w:rsidR="00D561B1">
        <w:t xml:space="preserve"> as follows</w:t>
      </w:r>
      <w:r w:rsidR="00E541C4" w:rsidRPr="00CC7D8B">
        <w:t>:</w:t>
      </w:r>
    </w:p>
    <w:p w14:paraId="54659CF9" w14:textId="519DFCE9" w:rsidR="00E541C4" w:rsidRPr="00CC7D8B" w:rsidRDefault="00E541C4" w:rsidP="00C041C1">
      <w:pPr>
        <w:ind w:left="720"/>
        <w:rPr>
          <w:i/>
          <w:iCs/>
        </w:rPr>
      </w:pPr>
      <w:r w:rsidRPr="00CC7D8B">
        <w:rPr>
          <w:i/>
          <w:iCs/>
        </w:rPr>
        <w:t xml:space="preserve">Primary series </w:t>
      </w:r>
      <w:r w:rsidR="00C041C1" w:rsidRPr="00CC7D8B">
        <w:rPr>
          <w:i/>
          <w:iCs/>
        </w:rPr>
        <w:t>-</w:t>
      </w:r>
      <w:r w:rsidRPr="00CC7D8B">
        <w:rPr>
          <w:i/>
          <w:iCs/>
        </w:rPr>
        <w:t xml:space="preserve"> </w:t>
      </w:r>
      <w:r w:rsidR="00C041C1" w:rsidRPr="00CC7D8B">
        <w:rPr>
          <w:i/>
          <w:iCs/>
        </w:rPr>
        <w:t>c</w:t>
      </w:r>
      <w:r w:rsidRPr="00CC7D8B">
        <w:rPr>
          <w:i/>
          <w:iCs/>
        </w:rPr>
        <w:t>hildren 6 months through 5 years of age</w:t>
      </w:r>
    </w:p>
    <w:p w14:paraId="5943DE89" w14:textId="4A36FA0E" w:rsidR="00E541C4" w:rsidRPr="00CC7D8B" w:rsidRDefault="00D561B1" w:rsidP="00C041C1">
      <w:pPr>
        <w:ind w:left="720"/>
      </w:pPr>
      <w:r>
        <w:t>Two</w:t>
      </w:r>
      <w:r w:rsidR="00E541C4" w:rsidRPr="00CC7D8B">
        <w:t xml:space="preserve"> doses (0.25 mL each), containing 25 </w:t>
      </w:r>
      <w:r w:rsidR="00C041C1" w:rsidRPr="00CC7D8B">
        <w:t>µ</w:t>
      </w:r>
      <w:r w:rsidR="00E541C4" w:rsidRPr="00CC7D8B">
        <w:t>g</w:t>
      </w:r>
      <w:r>
        <w:t xml:space="preserve"> elasomeran</w:t>
      </w:r>
      <w:r w:rsidR="00E541C4" w:rsidRPr="00CC7D8B">
        <w:t>. It is recommended to administer the second dose 28 days after the first dose.</w:t>
      </w:r>
    </w:p>
    <w:p w14:paraId="1BBD250F" w14:textId="518915C1" w:rsidR="00E541C4" w:rsidRPr="00CC7D8B" w:rsidRDefault="00E541C4" w:rsidP="00C041C1">
      <w:pPr>
        <w:ind w:left="720"/>
      </w:pPr>
      <w:r w:rsidRPr="00CC7D8B">
        <w:t xml:space="preserve">If a child turns 6 years old between his/her first and second dose, the second dose of </w:t>
      </w:r>
      <w:r w:rsidR="00C041C1" w:rsidRPr="00CC7D8B">
        <w:t xml:space="preserve">Spikevax </w:t>
      </w:r>
      <w:r w:rsidRPr="00CC7D8B">
        <w:t>should be the same as the first dose.</w:t>
      </w:r>
    </w:p>
    <w:p w14:paraId="42436A85" w14:textId="4C9E2FF0" w:rsidR="00E541C4" w:rsidRPr="00CC7D8B" w:rsidRDefault="00E541C4" w:rsidP="00C041C1">
      <w:pPr>
        <w:ind w:left="720"/>
        <w:rPr>
          <w:i/>
          <w:iCs/>
        </w:rPr>
      </w:pPr>
      <w:r w:rsidRPr="00CC7D8B">
        <w:rPr>
          <w:i/>
          <w:iCs/>
        </w:rPr>
        <w:t xml:space="preserve">Immunocompromised individuals </w:t>
      </w:r>
      <w:r w:rsidR="00C041C1" w:rsidRPr="00CC7D8B">
        <w:rPr>
          <w:i/>
          <w:iCs/>
        </w:rPr>
        <w:t>-</w:t>
      </w:r>
      <w:r w:rsidRPr="00CC7D8B">
        <w:rPr>
          <w:i/>
          <w:iCs/>
        </w:rPr>
        <w:t xml:space="preserve"> </w:t>
      </w:r>
      <w:r w:rsidR="00C041C1" w:rsidRPr="00CC7D8B">
        <w:rPr>
          <w:i/>
          <w:iCs/>
        </w:rPr>
        <w:t>c</w:t>
      </w:r>
      <w:r w:rsidRPr="00CC7D8B">
        <w:rPr>
          <w:i/>
          <w:iCs/>
        </w:rPr>
        <w:t>hildren 6 months through 5 years of age</w:t>
      </w:r>
    </w:p>
    <w:p w14:paraId="2F5A4164" w14:textId="0E123529" w:rsidR="00E541C4" w:rsidRPr="00CC7D8B" w:rsidRDefault="00E541C4" w:rsidP="00C041C1">
      <w:pPr>
        <w:ind w:left="720"/>
      </w:pPr>
      <w:r w:rsidRPr="00CC7D8B">
        <w:t xml:space="preserve">A third dose of </w:t>
      </w:r>
      <w:r w:rsidR="00C041C1" w:rsidRPr="00CC7D8B">
        <w:t xml:space="preserve">Spikevax </w:t>
      </w:r>
      <w:r w:rsidRPr="00CC7D8B">
        <w:t xml:space="preserve">(0.25 mL containing 25 </w:t>
      </w:r>
      <w:r w:rsidR="00C041C1" w:rsidRPr="00CC7D8B">
        <w:t>µg</w:t>
      </w:r>
      <w:r w:rsidR="00D561B1">
        <w:t xml:space="preserve"> elasomeran</w:t>
      </w:r>
      <w:r w:rsidRPr="00CC7D8B">
        <w:t>) may be given at least 28 days following the second dose.</w:t>
      </w:r>
    </w:p>
    <w:p w14:paraId="38699960" w14:textId="4599FC00" w:rsidR="00D561B1" w:rsidRDefault="00E541C4" w:rsidP="00C157B1">
      <w:pPr>
        <w:ind w:left="720"/>
      </w:pPr>
      <w:r w:rsidRPr="00CC7D8B">
        <w:t>Individuals who have undergone solid organ transplantation, or who are diagnosed with conditions that are considered to have an equivalent level of immunocompromise.</w:t>
      </w:r>
      <w:bookmarkStart w:id="17" w:name="_Toc314842485"/>
      <w:bookmarkStart w:id="18" w:name="_Toc247691504"/>
    </w:p>
    <w:p w14:paraId="1D442219" w14:textId="47BCFE03" w:rsidR="00504F93" w:rsidRPr="00CC7D8B" w:rsidRDefault="00EC3FBD" w:rsidP="00674FDE">
      <w:r w:rsidRPr="00CC7D8B">
        <w:t>Severe acute respiratory syndrome coronavirus-2 (</w:t>
      </w:r>
      <w:r w:rsidR="008326B1" w:rsidRPr="00CC7D8B">
        <w:t>SARS-CoV-2</w:t>
      </w:r>
      <w:r w:rsidRPr="00CC7D8B">
        <w:t>)</w:t>
      </w:r>
      <w:r w:rsidR="00504F93" w:rsidRPr="00CC7D8B">
        <w:t xml:space="preserve"> is a coronavirus that has circulated at pandemic levels since early 2020, with the observed virulence of infections having changed several times as different </w:t>
      </w:r>
      <w:r w:rsidRPr="00CC7D8B">
        <w:t>variants</w:t>
      </w:r>
      <w:r w:rsidR="00504F93" w:rsidRPr="00CC7D8B">
        <w:t xml:space="preserve"> of the virus have evolved. </w:t>
      </w:r>
      <w:r w:rsidR="008326B1" w:rsidRPr="00CC7D8B">
        <w:t xml:space="preserve">SARS-CoV-2 </w:t>
      </w:r>
      <w:r w:rsidR="00504F93" w:rsidRPr="00CC7D8B">
        <w:t xml:space="preserve">can cause severe disease typified by both respiratory and systemic inflammatory manifestations. The propensity of a person infected with </w:t>
      </w:r>
      <w:r w:rsidR="008326B1" w:rsidRPr="00CC7D8B">
        <w:t xml:space="preserve">SARS-CoV-2 </w:t>
      </w:r>
      <w:r w:rsidR="00504F93" w:rsidRPr="00CC7D8B">
        <w:t>to develop severe disease depends partly on pre-disposing risk factors (</w:t>
      </w:r>
      <w:r w:rsidR="00C32995" w:rsidRPr="00CC7D8B">
        <w:t>for example,</w:t>
      </w:r>
      <w:r w:rsidR="00504F93" w:rsidRPr="00CC7D8B">
        <w:t xml:space="preserve"> age, diabetes, obesity, chronic cardiovascular disease), but healthy individuals are also affected. Children are less likely to develop severe </w:t>
      </w:r>
      <w:r w:rsidR="008326B1" w:rsidRPr="00CC7D8B">
        <w:t>coronavirus disease 2019 (</w:t>
      </w:r>
      <w:r w:rsidR="00504F93" w:rsidRPr="00CC7D8B">
        <w:t>COVID</w:t>
      </w:r>
      <w:r w:rsidR="008326B1" w:rsidRPr="00CC7D8B">
        <w:t>-19)</w:t>
      </w:r>
      <w:r w:rsidR="00504F93" w:rsidRPr="00CC7D8B">
        <w:t xml:space="preserve"> overall than adults and are less likely to develop primary respiratory pathology from </w:t>
      </w:r>
      <w:r w:rsidR="008326B1" w:rsidRPr="00CC7D8B">
        <w:t xml:space="preserve">SARS-CoV-2 </w:t>
      </w:r>
      <w:r w:rsidR="00504F93" w:rsidRPr="00CC7D8B">
        <w:t>infections. Children with pre-existing illness are, however, likely to be at increased risk of severe COVID</w:t>
      </w:r>
      <w:r w:rsidR="008326B1" w:rsidRPr="00CC7D8B">
        <w:t>-19</w:t>
      </w:r>
      <w:r w:rsidR="00504F93" w:rsidRPr="00CC7D8B">
        <w:t xml:space="preserve"> than healthy age</w:t>
      </w:r>
      <w:r w:rsidR="008326B1" w:rsidRPr="00CC7D8B">
        <w:t xml:space="preserve"> </w:t>
      </w:r>
      <w:r w:rsidR="00504F93" w:rsidRPr="00CC7D8B">
        <w:t xml:space="preserve">peers and can develop life threatening </w:t>
      </w:r>
      <w:r w:rsidR="008326B1" w:rsidRPr="00CC7D8B">
        <w:t>m</w:t>
      </w:r>
      <w:r w:rsidR="00504F93" w:rsidRPr="00CC7D8B">
        <w:t>ulti</w:t>
      </w:r>
      <w:r w:rsidR="008326B1" w:rsidRPr="00CC7D8B">
        <w:noBreakHyphen/>
        <w:t xml:space="preserve">system inflammatory syndrome </w:t>
      </w:r>
      <w:r w:rsidR="00504F93" w:rsidRPr="00CC7D8B">
        <w:t>(MIS). As with adults, vaccination is likely to reduce the propensity of children to develop severe disease and so provides an important preventative therapy.</w:t>
      </w:r>
    </w:p>
    <w:p w14:paraId="16EC6C05" w14:textId="3C419376" w:rsidR="00504F93" w:rsidRDefault="00504F93" w:rsidP="00674FDE">
      <w:r w:rsidRPr="00CC7D8B">
        <w:t>Treatments for severe COVID</w:t>
      </w:r>
      <w:r w:rsidR="008326B1" w:rsidRPr="00CC7D8B">
        <w:t>-19</w:t>
      </w:r>
      <w:r w:rsidRPr="00CC7D8B">
        <w:t xml:space="preserve"> include anti-viral and anti-inflammatory medications in addition to standard supportive care.</w:t>
      </w:r>
      <w:r w:rsidR="00057C45">
        <w:t xml:space="preserve"> </w:t>
      </w:r>
      <w:r w:rsidRPr="00CC7D8B">
        <w:t>Preventive therapy can be used post-infection in individuals at high risk of developing severe disease and includes antibody and anti-viral therapies.</w:t>
      </w:r>
      <w:r w:rsidR="00057C45">
        <w:t xml:space="preserve"> </w:t>
      </w:r>
      <w:r w:rsidRPr="00CC7D8B">
        <w:t>Vaccination is the only therapy that reduces the chance of acquiring COVID</w:t>
      </w:r>
      <w:r w:rsidR="008326B1" w:rsidRPr="00CC7D8B">
        <w:t>-19</w:t>
      </w:r>
      <w:r w:rsidRPr="00CC7D8B">
        <w:t>, and which can be given prior to infection to reduce the chance of a person developing severe disease.</w:t>
      </w:r>
    </w:p>
    <w:p w14:paraId="2E5660AE" w14:textId="059956ED" w:rsidR="00057C45" w:rsidRPr="000349EF" w:rsidRDefault="00057C45" w:rsidP="00057C45">
      <w:r w:rsidRPr="000349EF">
        <w:t xml:space="preserve">There are currently </w:t>
      </w:r>
      <w:r w:rsidR="00A646B0">
        <w:t xml:space="preserve">five </w:t>
      </w:r>
      <w:r w:rsidRPr="000349EF">
        <w:t>vaccines on the Australian Register of Therapeutic Goods (ARTG), and all are approved under the provisional pathway:</w:t>
      </w:r>
      <w:bookmarkStart w:id="19" w:name="_Ref91015597"/>
      <w:r w:rsidRPr="000349EF">
        <w:rPr>
          <w:rStyle w:val="FootnoteReference"/>
        </w:rPr>
        <w:footnoteReference w:id="3"/>
      </w:r>
      <w:bookmarkEnd w:id="19"/>
    </w:p>
    <w:p w14:paraId="42C7CC60" w14:textId="0957CB7C" w:rsidR="00057C45" w:rsidRPr="000349EF" w:rsidRDefault="00057C45" w:rsidP="00057C45">
      <w:pPr>
        <w:pStyle w:val="ListBullet2"/>
        <w:numPr>
          <w:ilvl w:val="1"/>
          <w:numId w:val="3"/>
        </w:numPr>
      </w:pPr>
      <w:r w:rsidRPr="000349EF">
        <w:lastRenderedPageBreak/>
        <w:t xml:space="preserve">Comirnaty (BNT162b2 (mRNA) or </w:t>
      </w:r>
      <w:proofErr w:type="spellStart"/>
      <w:r w:rsidRPr="000349EF">
        <w:t>tozinameran</w:t>
      </w:r>
      <w:proofErr w:type="spellEnd"/>
      <w:r w:rsidRPr="000349EF">
        <w:t>)</w:t>
      </w:r>
      <w:r w:rsidR="00D561B1">
        <w:t>;</w:t>
      </w:r>
      <w:r w:rsidRPr="000349EF">
        <w:rPr>
          <w:rStyle w:val="FootnoteReference"/>
        </w:rPr>
        <w:footnoteReference w:id="4"/>
      </w:r>
      <w:r w:rsidRPr="000349EF">
        <w:t xml:space="preserve"> </w:t>
      </w:r>
      <w:r w:rsidR="00A646B0">
        <w:t xml:space="preserve">also known as </w:t>
      </w:r>
      <w:r w:rsidRPr="000349EF">
        <w:t>the Pfizer/BioNTech</w:t>
      </w:r>
      <w:r w:rsidR="00D561B1">
        <w:t xml:space="preserve"> </w:t>
      </w:r>
      <w:r w:rsidRPr="000349EF">
        <w:t>(mRNA) vaccine, provisionally approved for active immunisation to prevent COVID-19 caused by SARS-CoV-2, in individuals 5 years of age and older.</w:t>
      </w:r>
      <w:bookmarkStart w:id="20" w:name="_Ref90999008"/>
      <w:r w:rsidRPr="000349EF">
        <w:rPr>
          <w:rStyle w:val="FootnoteReference"/>
        </w:rPr>
        <w:footnoteReference w:id="5"/>
      </w:r>
      <w:bookmarkEnd w:id="20"/>
      <w:r w:rsidRPr="000349EF">
        <w:rPr>
          <w:vertAlign w:val="superscript"/>
        </w:rPr>
        <w:t>,</w:t>
      </w:r>
      <w:r w:rsidRPr="000349EF">
        <w:rPr>
          <w:rStyle w:val="FootnoteReference"/>
        </w:rPr>
        <w:footnoteReference w:id="6"/>
      </w:r>
      <w:r w:rsidRPr="000349EF">
        <w:rPr>
          <w:vertAlign w:val="superscript"/>
        </w:rPr>
        <w:t>,</w:t>
      </w:r>
      <w:r w:rsidRPr="000349EF">
        <w:rPr>
          <w:rStyle w:val="FootnoteReference"/>
        </w:rPr>
        <w:footnoteReference w:id="7"/>
      </w:r>
      <w:r w:rsidRPr="000349EF">
        <w:rPr>
          <w:vertAlign w:val="superscript"/>
        </w:rPr>
        <w:t>,</w:t>
      </w:r>
      <w:r w:rsidRPr="000349EF">
        <w:rPr>
          <w:rStyle w:val="FootnoteReference"/>
        </w:rPr>
        <w:footnoteReference w:id="8"/>
      </w:r>
    </w:p>
    <w:p w14:paraId="05F85E90" w14:textId="77777777" w:rsidR="00057C45" w:rsidRPr="000349EF" w:rsidRDefault="00057C45" w:rsidP="00057C45">
      <w:pPr>
        <w:pStyle w:val="ListBullet2"/>
        <w:numPr>
          <w:ilvl w:val="1"/>
          <w:numId w:val="3"/>
        </w:numPr>
      </w:pPr>
      <w:r w:rsidRPr="000349EF">
        <w:t>COVID-19 Vaccine AstraZeneca (ChAdOx1-S), an adenoviral vectored vaccine, provisionally approved for active immunisation to prevent COVID-19 caused by SARS-CoV-2, in individuals 18 years of age and older.</w:t>
      </w:r>
      <w:r w:rsidRPr="000349EF">
        <w:rPr>
          <w:rStyle w:val="FootnoteReference"/>
        </w:rPr>
        <w:footnoteReference w:id="9"/>
      </w:r>
      <w:r w:rsidRPr="000349EF">
        <w:rPr>
          <w:vertAlign w:val="superscript"/>
        </w:rPr>
        <w:t>,</w:t>
      </w:r>
      <w:r w:rsidRPr="000349EF">
        <w:rPr>
          <w:rStyle w:val="FootnoteReference"/>
        </w:rPr>
        <w:footnoteReference w:id="10"/>
      </w:r>
    </w:p>
    <w:p w14:paraId="24506C11" w14:textId="77777777" w:rsidR="00057C45" w:rsidRPr="000349EF" w:rsidRDefault="00057C45" w:rsidP="00057C45">
      <w:pPr>
        <w:pStyle w:val="ListBullet2"/>
        <w:numPr>
          <w:ilvl w:val="1"/>
          <w:numId w:val="3"/>
        </w:numPr>
      </w:pPr>
      <w:r w:rsidRPr="000349EF">
        <w:t>COVID-19 Vaccine Janssen (Ad26.COV</w:t>
      </w:r>
      <w:proofErr w:type="gramStart"/>
      <w:r w:rsidRPr="000349EF">
        <w:t>2.S</w:t>
      </w:r>
      <w:proofErr w:type="gramEnd"/>
      <w:r w:rsidRPr="000349EF">
        <w:t>), an adenoviral vectored vaccine, provisionally approved for active immunisation to prevent COVID-19 caused by SARS-CoV-2, in individuals 18 years of age and older.</w:t>
      </w:r>
      <w:r w:rsidRPr="000349EF">
        <w:rPr>
          <w:rStyle w:val="FootnoteReference"/>
        </w:rPr>
        <w:footnoteReference w:id="11"/>
      </w:r>
      <w:r w:rsidRPr="000349EF">
        <w:rPr>
          <w:vertAlign w:val="superscript"/>
        </w:rPr>
        <w:t>,</w:t>
      </w:r>
      <w:r w:rsidRPr="000349EF">
        <w:rPr>
          <w:rStyle w:val="FootnoteReference"/>
        </w:rPr>
        <w:footnoteReference w:id="12"/>
      </w:r>
    </w:p>
    <w:p w14:paraId="3C4E9308" w14:textId="5229AABB" w:rsidR="00057C45" w:rsidRPr="00A646B0" w:rsidRDefault="00057C45" w:rsidP="00057C45">
      <w:pPr>
        <w:pStyle w:val="ListBullet2"/>
        <w:numPr>
          <w:ilvl w:val="1"/>
          <w:numId w:val="3"/>
        </w:numPr>
      </w:pPr>
      <w:r w:rsidRPr="000349EF">
        <w:t xml:space="preserve">Spikevax (elasomeran) COVID-19 vaccine, </w:t>
      </w:r>
      <w:r w:rsidR="00A646B0">
        <w:t xml:space="preserve">also known as </w:t>
      </w:r>
      <w:r w:rsidRPr="000349EF">
        <w:t xml:space="preserve">the Moderna </w:t>
      </w:r>
      <w:r w:rsidR="00D561B1">
        <w:t>(</w:t>
      </w:r>
      <w:r w:rsidRPr="000349EF">
        <w:t>mRNA</w:t>
      </w:r>
      <w:r w:rsidR="00D561B1">
        <w:t>)</w:t>
      </w:r>
      <w:r w:rsidRPr="000349EF">
        <w:t xml:space="preserve"> vaccine, provisionally approved for active immunisation to prevent COVID-19 caused by SARS-CoV-2, in individuals </w:t>
      </w:r>
      <w:r w:rsidR="00A646B0">
        <w:t>6</w:t>
      </w:r>
      <w:r w:rsidRPr="000349EF">
        <w:t xml:space="preserve"> years of age and older.</w:t>
      </w:r>
      <w:r w:rsidRPr="000349EF">
        <w:rPr>
          <w:rStyle w:val="FootnoteReference"/>
        </w:rPr>
        <w:footnoteReference w:id="13"/>
      </w:r>
      <w:r w:rsidRPr="000349EF">
        <w:rPr>
          <w:vertAlign w:val="superscript"/>
        </w:rPr>
        <w:t>,</w:t>
      </w:r>
      <w:r w:rsidRPr="000349EF">
        <w:rPr>
          <w:rStyle w:val="FootnoteReference"/>
        </w:rPr>
        <w:footnoteReference w:id="14"/>
      </w:r>
      <w:r w:rsidRPr="000349EF">
        <w:rPr>
          <w:vertAlign w:val="superscript"/>
        </w:rPr>
        <w:t>,</w:t>
      </w:r>
      <w:r w:rsidRPr="000349EF">
        <w:rPr>
          <w:rStyle w:val="FootnoteReference"/>
        </w:rPr>
        <w:footnoteReference w:id="15"/>
      </w:r>
      <w:r w:rsidR="00A646B0">
        <w:rPr>
          <w:vertAlign w:val="superscript"/>
        </w:rPr>
        <w:t>,</w:t>
      </w:r>
      <w:r w:rsidR="00A646B0">
        <w:rPr>
          <w:rStyle w:val="FootnoteReference"/>
        </w:rPr>
        <w:footnoteReference w:id="16"/>
      </w:r>
    </w:p>
    <w:p w14:paraId="2FC99B88" w14:textId="6BF6CBE9" w:rsidR="00A646B0" w:rsidRPr="000349EF" w:rsidRDefault="00A646B0" w:rsidP="00057C45">
      <w:pPr>
        <w:pStyle w:val="ListBullet2"/>
        <w:numPr>
          <w:ilvl w:val="1"/>
          <w:numId w:val="3"/>
        </w:numPr>
      </w:pPr>
      <w:proofErr w:type="spellStart"/>
      <w:r w:rsidRPr="00A646B0">
        <w:t>Nuvaxovid</w:t>
      </w:r>
      <w:proofErr w:type="spellEnd"/>
      <w:r w:rsidRPr="00A646B0">
        <w:t xml:space="preserve"> (</w:t>
      </w:r>
      <w:r w:rsidR="001031B5" w:rsidRPr="001031B5">
        <w:t>SARS-CoV-2 recombinant spike</w:t>
      </w:r>
      <w:r w:rsidR="001031B5">
        <w:t xml:space="preserve"> protein</w:t>
      </w:r>
      <w:r w:rsidR="001031B5" w:rsidRPr="001031B5">
        <w:t xml:space="preserve"> with Matrix-M adjuvant</w:t>
      </w:r>
      <w:r w:rsidRPr="00A646B0">
        <w:t>)</w:t>
      </w:r>
      <w:r>
        <w:t xml:space="preserve"> </w:t>
      </w:r>
      <w:r w:rsidRPr="00A646B0">
        <w:t>COVID-19 vaccine</w:t>
      </w:r>
      <w:r>
        <w:t xml:space="preserve">, </w:t>
      </w:r>
      <w:r w:rsidR="001031B5">
        <w:t xml:space="preserve">also known as </w:t>
      </w:r>
      <w:r>
        <w:t xml:space="preserve">the </w:t>
      </w:r>
      <w:proofErr w:type="spellStart"/>
      <w:r w:rsidRPr="00A646B0">
        <w:t>Novavax</w:t>
      </w:r>
      <w:proofErr w:type="spellEnd"/>
      <w:r>
        <w:t xml:space="preserve"> </w:t>
      </w:r>
      <w:r w:rsidR="001031B5" w:rsidRPr="001031B5">
        <w:t>recombinant spike protein vaccine</w:t>
      </w:r>
      <w:r>
        <w:t>, provisionally approved for a</w:t>
      </w:r>
      <w:r w:rsidRPr="00A646B0">
        <w:t>ctive immunisation to prevent COVID-19 caused by SARS-CoV-2 in individuals 18 years of age and older</w:t>
      </w:r>
      <w:r>
        <w:t>.</w:t>
      </w:r>
      <w:r w:rsidRPr="001031B5">
        <w:rPr>
          <w:rStyle w:val="FootnoteReference"/>
        </w:rPr>
        <w:footnoteReference w:id="17"/>
      </w:r>
      <w:r w:rsidR="001031B5" w:rsidRPr="001031B5">
        <w:rPr>
          <w:vertAlign w:val="superscript"/>
        </w:rPr>
        <w:t>,</w:t>
      </w:r>
      <w:r w:rsidR="001031B5" w:rsidRPr="001031B5">
        <w:rPr>
          <w:rStyle w:val="FootnoteReference"/>
        </w:rPr>
        <w:footnoteReference w:id="18"/>
      </w:r>
    </w:p>
    <w:p w14:paraId="2B70E2A0" w14:textId="08260CFA" w:rsidR="00504F93" w:rsidRPr="00CC7D8B" w:rsidRDefault="001031B5" w:rsidP="00036695">
      <w:r>
        <w:t>T</w:t>
      </w:r>
      <w:r w:rsidR="00057C45" w:rsidRPr="00CC7D8B">
        <w:t xml:space="preserve">here are currently </w:t>
      </w:r>
      <w:proofErr w:type="gramStart"/>
      <w:r w:rsidR="00057C45" w:rsidRPr="00CC7D8B">
        <w:t>no</w:t>
      </w:r>
      <w:proofErr w:type="gramEnd"/>
      <w:r w:rsidR="00057C45" w:rsidRPr="00CC7D8B">
        <w:t xml:space="preserve"> provisionally approved COVID-19 vaccines with a therapeutic indication that extends to children </w:t>
      </w:r>
      <w:r w:rsidR="00D561B1">
        <w:t>aged less than</w:t>
      </w:r>
      <w:r w:rsidR="00057C45" w:rsidRPr="00CC7D8B">
        <w:t xml:space="preserve"> 5 years of age</w:t>
      </w:r>
      <w:r w:rsidR="00EE5E07">
        <w:t xml:space="preserve"> </w:t>
      </w:r>
      <w:r w:rsidR="00EE5E07" w:rsidRPr="00EE5E07">
        <w:t>on the ARTG</w:t>
      </w:r>
      <w:r w:rsidR="00057C45" w:rsidRPr="00CC7D8B">
        <w:t>.</w:t>
      </w:r>
    </w:p>
    <w:p w14:paraId="36C59F87" w14:textId="6EE5801C" w:rsidR="00EE5E07" w:rsidRDefault="00EE5E07" w:rsidP="00EE5E07">
      <w:r w:rsidRPr="00CC7D8B">
        <w:lastRenderedPageBreak/>
        <w:t xml:space="preserve">Spikevax is a vaccine comprised of synthetic mRNA </w:t>
      </w:r>
      <w:r w:rsidR="00D561B1">
        <w:t xml:space="preserve">(messenger ribonucleic acid) </w:t>
      </w:r>
      <w:r w:rsidRPr="00CC7D8B">
        <w:t>that is taken up by antigen presenting cells and translated to produce SARS-CoV-2 viral spike protein. When spike protein is expressed the formation of neutralising antibodies is stimulated, as well as recruitment of T</w:t>
      </w:r>
      <w:r w:rsidRPr="00CC7D8B">
        <w:noBreakHyphen/>
        <w:t>cells directed against SARS-CoV-2 infected cells.</w:t>
      </w:r>
    </w:p>
    <w:p w14:paraId="54BB3E92" w14:textId="77777777" w:rsidR="00D561B1" w:rsidRDefault="00EE5E07" w:rsidP="00674FDE">
      <w:pPr>
        <w:rPr>
          <w:lang w:eastAsia="ja-JP"/>
        </w:rPr>
      </w:pPr>
      <w:r w:rsidRPr="00625110">
        <w:rPr>
          <w:lang w:eastAsia="ja-JP"/>
        </w:rPr>
        <w:t xml:space="preserve">The </w:t>
      </w:r>
      <w:r>
        <w:rPr>
          <w:lang w:eastAsia="ja-JP"/>
        </w:rPr>
        <w:t>s</w:t>
      </w:r>
      <w:r w:rsidRPr="00625110">
        <w:rPr>
          <w:lang w:eastAsia="ja-JP"/>
        </w:rPr>
        <w:t>ponsor has established a clinical rationale for vaccinating young children in the context of data sourced from international epidemics</w:t>
      </w:r>
      <w:r>
        <w:rPr>
          <w:lang w:eastAsia="ja-JP"/>
        </w:rPr>
        <w:t xml:space="preserve"> including the United States of America (USA) and Hong Kong. The sponsor stated that</w:t>
      </w:r>
      <w:r w:rsidR="00D561B1">
        <w:rPr>
          <w:lang w:eastAsia="ja-JP"/>
        </w:rPr>
        <w:t>:</w:t>
      </w:r>
    </w:p>
    <w:p w14:paraId="664674DD" w14:textId="293D6202" w:rsidR="00D561B1" w:rsidRDefault="00EE5E07" w:rsidP="00C157B1">
      <w:pPr>
        <w:ind w:left="720"/>
        <w:rPr>
          <w:lang w:eastAsia="ja-JP"/>
        </w:rPr>
      </w:pPr>
      <w:r>
        <w:rPr>
          <w:lang w:eastAsia="ja-JP"/>
        </w:rPr>
        <w:t>‘I</w:t>
      </w:r>
      <w:r w:rsidR="00C86284">
        <w:rPr>
          <w:lang w:eastAsia="ja-JP"/>
        </w:rPr>
        <w:t xml:space="preserve">n the </w:t>
      </w:r>
      <w:r w:rsidR="00504F93" w:rsidRPr="00CC7D8B">
        <w:rPr>
          <w:lang w:eastAsia="ja-JP"/>
        </w:rPr>
        <w:t>US, peak incidences of COVID-19 and hospitalisations</w:t>
      </w:r>
      <w:r>
        <w:rPr>
          <w:lang w:eastAsia="ja-JP"/>
        </w:rPr>
        <w:t xml:space="preserve"> of children</w:t>
      </w:r>
      <w:r w:rsidR="00504F93" w:rsidRPr="00CC7D8B">
        <w:rPr>
          <w:lang w:eastAsia="ja-JP"/>
        </w:rPr>
        <w:t xml:space="preserve"> due to COVID-19 were higher in the Omicron wave than in the Delta wave.</w:t>
      </w:r>
      <w:r w:rsidR="00491CF0" w:rsidRPr="00CC7D8B">
        <w:rPr>
          <w:lang w:eastAsia="ja-JP"/>
        </w:rPr>
        <w:t xml:space="preserve"> </w:t>
      </w:r>
      <w:r w:rsidR="00504F93" w:rsidRPr="00CC7D8B">
        <w:rPr>
          <w:lang w:eastAsia="ja-JP"/>
        </w:rPr>
        <w:t>In Hong Kong, children 0</w:t>
      </w:r>
      <w:r w:rsidR="00491CF0" w:rsidRPr="00CC7D8B">
        <w:rPr>
          <w:lang w:eastAsia="ja-JP"/>
        </w:rPr>
        <w:t xml:space="preserve"> to </w:t>
      </w:r>
      <w:r w:rsidR="00504F93" w:rsidRPr="00CC7D8B">
        <w:rPr>
          <w:lang w:eastAsia="ja-JP"/>
        </w:rPr>
        <w:t xml:space="preserve">5 </w:t>
      </w:r>
      <w:r w:rsidR="00491CF0" w:rsidRPr="00CC7D8B">
        <w:rPr>
          <w:lang w:eastAsia="ja-JP"/>
        </w:rPr>
        <w:t>years of age</w:t>
      </w:r>
      <w:r w:rsidR="00504F93" w:rsidRPr="00CC7D8B">
        <w:rPr>
          <w:lang w:eastAsia="ja-JP"/>
        </w:rPr>
        <w:t xml:space="preserve"> comprised 80.2% of children’s admissions during the Omicron wave compared to 54.2% prior to Omicron. There was a higher incidence of death in admitted children during the Omicron wave, with 3 of the 4 deaths in children aged 0</w:t>
      </w:r>
      <w:r w:rsidR="00491CF0" w:rsidRPr="00CC7D8B">
        <w:rPr>
          <w:lang w:eastAsia="ja-JP"/>
        </w:rPr>
        <w:t xml:space="preserve"> to </w:t>
      </w:r>
      <w:r w:rsidR="00504F93" w:rsidRPr="00CC7D8B">
        <w:rPr>
          <w:lang w:eastAsia="ja-JP"/>
        </w:rPr>
        <w:t>5 years.</w:t>
      </w:r>
      <w:r w:rsidR="00491CF0" w:rsidRPr="00CC7D8B">
        <w:rPr>
          <w:lang w:eastAsia="ja-JP"/>
        </w:rPr>
        <w:t xml:space="preserve"> </w:t>
      </w:r>
      <w:r>
        <w:rPr>
          <w:lang w:eastAsia="ja-JP"/>
        </w:rPr>
        <w:t>C</w:t>
      </w:r>
      <w:r w:rsidR="00504F93" w:rsidRPr="00CC7D8B">
        <w:rPr>
          <w:lang w:eastAsia="ja-JP"/>
        </w:rPr>
        <w:t>hildren with underlying conditions and/or immune deficiency or immunocompromised status, as well as infants (</w:t>
      </w:r>
      <w:r w:rsidR="00491CF0" w:rsidRPr="00CC7D8B">
        <w:rPr>
          <w:lang w:eastAsia="ja-JP"/>
        </w:rPr>
        <w:t>that is less than one</w:t>
      </w:r>
      <w:r w:rsidR="00D561B1">
        <w:rPr>
          <w:lang w:eastAsia="ja-JP"/>
        </w:rPr>
        <w:t> </w:t>
      </w:r>
      <w:r w:rsidR="00504F93" w:rsidRPr="00CC7D8B">
        <w:rPr>
          <w:lang w:eastAsia="ja-JP"/>
        </w:rPr>
        <w:t>year of age), may be at higher risk for severe disease due to SARS-CoV-2 infection.’</w:t>
      </w:r>
    </w:p>
    <w:p w14:paraId="61E18E12" w14:textId="32E5A691" w:rsidR="00504F93" w:rsidRPr="00CC7D8B" w:rsidRDefault="00504F93" w:rsidP="00674FDE">
      <w:r w:rsidRPr="00CC7D8B">
        <w:t xml:space="preserve">In their conclusions, the </w:t>
      </w:r>
      <w:r w:rsidR="00C14F80" w:rsidRPr="00CC7D8B">
        <w:t>sponsor</w:t>
      </w:r>
      <w:r w:rsidRPr="00CC7D8B">
        <w:t xml:space="preserve"> made the following points:</w:t>
      </w:r>
    </w:p>
    <w:p w14:paraId="2514332A" w14:textId="466DE694" w:rsidR="00504F93" w:rsidRPr="00CC7D8B" w:rsidRDefault="00504F93" w:rsidP="00674FDE">
      <w:pPr>
        <w:pStyle w:val="ListBullet"/>
        <w:rPr>
          <w:lang w:eastAsia="ja-JP"/>
        </w:rPr>
      </w:pPr>
      <w:r w:rsidRPr="00CC7D8B">
        <w:rPr>
          <w:lang w:eastAsia="ja-JP"/>
        </w:rPr>
        <w:t>Currently, there is no authori</w:t>
      </w:r>
      <w:r w:rsidR="00C32995" w:rsidRPr="00CC7D8B">
        <w:rPr>
          <w:lang w:eastAsia="ja-JP"/>
        </w:rPr>
        <w:t>s</w:t>
      </w:r>
      <w:r w:rsidRPr="00CC7D8B">
        <w:rPr>
          <w:lang w:eastAsia="ja-JP"/>
        </w:rPr>
        <w:t xml:space="preserve">ed or licensed vaccine available for children </w:t>
      </w:r>
      <w:r w:rsidR="00D561B1">
        <w:rPr>
          <w:lang w:eastAsia="ja-JP"/>
        </w:rPr>
        <w:t>aged less than</w:t>
      </w:r>
      <w:r w:rsidRPr="00CC7D8B">
        <w:rPr>
          <w:lang w:eastAsia="ja-JP"/>
        </w:rPr>
        <w:t xml:space="preserve"> 5 years of age.</w:t>
      </w:r>
    </w:p>
    <w:p w14:paraId="12FB97F2" w14:textId="01339AB4" w:rsidR="00504F93" w:rsidRPr="00CC7D8B" w:rsidRDefault="00504F93" w:rsidP="00674FDE">
      <w:pPr>
        <w:pStyle w:val="ListBullet"/>
        <w:rPr>
          <w:lang w:eastAsia="ja-JP"/>
        </w:rPr>
      </w:pPr>
      <w:r w:rsidRPr="00CC7D8B">
        <w:rPr>
          <w:lang w:eastAsia="ja-JP"/>
        </w:rPr>
        <w:t>Overall, the evidence suggests that the burden of COVID-19 has increased in younger age groups over time based on the number and proportion of cases.</w:t>
      </w:r>
    </w:p>
    <w:p w14:paraId="5900CF8B" w14:textId="33C2A430" w:rsidR="00504F93" w:rsidRPr="00CC7D8B" w:rsidRDefault="00504F93" w:rsidP="00674FDE">
      <w:pPr>
        <w:pStyle w:val="ListBullet"/>
        <w:rPr>
          <w:lang w:eastAsia="ja-JP"/>
        </w:rPr>
      </w:pPr>
      <w:r w:rsidRPr="00CC7D8B">
        <w:rPr>
          <w:lang w:eastAsia="ja-JP"/>
        </w:rPr>
        <w:t xml:space="preserve">Only vaccination can effectively prevent most of the morbidity and mortality in children </w:t>
      </w:r>
      <w:r w:rsidR="00D561B1">
        <w:rPr>
          <w:lang w:eastAsia="ja-JP"/>
        </w:rPr>
        <w:t xml:space="preserve">between </w:t>
      </w:r>
      <w:r w:rsidRPr="00CC7D8B">
        <w:rPr>
          <w:lang w:eastAsia="ja-JP"/>
        </w:rPr>
        <w:t xml:space="preserve">6 months to </w:t>
      </w:r>
      <w:r w:rsidR="00D561B1">
        <w:rPr>
          <w:lang w:eastAsia="ja-JP"/>
        </w:rPr>
        <w:t>less than</w:t>
      </w:r>
      <w:r w:rsidRPr="00CC7D8B">
        <w:rPr>
          <w:lang w:eastAsia="ja-JP"/>
        </w:rPr>
        <w:t xml:space="preserve"> 6 years of age.</w:t>
      </w:r>
    </w:p>
    <w:p w14:paraId="572F257D" w14:textId="77777777" w:rsidR="008E7846" w:rsidRPr="00CC7D8B" w:rsidRDefault="00386150" w:rsidP="008E7846">
      <w:pPr>
        <w:pStyle w:val="Heading3"/>
      </w:pPr>
      <w:bookmarkStart w:id="21" w:name="_Toc109817289"/>
      <w:r w:rsidRPr="00CC7D8B">
        <w:t>Regulatory s</w:t>
      </w:r>
      <w:r w:rsidR="008E7846" w:rsidRPr="00CC7D8B">
        <w:t>tatus</w:t>
      </w:r>
      <w:bookmarkEnd w:id="17"/>
      <w:bookmarkEnd w:id="18"/>
      <w:bookmarkEnd w:id="21"/>
    </w:p>
    <w:p w14:paraId="4DBDA713" w14:textId="3516294F" w:rsidR="00332715" w:rsidRPr="00CC7D8B" w:rsidRDefault="00332715" w:rsidP="00332715">
      <w:bookmarkStart w:id="22" w:name="_Toc247691505"/>
      <w:bookmarkStart w:id="23" w:name="_Toc314842486"/>
      <w:r w:rsidRPr="00CC7D8B">
        <w:t>The product received initial registration on the Australian Register of Therapeutic Goods (ARTG) on</w:t>
      </w:r>
      <w:r w:rsidR="00674FDE" w:rsidRPr="00CC7D8B">
        <w:t xml:space="preserve"> 9 August 2021.</w:t>
      </w:r>
      <w:r w:rsidR="006927CD" w:rsidRPr="00CC7D8B">
        <w:t xml:space="preserve"> At the time of this submission, the approved indications are:</w:t>
      </w:r>
    </w:p>
    <w:p w14:paraId="5C4ECA92" w14:textId="70B4E731" w:rsidR="00674FDE" w:rsidRPr="00CC7D8B" w:rsidRDefault="006927CD" w:rsidP="00674FDE">
      <w:pPr>
        <w:ind w:left="720"/>
        <w:rPr>
          <w:i/>
          <w:iCs/>
        </w:rPr>
      </w:pPr>
      <w:r w:rsidRPr="00CC7D8B">
        <w:rPr>
          <w:i/>
          <w:iCs/>
        </w:rPr>
        <w:t xml:space="preserve">Spikevax </w:t>
      </w:r>
      <w:r w:rsidR="00674FDE" w:rsidRPr="00CC7D8B">
        <w:rPr>
          <w:i/>
          <w:iCs/>
        </w:rPr>
        <w:t xml:space="preserve">(elasomeran) COVID-19 </w:t>
      </w:r>
      <w:r w:rsidR="00057C45">
        <w:rPr>
          <w:i/>
          <w:iCs/>
        </w:rPr>
        <w:t>v</w:t>
      </w:r>
      <w:r w:rsidR="00674FDE" w:rsidRPr="00CC7D8B">
        <w:rPr>
          <w:i/>
          <w:iCs/>
        </w:rPr>
        <w:t>accine has provisional approval for the indication below:</w:t>
      </w:r>
    </w:p>
    <w:p w14:paraId="79DFE59E" w14:textId="77777777" w:rsidR="00674FDE" w:rsidRPr="00CC7D8B" w:rsidRDefault="00674FDE" w:rsidP="00674FDE">
      <w:pPr>
        <w:ind w:left="720"/>
        <w:rPr>
          <w:i/>
          <w:iCs/>
        </w:rPr>
      </w:pPr>
      <w:r w:rsidRPr="00CC7D8B">
        <w:rPr>
          <w:i/>
          <w:iCs/>
        </w:rPr>
        <w:t>Active immunisation to prevent coronavirus disease 2019 (COVID-19) caused by SARS-CoV-2 in individuals 6 years of age and older.</w:t>
      </w:r>
    </w:p>
    <w:p w14:paraId="672AD7C5" w14:textId="77777777" w:rsidR="00674FDE" w:rsidRPr="00CC7D8B" w:rsidRDefault="00674FDE" w:rsidP="00674FDE">
      <w:pPr>
        <w:ind w:left="720"/>
        <w:rPr>
          <w:i/>
          <w:iCs/>
        </w:rPr>
      </w:pPr>
      <w:r w:rsidRPr="00CC7D8B">
        <w:rPr>
          <w:i/>
          <w:iCs/>
        </w:rPr>
        <w:t>The use of this vaccine should be in accordance with official recommendations.</w:t>
      </w:r>
    </w:p>
    <w:p w14:paraId="04A589F4" w14:textId="3D7FB40B" w:rsidR="00674FDE" w:rsidRPr="00CC7D8B" w:rsidRDefault="00674FDE" w:rsidP="00674FDE">
      <w:pPr>
        <w:ind w:left="720"/>
        <w:rPr>
          <w:i/>
          <w:iCs/>
        </w:rPr>
      </w:pPr>
      <w:r w:rsidRPr="00CC7D8B">
        <w:rPr>
          <w:i/>
          <w:iCs/>
        </w:rPr>
        <w:t xml:space="preserve">The decision has been made </w:t>
      </w:r>
      <w:proofErr w:type="gramStart"/>
      <w:r w:rsidRPr="00CC7D8B">
        <w:rPr>
          <w:i/>
          <w:iCs/>
        </w:rPr>
        <w:t>on the basis of</w:t>
      </w:r>
      <w:proofErr w:type="gramEnd"/>
      <w:r w:rsidRPr="00CC7D8B">
        <w:rPr>
          <w:i/>
          <w:iCs/>
        </w:rPr>
        <w:t xml:space="preserve"> short-term efficacy and safety data. Continued approval depends on the evidence of </w:t>
      </w:r>
      <w:proofErr w:type="gramStart"/>
      <w:r w:rsidRPr="00CC7D8B">
        <w:rPr>
          <w:i/>
          <w:iCs/>
        </w:rPr>
        <w:t>longer term</w:t>
      </w:r>
      <w:proofErr w:type="gramEnd"/>
      <w:r w:rsidRPr="00CC7D8B">
        <w:rPr>
          <w:i/>
          <w:iCs/>
        </w:rPr>
        <w:t xml:space="preserve"> efficacy and safety from ongoing clinical trials and post-market assessment.</w:t>
      </w:r>
    </w:p>
    <w:p w14:paraId="6F086AD3" w14:textId="7863282E" w:rsidR="00332715" w:rsidRPr="00CC7D8B" w:rsidRDefault="00332715" w:rsidP="00332715">
      <w:r w:rsidRPr="00CC7D8B">
        <w:t xml:space="preserve">At the time the TGA considered this </w:t>
      </w:r>
      <w:r w:rsidR="00BB0B78" w:rsidRPr="00CC7D8B">
        <w:t>submission</w:t>
      </w:r>
      <w:r w:rsidRPr="00CC7D8B">
        <w:t xml:space="preserve">, similar </w:t>
      </w:r>
      <w:r w:rsidR="00BB0B78" w:rsidRPr="00CC7D8B">
        <w:t>submission</w:t>
      </w:r>
      <w:r w:rsidR="00152DD8">
        <w:t>s</w:t>
      </w:r>
      <w:r w:rsidRPr="00CC7D8B">
        <w:t xml:space="preserve"> had been approved in</w:t>
      </w:r>
      <w:r w:rsidR="006927CD" w:rsidRPr="00CC7D8B">
        <w:t xml:space="preserve"> the </w:t>
      </w:r>
      <w:r w:rsidR="00491CF0" w:rsidRPr="00CC7D8B">
        <w:t>USA</w:t>
      </w:r>
      <w:r w:rsidRPr="00CC7D8B">
        <w:t xml:space="preserve"> </w:t>
      </w:r>
      <w:r w:rsidR="006927CD" w:rsidRPr="00CC7D8B">
        <w:t>on 17 June 2022</w:t>
      </w:r>
      <w:r w:rsidR="00152DD8">
        <w:t xml:space="preserve"> and </w:t>
      </w:r>
      <w:r w:rsidR="00152DD8" w:rsidRPr="00CC7D8B">
        <w:t>Canada on 1</w:t>
      </w:r>
      <w:r w:rsidR="00152DD8">
        <w:t>4 </w:t>
      </w:r>
      <w:r w:rsidR="00152DD8" w:rsidRPr="00CC7D8B">
        <w:t>Ju</w:t>
      </w:r>
      <w:r w:rsidR="00152DD8">
        <w:t>ly</w:t>
      </w:r>
      <w:r w:rsidR="00152DD8" w:rsidRPr="00CC7D8B">
        <w:t xml:space="preserve"> 2022</w:t>
      </w:r>
      <w:r w:rsidRPr="00CC7D8B">
        <w:t>.</w:t>
      </w:r>
      <w:r w:rsidR="003479F8" w:rsidRPr="00CC7D8B">
        <w:t xml:space="preserve"> S</w:t>
      </w:r>
      <w:r w:rsidRPr="00CC7D8B">
        <w:t xml:space="preserve">imilar </w:t>
      </w:r>
      <w:r w:rsidR="00BB0B78" w:rsidRPr="00CC7D8B">
        <w:t>submission</w:t>
      </w:r>
      <w:r w:rsidR="003479F8" w:rsidRPr="00CC7D8B">
        <w:t>s</w:t>
      </w:r>
      <w:r w:rsidRPr="00CC7D8B">
        <w:t xml:space="preserve"> </w:t>
      </w:r>
      <w:r w:rsidR="003479F8" w:rsidRPr="00CC7D8B">
        <w:t>were</w:t>
      </w:r>
      <w:r w:rsidRPr="00CC7D8B">
        <w:t xml:space="preserve"> under consideration in</w:t>
      </w:r>
      <w:r w:rsidR="003479F8" w:rsidRPr="00CC7D8B">
        <w:t xml:space="preserve"> the European Union</w:t>
      </w:r>
      <w:r w:rsidR="00491CF0" w:rsidRPr="00CC7D8B">
        <w:t xml:space="preserve"> (EU)</w:t>
      </w:r>
      <w:r w:rsidR="003479F8" w:rsidRPr="00CC7D8B">
        <w:t xml:space="preserve"> (submitted on 29 April 2022)</w:t>
      </w:r>
      <w:r w:rsidR="000E2486">
        <w:t xml:space="preserve"> and</w:t>
      </w:r>
      <w:r w:rsidR="003479F8" w:rsidRPr="00CC7D8B">
        <w:t xml:space="preserve"> the Great Britain (submitted on 29 April 2022).</w:t>
      </w:r>
    </w:p>
    <w:p w14:paraId="13F94034" w14:textId="164B6004" w:rsidR="00332715" w:rsidRPr="00CC7D8B" w:rsidRDefault="0072292E" w:rsidP="00332715">
      <w:r w:rsidRPr="00CC7D8B">
        <w:t xml:space="preserve">The following table </w:t>
      </w:r>
      <w:r w:rsidR="00332715" w:rsidRPr="00CC7D8B">
        <w:t xml:space="preserve">summarises these </w:t>
      </w:r>
      <w:r w:rsidR="00BB0B78" w:rsidRPr="00CC7D8B">
        <w:t>submissions</w:t>
      </w:r>
      <w:r w:rsidR="00332715" w:rsidRPr="00CC7D8B">
        <w:t xml:space="preserve"> and provides the indications where approved.</w:t>
      </w:r>
    </w:p>
    <w:p w14:paraId="5C20D511" w14:textId="54386588" w:rsidR="00324E45" w:rsidRPr="007B4EC2" w:rsidRDefault="00324E45" w:rsidP="007B4EC2">
      <w:pPr>
        <w:pStyle w:val="TableTitle"/>
      </w:pPr>
      <w:bookmarkStart w:id="24" w:name="_Ref99705479"/>
      <w:r w:rsidRPr="007B4EC2">
        <w:lastRenderedPageBreak/>
        <w:t xml:space="preserve">Table </w:t>
      </w:r>
      <w:fldSimple w:instr=" SEQ Table \* ARABIC ">
        <w:r w:rsidR="00522240">
          <w:rPr>
            <w:noProof/>
          </w:rPr>
          <w:t>1</w:t>
        </w:r>
      </w:fldSimple>
      <w:bookmarkEnd w:id="24"/>
      <w:r w:rsidRPr="007B4EC2">
        <w:t>: International regulatory status</w:t>
      </w:r>
    </w:p>
    <w:tbl>
      <w:tblPr>
        <w:tblStyle w:val="TableTGAblue"/>
        <w:tblW w:w="8815" w:type="dxa"/>
        <w:tblLayout w:type="fixed"/>
        <w:tblLook w:val="04A0" w:firstRow="1" w:lastRow="0" w:firstColumn="1" w:lastColumn="0" w:noHBand="0" w:noVBand="1"/>
      </w:tblPr>
      <w:tblGrid>
        <w:gridCol w:w="1975"/>
        <w:gridCol w:w="1980"/>
        <w:gridCol w:w="1890"/>
        <w:gridCol w:w="2970"/>
      </w:tblGrid>
      <w:tr w:rsidR="00006FAB" w:rsidRPr="00CC7D8B" w14:paraId="26666AD5" w14:textId="77777777" w:rsidTr="002C14FC">
        <w:trPr>
          <w:cnfStyle w:val="100000000000" w:firstRow="1" w:lastRow="0" w:firstColumn="0" w:lastColumn="0" w:oddVBand="0" w:evenVBand="0" w:oddHBand="0" w:evenHBand="0" w:firstRowFirstColumn="0" w:firstRowLastColumn="0" w:lastRowFirstColumn="0" w:lastRowLastColumn="0"/>
        </w:trPr>
        <w:tc>
          <w:tcPr>
            <w:tcW w:w="1975" w:type="dxa"/>
            <w:tcBorders>
              <w:top w:val="single" w:sz="4" w:space="0" w:color="auto"/>
              <w:left w:val="single" w:sz="4" w:space="0" w:color="auto"/>
              <w:bottom w:val="single" w:sz="4" w:space="0" w:color="auto"/>
              <w:right w:val="single" w:sz="4" w:space="0" w:color="auto"/>
            </w:tcBorders>
          </w:tcPr>
          <w:p w14:paraId="729AE6A2" w14:textId="77777777" w:rsidR="00006FAB" w:rsidRPr="00CC7D8B" w:rsidRDefault="00006FAB" w:rsidP="00006FAB">
            <w:pPr>
              <w:ind w:left="0" w:right="0"/>
            </w:pPr>
            <w:r w:rsidRPr="00CC7D8B">
              <w:t>Region</w:t>
            </w:r>
          </w:p>
        </w:tc>
        <w:tc>
          <w:tcPr>
            <w:tcW w:w="1980" w:type="dxa"/>
            <w:tcBorders>
              <w:top w:val="single" w:sz="4" w:space="0" w:color="auto"/>
              <w:left w:val="single" w:sz="4" w:space="0" w:color="auto"/>
              <w:bottom w:val="single" w:sz="4" w:space="0" w:color="auto"/>
              <w:right w:val="single" w:sz="4" w:space="0" w:color="auto"/>
            </w:tcBorders>
          </w:tcPr>
          <w:p w14:paraId="3B8EBF8D" w14:textId="77777777" w:rsidR="00006FAB" w:rsidRPr="00CC7D8B" w:rsidRDefault="00006FAB" w:rsidP="00006FAB">
            <w:pPr>
              <w:ind w:left="0" w:right="0"/>
            </w:pPr>
            <w:r w:rsidRPr="00CC7D8B">
              <w:t>Submission date</w:t>
            </w:r>
          </w:p>
        </w:tc>
        <w:tc>
          <w:tcPr>
            <w:tcW w:w="1890" w:type="dxa"/>
            <w:tcBorders>
              <w:top w:val="single" w:sz="4" w:space="0" w:color="auto"/>
              <w:left w:val="single" w:sz="4" w:space="0" w:color="auto"/>
              <w:bottom w:val="single" w:sz="4" w:space="0" w:color="auto"/>
              <w:right w:val="single" w:sz="4" w:space="0" w:color="auto"/>
            </w:tcBorders>
          </w:tcPr>
          <w:p w14:paraId="6E5750DF" w14:textId="77777777" w:rsidR="00006FAB" w:rsidRPr="00CC7D8B" w:rsidRDefault="00006FAB" w:rsidP="00006FAB">
            <w:pPr>
              <w:ind w:left="0" w:right="0"/>
            </w:pPr>
            <w:r w:rsidRPr="00CC7D8B">
              <w:t>Status</w:t>
            </w:r>
          </w:p>
        </w:tc>
        <w:tc>
          <w:tcPr>
            <w:tcW w:w="2970" w:type="dxa"/>
            <w:tcBorders>
              <w:top w:val="single" w:sz="4" w:space="0" w:color="auto"/>
              <w:left w:val="single" w:sz="4" w:space="0" w:color="auto"/>
              <w:bottom w:val="single" w:sz="4" w:space="0" w:color="auto"/>
              <w:right w:val="single" w:sz="4" w:space="0" w:color="auto"/>
            </w:tcBorders>
          </w:tcPr>
          <w:p w14:paraId="26C6743F" w14:textId="77777777" w:rsidR="00006FAB" w:rsidRPr="00CC7D8B" w:rsidRDefault="00006FAB" w:rsidP="00006FAB">
            <w:pPr>
              <w:ind w:left="0" w:right="0"/>
            </w:pPr>
            <w:r w:rsidRPr="00CC7D8B">
              <w:t>Approved indications</w:t>
            </w:r>
          </w:p>
        </w:tc>
      </w:tr>
      <w:tr w:rsidR="00006FAB" w:rsidRPr="00CC7D8B" w14:paraId="6B277823" w14:textId="77777777" w:rsidTr="002C14FC">
        <w:trPr>
          <w:cantSplit/>
        </w:trPr>
        <w:tc>
          <w:tcPr>
            <w:tcW w:w="1975" w:type="dxa"/>
            <w:tcBorders>
              <w:top w:val="single" w:sz="4" w:space="0" w:color="auto"/>
            </w:tcBorders>
          </w:tcPr>
          <w:p w14:paraId="421D2DF8" w14:textId="25938111" w:rsidR="00006FAB" w:rsidRPr="00CC7D8B" w:rsidRDefault="006927CD" w:rsidP="00006FAB">
            <w:pPr>
              <w:ind w:left="0" w:right="0"/>
            </w:pPr>
            <w:r w:rsidRPr="00CC7D8B">
              <w:t>United States of</w:t>
            </w:r>
            <w:r w:rsidR="00D561B1">
              <w:t> </w:t>
            </w:r>
            <w:r w:rsidRPr="00CC7D8B">
              <w:t>America</w:t>
            </w:r>
          </w:p>
        </w:tc>
        <w:tc>
          <w:tcPr>
            <w:tcW w:w="1980" w:type="dxa"/>
            <w:tcBorders>
              <w:top w:val="single" w:sz="4" w:space="0" w:color="auto"/>
            </w:tcBorders>
          </w:tcPr>
          <w:p w14:paraId="74794C98" w14:textId="1CE644A4" w:rsidR="00006FAB" w:rsidRPr="00CC7D8B" w:rsidRDefault="006927CD" w:rsidP="00006FAB">
            <w:pPr>
              <w:ind w:left="0" w:right="0"/>
            </w:pPr>
            <w:r w:rsidRPr="00CC7D8B">
              <w:t>28 April 2022</w:t>
            </w:r>
          </w:p>
        </w:tc>
        <w:tc>
          <w:tcPr>
            <w:tcW w:w="1890" w:type="dxa"/>
            <w:tcBorders>
              <w:top w:val="single" w:sz="4" w:space="0" w:color="auto"/>
            </w:tcBorders>
          </w:tcPr>
          <w:p w14:paraId="6C7C6AB0" w14:textId="26CB31EF" w:rsidR="00006FAB" w:rsidRPr="00CC7D8B" w:rsidRDefault="00006FAB" w:rsidP="00006FAB">
            <w:pPr>
              <w:ind w:left="0" w:right="0"/>
            </w:pPr>
            <w:r w:rsidRPr="00CC7D8B">
              <w:t xml:space="preserve">Approved on </w:t>
            </w:r>
            <w:r w:rsidR="006927CD" w:rsidRPr="00CC7D8B">
              <w:t>17</w:t>
            </w:r>
            <w:r w:rsidR="0019535F">
              <w:t> </w:t>
            </w:r>
            <w:r w:rsidR="006927CD" w:rsidRPr="00CC7D8B">
              <w:t>June 2022</w:t>
            </w:r>
          </w:p>
        </w:tc>
        <w:tc>
          <w:tcPr>
            <w:tcW w:w="2970" w:type="dxa"/>
            <w:tcBorders>
              <w:top w:val="single" w:sz="4" w:space="0" w:color="auto"/>
            </w:tcBorders>
          </w:tcPr>
          <w:p w14:paraId="7C15CB5C" w14:textId="392BCFF2" w:rsidR="00157F6C" w:rsidRPr="002C14FC" w:rsidRDefault="00157F6C" w:rsidP="002C14FC">
            <w:pPr>
              <w:ind w:left="0"/>
              <w:rPr>
                <w:i/>
                <w:iCs/>
              </w:rPr>
            </w:pPr>
            <w:r w:rsidRPr="002C14FC">
              <w:rPr>
                <w:i/>
                <w:iCs/>
              </w:rPr>
              <w:t>F</w:t>
            </w:r>
            <w:r w:rsidRPr="002C14FC">
              <w:rPr>
                <w:i/>
                <w:iCs/>
                <w:color w:val="auto"/>
              </w:rPr>
              <w:t>or active immunization to prevent COVID-19 in individuals 6 months of age and older</w:t>
            </w:r>
          </w:p>
        </w:tc>
      </w:tr>
      <w:tr w:rsidR="00006FAB" w:rsidRPr="00CC7D8B" w14:paraId="681C5906" w14:textId="77777777" w:rsidTr="002C14FC">
        <w:tc>
          <w:tcPr>
            <w:tcW w:w="1975" w:type="dxa"/>
          </w:tcPr>
          <w:p w14:paraId="6438D052" w14:textId="59E6BE64" w:rsidR="00006FAB" w:rsidRPr="00CC7D8B" w:rsidRDefault="006927CD" w:rsidP="00006FAB">
            <w:pPr>
              <w:ind w:left="0" w:right="0"/>
            </w:pPr>
            <w:r w:rsidRPr="00CC7D8B">
              <w:t>Canada</w:t>
            </w:r>
          </w:p>
        </w:tc>
        <w:tc>
          <w:tcPr>
            <w:tcW w:w="1980" w:type="dxa"/>
          </w:tcPr>
          <w:p w14:paraId="729CD27F" w14:textId="0BA4B443" w:rsidR="00006FAB" w:rsidRPr="00CC7D8B" w:rsidRDefault="006927CD" w:rsidP="00006FAB">
            <w:pPr>
              <w:ind w:left="0" w:right="0"/>
            </w:pPr>
            <w:r w:rsidRPr="00CC7D8B">
              <w:t>29 April 2022</w:t>
            </w:r>
          </w:p>
        </w:tc>
        <w:tc>
          <w:tcPr>
            <w:tcW w:w="1890" w:type="dxa"/>
          </w:tcPr>
          <w:p w14:paraId="054443E2" w14:textId="6F7CD0D4" w:rsidR="00006FAB" w:rsidRPr="00CC7D8B" w:rsidRDefault="00C54BA8" w:rsidP="00006FAB">
            <w:pPr>
              <w:ind w:left="0" w:right="0"/>
            </w:pPr>
            <w:r w:rsidRPr="00CC7D8B">
              <w:t>Approved on 1</w:t>
            </w:r>
            <w:r>
              <w:t>4</w:t>
            </w:r>
            <w:r w:rsidR="00D561B1">
              <w:t> </w:t>
            </w:r>
            <w:r w:rsidRPr="00CC7D8B">
              <w:t>Ju</w:t>
            </w:r>
            <w:r>
              <w:t>ly</w:t>
            </w:r>
            <w:r w:rsidRPr="00CC7D8B">
              <w:t xml:space="preserve"> 2022</w:t>
            </w:r>
          </w:p>
        </w:tc>
        <w:tc>
          <w:tcPr>
            <w:tcW w:w="2970" w:type="dxa"/>
          </w:tcPr>
          <w:p w14:paraId="26ECDE64" w14:textId="7EB8B091" w:rsidR="00006FAB" w:rsidRPr="00CC7D8B" w:rsidRDefault="00C54BA8" w:rsidP="00006FAB">
            <w:pPr>
              <w:ind w:left="0" w:right="0"/>
            </w:pPr>
            <w:r w:rsidRPr="003F33AB">
              <w:rPr>
                <w:i/>
                <w:iCs/>
              </w:rPr>
              <w:t>F</w:t>
            </w:r>
            <w:r w:rsidRPr="003F33AB">
              <w:rPr>
                <w:i/>
                <w:iCs/>
                <w:color w:val="auto"/>
              </w:rPr>
              <w:t>or active immunization to prevent COVID-19 in individuals 6 months of age and older</w:t>
            </w:r>
          </w:p>
        </w:tc>
      </w:tr>
      <w:tr w:rsidR="006927CD" w:rsidRPr="00CC7D8B" w14:paraId="70CA11AE" w14:textId="77777777" w:rsidTr="002C14FC">
        <w:tc>
          <w:tcPr>
            <w:tcW w:w="1975" w:type="dxa"/>
          </w:tcPr>
          <w:p w14:paraId="2CD300AD" w14:textId="208C710C" w:rsidR="006927CD" w:rsidRPr="00CC7D8B" w:rsidRDefault="006927CD" w:rsidP="006927CD">
            <w:pPr>
              <w:ind w:left="0"/>
            </w:pPr>
            <w:r w:rsidRPr="00CC7D8B">
              <w:t>European Union</w:t>
            </w:r>
          </w:p>
        </w:tc>
        <w:tc>
          <w:tcPr>
            <w:tcW w:w="1980" w:type="dxa"/>
          </w:tcPr>
          <w:p w14:paraId="35CDC27E" w14:textId="5CCEB3CB" w:rsidR="006927CD" w:rsidRPr="00CC7D8B" w:rsidRDefault="006927CD" w:rsidP="006927CD">
            <w:pPr>
              <w:ind w:left="0"/>
            </w:pPr>
            <w:r w:rsidRPr="00CC7D8B">
              <w:t>29 April 2022</w:t>
            </w:r>
          </w:p>
        </w:tc>
        <w:tc>
          <w:tcPr>
            <w:tcW w:w="1890" w:type="dxa"/>
          </w:tcPr>
          <w:p w14:paraId="31AB26DA" w14:textId="55A886F5" w:rsidR="006927CD" w:rsidRPr="00CC7D8B" w:rsidRDefault="006927CD" w:rsidP="006927CD">
            <w:pPr>
              <w:ind w:left="0"/>
            </w:pPr>
            <w:r w:rsidRPr="00CC7D8B">
              <w:t>Under consideration</w:t>
            </w:r>
          </w:p>
        </w:tc>
        <w:tc>
          <w:tcPr>
            <w:tcW w:w="2970" w:type="dxa"/>
          </w:tcPr>
          <w:p w14:paraId="0DFE5330" w14:textId="3D4E4510" w:rsidR="006927CD" w:rsidRPr="00CC7D8B" w:rsidRDefault="006927CD" w:rsidP="006927CD">
            <w:pPr>
              <w:ind w:left="0"/>
            </w:pPr>
            <w:r w:rsidRPr="00CC7D8B">
              <w:t>Under consideration</w:t>
            </w:r>
          </w:p>
        </w:tc>
      </w:tr>
      <w:tr w:rsidR="006927CD" w:rsidRPr="00CC7D8B" w14:paraId="69FF0BF9" w14:textId="77777777" w:rsidTr="002C14FC">
        <w:tc>
          <w:tcPr>
            <w:tcW w:w="1975" w:type="dxa"/>
          </w:tcPr>
          <w:p w14:paraId="3DD1ED96" w14:textId="7C1D3E33" w:rsidR="006927CD" w:rsidRPr="00CC7D8B" w:rsidRDefault="006927CD" w:rsidP="006927CD">
            <w:pPr>
              <w:ind w:left="0"/>
            </w:pPr>
            <w:r w:rsidRPr="00CC7D8B">
              <w:t>Great Britain</w:t>
            </w:r>
          </w:p>
        </w:tc>
        <w:tc>
          <w:tcPr>
            <w:tcW w:w="1980" w:type="dxa"/>
          </w:tcPr>
          <w:p w14:paraId="39947B45" w14:textId="6D9330C1" w:rsidR="006927CD" w:rsidRPr="00CC7D8B" w:rsidRDefault="006927CD" w:rsidP="006927CD">
            <w:pPr>
              <w:ind w:left="0"/>
            </w:pPr>
            <w:r w:rsidRPr="00CC7D8B">
              <w:t>29 April 2022</w:t>
            </w:r>
          </w:p>
        </w:tc>
        <w:tc>
          <w:tcPr>
            <w:tcW w:w="1890" w:type="dxa"/>
          </w:tcPr>
          <w:p w14:paraId="1049CF80" w14:textId="0E074AB6" w:rsidR="006927CD" w:rsidRPr="00CC7D8B" w:rsidRDefault="006927CD" w:rsidP="006927CD">
            <w:pPr>
              <w:ind w:left="0"/>
            </w:pPr>
            <w:r w:rsidRPr="00CC7D8B">
              <w:t>Under consideration</w:t>
            </w:r>
          </w:p>
        </w:tc>
        <w:tc>
          <w:tcPr>
            <w:tcW w:w="2970" w:type="dxa"/>
          </w:tcPr>
          <w:p w14:paraId="7AAA1546" w14:textId="48C9CEEE" w:rsidR="006927CD" w:rsidRPr="00CC7D8B" w:rsidRDefault="006927CD" w:rsidP="006927CD">
            <w:pPr>
              <w:ind w:left="0"/>
            </w:pPr>
            <w:r w:rsidRPr="00CC7D8B">
              <w:t>Under consideration</w:t>
            </w:r>
          </w:p>
        </w:tc>
      </w:tr>
    </w:tbl>
    <w:p w14:paraId="22902BF3" w14:textId="77777777" w:rsidR="008E7846" w:rsidRPr="00CC7D8B" w:rsidRDefault="008E7846" w:rsidP="00940A89">
      <w:pPr>
        <w:pStyle w:val="Heading3"/>
      </w:pPr>
      <w:bookmarkStart w:id="25" w:name="_Toc109817290"/>
      <w:r w:rsidRPr="00CC7D8B">
        <w:t>Product Information</w:t>
      </w:r>
      <w:bookmarkEnd w:id="22"/>
      <w:bookmarkEnd w:id="23"/>
      <w:bookmarkEnd w:id="25"/>
    </w:p>
    <w:p w14:paraId="0FF2CAEB" w14:textId="129BF0BE" w:rsidR="00332715" w:rsidRPr="00CC7D8B" w:rsidRDefault="00332715" w:rsidP="00332715">
      <w:bookmarkStart w:id="26" w:name="_Toc504480011"/>
      <w:bookmarkStart w:id="27" w:name="_Toc247691506"/>
      <w:bookmarkStart w:id="28" w:name="_Toc314842487"/>
      <w:r w:rsidRPr="00CC7D8B">
        <w:t xml:space="preserve">The Product Information (PI) approved with the submission which is described in this AusPAR can be found as Attachment 1. For the most recent PI, please refer to the TGA </w:t>
      </w:r>
      <w:hyperlink r:id="rId18" w:history="1">
        <w:r w:rsidRPr="00CC7D8B">
          <w:rPr>
            <w:rStyle w:val="Hyperlink"/>
          </w:rPr>
          <w:t>PI/CMI search facility</w:t>
        </w:r>
        <w:r w:rsidRPr="00CC7D8B">
          <w:rPr>
            <w:rStyle w:val="Hyperlink"/>
            <w:color w:val="auto"/>
            <w:u w:val="none"/>
          </w:rPr>
          <w:t>.</w:t>
        </w:r>
      </w:hyperlink>
    </w:p>
    <w:p w14:paraId="13C06ABF" w14:textId="77777777" w:rsidR="00500337" w:rsidRPr="00CC7D8B" w:rsidRDefault="00500337" w:rsidP="00500337">
      <w:pPr>
        <w:pStyle w:val="Heading2"/>
      </w:pPr>
      <w:bookmarkStart w:id="29" w:name="_Toc109817291"/>
      <w:r w:rsidRPr="00CC7D8B">
        <w:t>Registration timeline</w:t>
      </w:r>
      <w:bookmarkEnd w:id="26"/>
      <w:bookmarkEnd w:id="29"/>
    </w:p>
    <w:p w14:paraId="57CBE9D7" w14:textId="77777777" w:rsidR="0074163C" w:rsidRPr="00CC7D8B" w:rsidRDefault="0074163C" w:rsidP="0074163C">
      <w:r w:rsidRPr="00CC7D8B">
        <w:t xml:space="preserve">The following table captures the key steps and dates for this </w:t>
      </w:r>
      <w:r w:rsidR="00804D99" w:rsidRPr="00CC7D8B">
        <w:t>submission</w:t>
      </w:r>
      <w:r w:rsidRPr="00CC7D8B">
        <w:t>.</w:t>
      </w:r>
    </w:p>
    <w:p w14:paraId="526D9171" w14:textId="2AC00146" w:rsidR="0074163C" w:rsidRPr="007B4EC2" w:rsidRDefault="0074163C" w:rsidP="007B4EC2">
      <w:pPr>
        <w:pStyle w:val="TableTitle"/>
      </w:pPr>
      <w:r w:rsidRPr="007B4EC2">
        <w:t xml:space="preserve">Table </w:t>
      </w:r>
      <w:fldSimple w:instr=" SEQ Table \* ARABIC ">
        <w:r w:rsidR="00522240">
          <w:rPr>
            <w:noProof/>
          </w:rPr>
          <w:t>2</w:t>
        </w:r>
      </w:fldSimple>
      <w:r w:rsidRPr="007B4EC2">
        <w:t>: Timeline for Submission</w:t>
      </w:r>
      <w:r w:rsidR="00491CF0" w:rsidRPr="007B4EC2">
        <w:t>s</w:t>
      </w:r>
      <w:r w:rsidRPr="007B4EC2">
        <w:t xml:space="preserve"> </w:t>
      </w:r>
      <w:r w:rsidR="00E36D40" w:rsidRPr="007B4EC2">
        <w:t>PM-2022-01792-1-2 and PM-2022-01760-1-2</w:t>
      </w:r>
    </w:p>
    <w:p w14:paraId="25F4894A" w14:textId="77777777" w:rsidR="0074163C" w:rsidRPr="00CC7D8B" w:rsidRDefault="0074163C" w:rsidP="0074163C">
      <w:r w:rsidRPr="00CC7D8B">
        <w:t xml:space="preserve">Data were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rsidR="0072292E" w:rsidRPr="00CC7D8B">
        <w:t>be</w:t>
      </w:r>
      <w:r w:rsidRPr="00CC7D8B">
        <w:t xml:space="preserve">comes </w:t>
      </w:r>
      <w:r w:rsidR="0072292E" w:rsidRPr="00CC7D8B">
        <w:t>available</w:t>
      </w:r>
      <w:r w:rsidRPr="00CC7D8B">
        <w:t>.</w:t>
      </w:r>
    </w:p>
    <w:tbl>
      <w:tblPr>
        <w:tblStyle w:val="TableTGAblue"/>
        <w:tblW w:w="0" w:type="auto"/>
        <w:tblLook w:val="04A0" w:firstRow="1" w:lastRow="0" w:firstColumn="1" w:lastColumn="0" w:noHBand="0" w:noVBand="1"/>
      </w:tblPr>
      <w:tblGrid>
        <w:gridCol w:w="5807"/>
        <w:gridCol w:w="2687"/>
      </w:tblGrid>
      <w:tr w:rsidR="0074163C" w:rsidRPr="00CC7D8B" w14:paraId="082013A8" w14:textId="77777777" w:rsidTr="00700AB2">
        <w:trPr>
          <w:cnfStyle w:val="100000000000" w:firstRow="1" w:lastRow="0" w:firstColumn="0" w:lastColumn="0" w:oddVBand="0" w:evenVBand="0" w:oddHBand="0" w:evenHBand="0" w:firstRowFirstColumn="0" w:firstRowLastColumn="0" w:lastRowFirstColumn="0" w:lastRowLastColumn="0"/>
        </w:trPr>
        <w:tc>
          <w:tcPr>
            <w:tcW w:w="5807" w:type="dxa"/>
            <w:tcBorders>
              <w:top w:val="single" w:sz="4" w:space="0" w:color="auto"/>
              <w:left w:val="single" w:sz="4" w:space="0" w:color="auto"/>
              <w:bottom w:val="single" w:sz="4" w:space="0" w:color="auto"/>
              <w:right w:val="single" w:sz="4" w:space="0" w:color="auto"/>
            </w:tcBorders>
          </w:tcPr>
          <w:p w14:paraId="3143AB15" w14:textId="77777777" w:rsidR="0074163C" w:rsidRPr="00CC7D8B" w:rsidRDefault="0074163C" w:rsidP="009E5A87">
            <w:bookmarkStart w:id="30" w:name="_Hlk109215095"/>
            <w:r w:rsidRPr="00CC7D8B">
              <w:t>Description</w:t>
            </w:r>
          </w:p>
        </w:tc>
        <w:tc>
          <w:tcPr>
            <w:tcW w:w="2687" w:type="dxa"/>
            <w:tcBorders>
              <w:top w:val="single" w:sz="4" w:space="0" w:color="auto"/>
              <w:left w:val="single" w:sz="4" w:space="0" w:color="auto"/>
              <w:bottom w:val="single" w:sz="4" w:space="0" w:color="auto"/>
              <w:right w:val="single" w:sz="4" w:space="0" w:color="auto"/>
            </w:tcBorders>
          </w:tcPr>
          <w:p w14:paraId="0C071E3F" w14:textId="77777777" w:rsidR="0074163C" w:rsidRPr="00CC7D8B" w:rsidRDefault="0074163C" w:rsidP="009E5A87">
            <w:r w:rsidRPr="00CC7D8B">
              <w:t>Date</w:t>
            </w:r>
          </w:p>
        </w:tc>
      </w:tr>
      <w:tr w:rsidR="0074163C" w:rsidRPr="00CC7D8B" w14:paraId="0683F090" w14:textId="77777777" w:rsidTr="00700AB2">
        <w:tc>
          <w:tcPr>
            <w:tcW w:w="5807" w:type="dxa"/>
            <w:tcBorders>
              <w:top w:val="single" w:sz="4" w:space="0" w:color="auto"/>
            </w:tcBorders>
          </w:tcPr>
          <w:p w14:paraId="519ED36B" w14:textId="0A509A69" w:rsidR="0074163C" w:rsidRPr="00CC7D8B" w:rsidRDefault="0074163C" w:rsidP="009E5A87">
            <w:pPr>
              <w:pStyle w:val="Instructions"/>
              <w:rPr>
                <w:iCs/>
                <w:color w:val="000000" w:themeColor="text1"/>
              </w:rPr>
            </w:pPr>
            <w:r w:rsidRPr="00CC7D8B">
              <w:rPr>
                <w:i w:val="0"/>
                <w:iCs/>
                <w:color w:val="000000" w:themeColor="text1"/>
              </w:rPr>
              <w:t>Determination (Provisional)</w:t>
            </w:r>
          </w:p>
        </w:tc>
        <w:tc>
          <w:tcPr>
            <w:tcW w:w="2687" w:type="dxa"/>
            <w:tcBorders>
              <w:top w:val="single" w:sz="4" w:space="0" w:color="auto"/>
            </w:tcBorders>
          </w:tcPr>
          <w:p w14:paraId="5521A356" w14:textId="67C6BB2A" w:rsidR="0074163C" w:rsidRPr="002C14FC" w:rsidRDefault="00CC7D8B" w:rsidP="009E5A87">
            <w:r w:rsidRPr="002C14FC">
              <w:t>9 November 2021</w:t>
            </w:r>
          </w:p>
        </w:tc>
      </w:tr>
      <w:tr w:rsidR="0074163C" w:rsidRPr="00CC7D8B" w14:paraId="1BBDAE7C" w14:textId="77777777" w:rsidTr="00700AB2">
        <w:tc>
          <w:tcPr>
            <w:tcW w:w="5807" w:type="dxa"/>
          </w:tcPr>
          <w:p w14:paraId="0EB08162" w14:textId="77777777" w:rsidR="0074163C" w:rsidRPr="00CC7D8B" w:rsidRDefault="0074163C" w:rsidP="009E5A87">
            <w:r w:rsidRPr="00CC7D8B">
              <w:t>Submission dossier accepted and first round evaluation commenced</w:t>
            </w:r>
          </w:p>
        </w:tc>
        <w:tc>
          <w:tcPr>
            <w:tcW w:w="2687" w:type="dxa"/>
          </w:tcPr>
          <w:p w14:paraId="24604181" w14:textId="469F73F7" w:rsidR="0074163C" w:rsidRPr="002C14FC" w:rsidRDefault="003142B0" w:rsidP="009E5A87">
            <w:r w:rsidRPr="002C14FC">
              <w:t>12</w:t>
            </w:r>
            <w:r w:rsidR="00FF5490" w:rsidRPr="002C14FC">
              <w:t xml:space="preserve"> May 2022</w:t>
            </w:r>
          </w:p>
        </w:tc>
      </w:tr>
      <w:tr w:rsidR="0074163C" w:rsidRPr="00CC7D8B" w14:paraId="7720A709" w14:textId="77777777" w:rsidTr="00700AB2">
        <w:tc>
          <w:tcPr>
            <w:tcW w:w="5807" w:type="dxa"/>
          </w:tcPr>
          <w:p w14:paraId="56DB7C80" w14:textId="77777777" w:rsidR="0074163C" w:rsidRPr="00CC7D8B" w:rsidRDefault="0074163C" w:rsidP="009E5A87">
            <w:r w:rsidRPr="00CC7D8B">
              <w:t>Evaluation completed</w:t>
            </w:r>
          </w:p>
        </w:tc>
        <w:tc>
          <w:tcPr>
            <w:tcW w:w="2687" w:type="dxa"/>
          </w:tcPr>
          <w:p w14:paraId="3D440FD8" w14:textId="5D11D098" w:rsidR="0074163C" w:rsidRPr="002C14FC" w:rsidRDefault="003142B0" w:rsidP="009E5A87">
            <w:r w:rsidRPr="002C14FC">
              <w:t>7 July 2022</w:t>
            </w:r>
          </w:p>
        </w:tc>
      </w:tr>
      <w:tr w:rsidR="0074163C" w:rsidRPr="00CC7D8B" w14:paraId="59C85074" w14:textId="77777777" w:rsidTr="00700AB2">
        <w:tc>
          <w:tcPr>
            <w:tcW w:w="5807" w:type="dxa"/>
          </w:tcPr>
          <w:p w14:paraId="3AB4EEBE" w14:textId="3512606C" w:rsidR="0074163C" w:rsidRPr="00CC7D8B" w:rsidRDefault="0074163C" w:rsidP="009E5A87">
            <w:r w:rsidRPr="00CC7D8B">
              <w:t>Delegate’s Overall benefit-risk assessment and request for Advisory Committee advice</w:t>
            </w:r>
          </w:p>
        </w:tc>
        <w:tc>
          <w:tcPr>
            <w:tcW w:w="2687" w:type="dxa"/>
          </w:tcPr>
          <w:p w14:paraId="4A37CD35" w14:textId="0F7C48E3" w:rsidR="0074163C" w:rsidRPr="002C14FC" w:rsidRDefault="003142B0" w:rsidP="009E5A87">
            <w:r w:rsidRPr="002C14FC">
              <w:t>20</w:t>
            </w:r>
            <w:r w:rsidR="00CC7D8B" w:rsidRPr="002C14FC">
              <w:t xml:space="preserve"> June 2022</w:t>
            </w:r>
          </w:p>
        </w:tc>
      </w:tr>
      <w:tr w:rsidR="0074163C" w:rsidRPr="00CC7D8B" w14:paraId="6C4101AC" w14:textId="77777777" w:rsidTr="00700AB2">
        <w:tc>
          <w:tcPr>
            <w:tcW w:w="5807" w:type="dxa"/>
          </w:tcPr>
          <w:p w14:paraId="74C3690D" w14:textId="77777777" w:rsidR="0074163C" w:rsidRPr="00CC7D8B" w:rsidRDefault="0074163C" w:rsidP="009E5A87">
            <w:r w:rsidRPr="00CC7D8B">
              <w:t>Sponsor’s pre-Advisory Committee response</w:t>
            </w:r>
          </w:p>
        </w:tc>
        <w:tc>
          <w:tcPr>
            <w:tcW w:w="2687" w:type="dxa"/>
          </w:tcPr>
          <w:p w14:paraId="07A1FBAE" w14:textId="1D09D3CC" w:rsidR="0074163C" w:rsidRPr="002C14FC" w:rsidRDefault="003479F8" w:rsidP="009E5A87">
            <w:r w:rsidRPr="002C14FC">
              <w:t>23 June 2022</w:t>
            </w:r>
          </w:p>
        </w:tc>
      </w:tr>
      <w:tr w:rsidR="0074163C" w:rsidRPr="00CC7D8B" w14:paraId="032B683A" w14:textId="77777777" w:rsidTr="00700AB2">
        <w:tc>
          <w:tcPr>
            <w:tcW w:w="5807" w:type="dxa"/>
          </w:tcPr>
          <w:p w14:paraId="14EA1DEC" w14:textId="77777777" w:rsidR="0074163C" w:rsidRPr="00CC7D8B" w:rsidRDefault="0074163C" w:rsidP="009E5A87">
            <w:r w:rsidRPr="00CC7D8B">
              <w:t>Advisory Committee meeting</w:t>
            </w:r>
          </w:p>
        </w:tc>
        <w:tc>
          <w:tcPr>
            <w:tcW w:w="2687" w:type="dxa"/>
          </w:tcPr>
          <w:p w14:paraId="748A92B7" w14:textId="40B629D5" w:rsidR="0074163C" w:rsidRPr="002C14FC" w:rsidRDefault="00CC7D8B" w:rsidP="009E5A87">
            <w:r w:rsidRPr="002C14FC">
              <w:t>6 July 2022</w:t>
            </w:r>
          </w:p>
        </w:tc>
      </w:tr>
      <w:tr w:rsidR="0074163C" w:rsidRPr="00CC7D8B" w14:paraId="4100B8AB" w14:textId="77777777" w:rsidTr="00700AB2">
        <w:tc>
          <w:tcPr>
            <w:tcW w:w="5807" w:type="dxa"/>
          </w:tcPr>
          <w:p w14:paraId="334A225B" w14:textId="77777777" w:rsidR="0074163C" w:rsidRPr="00CC7D8B" w:rsidRDefault="0074163C" w:rsidP="009E5A87">
            <w:r w:rsidRPr="00CC7D8B">
              <w:lastRenderedPageBreak/>
              <w:t>Registration decision (Outcome)</w:t>
            </w:r>
          </w:p>
        </w:tc>
        <w:tc>
          <w:tcPr>
            <w:tcW w:w="2687" w:type="dxa"/>
          </w:tcPr>
          <w:p w14:paraId="3E14DA1F" w14:textId="2E04F4FF" w:rsidR="0074163C" w:rsidRPr="002C14FC" w:rsidRDefault="00157F6C" w:rsidP="009E5A87">
            <w:r w:rsidRPr="002C14FC">
              <w:t>19 July 2022</w:t>
            </w:r>
          </w:p>
        </w:tc>
      </w:tr>
      <w:tr w:rsidR="0074163C" w:rsidRPr="00CC7D8B" w14:paraId="2316A597" w14:textId="77777777" w:rsidTr="00700AB2">
        <w:tc>
          <w:tcPr>
            <w:tcW w:w="5807" w:type="dxa"/>
          </w:tcPr>
          <w:p w14:paraId="53B9570E" w14:textId="77777777" w:rsidR="0074163C" w:rsidRPr="00CC7D8B" w:rsidRDefault="0074163C" w:rsidP="009E5A87">
            <w:r w:rsidRPr="00CC7D8B">
              <w:t>Completion of administrative activities and registration on the ARTG</w:t>
            </w:r>
          </w:p>
        </w:tc>
        <w:tc>
          <w:tcPr>
            <w:tcW w:w="2687" w:type="dxa"/>
          </w:tcPr>
          <w:p w14:paraId="084D9340" w14:textId="0F37ADE3" w:rsidR="0074163C" w:rsidRPr="002C14FC" w:rsidRDefault="00157F6C" w:rsidP="009E5A87">
            <w:r w:rsidRPr="002C14FC">
              <w:t>19 July 2022</w:t>
            </w:r>
          </w:p>
        </w:tc>
      </w:tr>
      <w:tr w:rsidR="0074163C" w:rsidRPr="00CC7D8B" w14:paraId="5E7B4362" w14:textId="77777777" w:rsidTr="00700AB2">
        <w:tc>
          <w:tcPr>
            <w:tcW w:w="5807" w:type="dxa"/>
          </w:tcPr>
          <w:p w14:paraId="36DB5332" w14:textId="77777777" w:rsidR="0074163C" w:rsidRPr="00CC7D8B" w:rsidRDefault="0074163C" w:rsidP="009E5A87">
            <w:r w:rsidRPr="00CC7D8B">
              <w:t>Number of working days from submission dossier acceptance to registration decision*</w:t>
            </w:r>
          </w:p>
        </w:tc>
        <w:tc>
          <w:tcPr>
            <w:tcW w:w="2687" w:type="dxa"/>
          </w:tcPr>
          <w:p w14:paraId="171367A1" w14:textId="6B61B3D3" w:rsidR="0074163C" w:rsidRPr="002C14FC" w:rsidRDefault="003142B0" w:rsidP="009E5A87">
            <w:r w:rsidRPr="002C14FC">
              <w:t>47</w:t>
            </w:r>
          </w:p>
        </w:tc>
      </w:tr>
    </w:tbl>
    <w:bookmarkEnd w:id="30"/>
    <w:p w14:paraId="39D4F3C6" w14:textId="77777777" w:rsidR="0074163C" w:rsidRPr="00CC7D8B" w:rsidRDefault="0074163C" w:rsidP="0074163C">
      <w:pPr>
        <w:pStyle w:val="TableDescription"/>
      </w:pPr>
      <w:r w:rsidRPr="00CC7D8B">
        <w:t xml:space="preserve">*Statutory timeframe for standard </w:t>
      </w:r>
      <w:r w:rsidR="00BB0B78" w:rsidRPr="00CC7D8B">
        <w:t>submission</w:t>
      </w:r>
      <w:r w:rsidRPr="00CC7D8B">
        <w:t>s is 255 working days</w:t>
      </w:r>
    </w:p>
    <w:p w14:paraId="3998BF5B" w14:textId="77777777" w:rsidR="008E7846" w:rsidRPr="00CC7D8B" w:rsidRDefault="00006FAB" w:rsidP="008E7846">
      <w:pPr>
        <w:pStyle w:val="Heading2"/>
      </w:pPr>
      <w:bookmarkStart w:id="31" w:name="_Toc196046504"/>
      <w:bookmarkStart w:id="32" w:name="_Toc247691527"/>
      <w:bookmarkStart w:id="33" w:name="_Toc314842510"/>
      <w:bookmarkStart w:id="34" w:name="_Toc109817292"/>
      <w:bookmarkStart w:id="35" w:name="_Toc163441390"/>
      <w:bookmarkEnd w:id="27"/>
      <w:bookmarkEnd w:id="28"/>
      <w:bookmarkEnd w:id="1"/>
      <w:r w:rsidRPr="00CC7D8B">
        <w:t xml:space="preserve">Submission overview </w:t>
      </w:r>
      <w:r w:rsidR="008E7846" w:rsidRPr="00CC7D8B">
        <w:t>and risk/benefit assessment</w:t>
      </w:r>
      <w:bookmarkEnd w:id="31"/>
      <w:bookmarkEnd w:id="32"/>
      <w:bookmarkEnd w:id="33"/>
      <w:bookmarkEnd w:id="34"/>
    </w:p>
    <w:p w14:paraId="33F1EA63" w14:textId="77777777" w:rsidR="005A79F5" w:rsidRPr="00CC7D8B" w:rsidRDefault="005A79F5" w:rsidP="0074163C">
      <w:pPr>
        <w:pStyle w:val="Instructions"/>
        <w:rPr>
          <w:i w:val="0"/>
          <w:color w:val="auto"/>
        </w:rPr>
      </w:pPr>
      <w:bookmarkStart w:id="36" w:name="_Toc247691528"/>
      <w:bookmarkStart w:id="37" w:name="_Toc314842511"/>
      <w:r w:rsidRPr="00CC7D8B">
        <w:rPr>
          <w:i w:val="0"/>
          <w:color w:val="auto"/>
        </w:rPr>
        <w:t>A summary of the TGA’s assessment for this submission is provided below.</w:t>
      </w:r>
    </w:p>
    <w:p w14:paraId="2356656D" w14:textId="0598A3DC" w:rsidR="00E62785" w:rsidRDefault="00E62785" w:rsidP="00491CF0">
      <w:r w:rsidRPr="00E62785">
        <w:t>The following guideline was referred to by the Delegate as being relevant to this submission:</w:t>
      </w:r>
    </w:p>
    <w:p w14:paraId="4BD2E159" w14:textId="4D5865BF" w:rsidR="00E62785" w:rsidRPr="00CC7D8B" w:rsidRDefault="0019535F" w:rsidP="00CC1E2B">
      <w:pPr>
        <w:pStyle w:val="ListBullet"/>
      </w:pPr>
      <w:r>
        <w:t xml:space="preserve">United States (US) </w:t>
      </w:r>
      <w:r w:rsidR="00CC1E2B" w:rsidRPr="00CC1E2B">
        <w:t xml:space="preserve">Food and Drug Administration </w:t>
      </w:r>
      <w:r w:rsidR="00CC1E2B">
        <w:t xml:space="preserve">(FDA), Development and Licensure of Vaccines to Prevent COVID-19, Guidance for Industry, </w:t>
      </w:r>
      <w:r w:rsidR="00CC1E2B" w:rsidRPr="00CC1E2B">
        <w:t>June 2020</w:t>
      </w:r>
      <w:r w:rsidR="00CC1E2B">
        <w:t>.</w:t>
      </w:r>
    </w:p>
    <w:p w14:paraId="04BB6046" w14:textId="77777777" w:rsidR="008E7846" w:rsidRPr="00CC7D8B" w:rsidRDefault="008E7846" w:rsidP="008E7846">
      <w:pPr>
        <w:pStyle w:val="Heading3"/>
      </w:pPr>
      <w:bookmarkStart w:id="38" w:name="_Toc109817293"/>
      <w:r w:rsidRPr="00CC7D8B">
        <w:t>Quality</w:t>
      </w:r>
      <w:bookmarkEnd w:id="36"/>
      <w:bookmarkEnd w:id="37"/>
      <w:bookmarkEnd w:id="38"/>
    </w:p>
    <w:p w14:paraId="1FEEEBFF" w14:textId="0875BA3D" w:rsidR="00491CF0" w:rsidRPr="00CC7D8B" w:rsidRDefault="00491CF0" w:rsidP="00491CF0">
      <w:r w:rsidRPr="00CC7D8B">
        <w:t xml:space="preserve">The sponsor has submitted application to register a new strength (0.1 mg/mL) and new pack presentations (2.5 mL multi-dose vial and </w:t>
      </w:r>
      <w:r w:rsidR="0019535F">
        <w:t xml:space="preserve">multipacks of </w:t>
      </w:r>
      <w:r w:rsidRPr="00CC7D8B">
        <w:t>pre-filled syringe</w:t>
      </w:r>
      <w:r w:rsidR="0019535F">
        <w:t>s</w:t>
      </w:r>
      <w:r w:rsidRPr="00CC7D8B">
        <w:t xml:space="preserve">) for Spikevax (elasomeran). Additionally, a new finished product manufacturing site </w:t>
      </w:r>
      <w:r w:rsidR="0003136D" w:rsidRPr="00CC7D8B">
        <w:t>[information redacted]</w:t>
      </w:r>
      <w:r w:rsidRPr="00CC7D8B">
        <w:t xml:space="preserve"> is proposed to be registered with this </w:t>
      </w:r>
      <w:r w:rsidR="002E1875" w:rsidRPr="00CC7D8B">
        <w:t>submission</w:t>
      </w:r>
      <w:r w:rsidRPr="00CC7D8B">
        <w:t xml:space="preserve"> for the new strength (0.1 mg/mL</w:t>
      </w:r>
      <w:r w:rsidR="001B7AA2">
        <w:t xml:space="preserve">; </w:t>
      </w:r>
      <w:r w:rsidR="0019535F">
        <w:t>2.5 mL</w:t>
      </w:r>
      <w:r w:rsidRPr="00CC7D8B">
        <w:t xml:space="preserve"> vial</w:t>
      </w:r>
      <w:r w:rsidR="001B7AA2">
        <w:t>)</w:t>
      </w:r>
      <w:r w:rsidRPr="00CC7D8B">
        <w:t xml:space="preserve"> and the existing strength (0.2 mg/m</w:t>
      </w:r>
      <w:r w:rsidR="001B7AA2">
        <w:t>L; 5.0 mL</w:t>
      </w:r>
      <w:r w:rsidRPr="00CC7D8B">
        <w:t xml:space="preserve"> vial</w:t>
      </w:r>
      <w:r w:rsidR="001B7AA2">
        <w:t>)</w:t>
      </w:r>
      <w:r w:rsidRPr="00CC7D8B">
        <w:t>.</w:t>
      </w:r>
    </w:p>
    <w:p w14:paraId="561EB6AE" w14:textId="4FE37FE2" w:rsidR="002D0C8C" w:rsidRDefault="00491CF0" w:rsidP="00491CF0">
      <w:r w:rsidRPr="00CC7D8B">
        <w:t xml:space="preserve">The </w:t>
      </w:r>
      <w:r w:rsidR="001B7AA2">
        <w:t xml:space="preserve">active </w:t>
      </w:r>
      <w:r w:rsidRPr="00CC7D8B">
        <w:t>drug substance</w:t>
      </w:r>
      <w:r w:rsidR="001B7AA2">
        <w:t xml:space="preserve"> of the Spikevax vaccine is elasomeran (previously known by the compound name </w:t>
      </w:r>
      <w:r w:rsidRPr="00CC7D8B">
        <w:t>mRNA-1273</w:t>
      </w:r>
      <w:r w:rsidR="001B7AA2">
        <w:t>).</w:t>
      </w:r>
      <w:r w:rsidR="00480770">
        <w:t xml:space="preserve"> Elasomeran is a single strand of </w:t>
      </w:r>
      <w:r w:rsidR="00480770" w:rsidRPr="00480770">
        <w:t xml:space="preserve">nucleoside-modified mRNA encoding a </w:t>
      </w:r>
      <w:r w:rsidR="002D0C8C">
        <w:t xml:space="preserve">pre-fusion stabilised </w:t>
      </w:r>
      <w:r w:rsidR="00480770" w:rsidRPr="00480770">
        <w:t>spike protein of SARS-C</w:t>
      </w:r>
      <w:r w:rsidR="00480770">
        <w:t>oV-2</w:t>
      </w:r>
      <w:r w:rsidR="002D0C8C">
        <w:t xml:space="preserve"> encapsulated in lipid nanoparticles in a mRNA-lipid complex dispersion.</w:t>
      </w:r>
    </w:p>
    <w:p w14:paraId="7DFB9AFA" w14:textId="3EDDB889" w:rsidR="00491CF0" w:rsidRPr="00CC7D8B" w:rsidRDefault="00491CF0" w:rsidP="00491CF0">
      <w:r w:rsidRPr="00CC7D8B">
        <w:t xml:space="preserve">The physicochemical properties of </w:t>
      </w:r>
      <w:r w:rsidR="002D0C8C">
        <w:t>the elasomeran mRNA-</w:t>
      </w:r>
      <w:r w:rsidR="002D0C8C" w:rsidRPr="002D0C8C">
        <w:t>lipid complex dispersion</w:t>
      </w:r>
      <w:r w:rsidR="002D0C8C">
        <w:t xml:space="preserve"> and the Spikevax </w:t>
      </w:r>
      <w:r w:rsidRPr="00CC7D8B">
        <w:t>drug product solutions have previously been evaluated for the initial provisional registration of the 0.2 mg/mL strength. The sponsor has updated the data submitted to include the 0.1 mg/mL strength, which is acceptable.</w:t>
      </w:r>
    </w:p>
    <w:p w14:paraId="6112E551" w14:textId="39A3961F" w:rsidR="002D0C8C" w:rsidRDefault="00AC60A1" w:rsidP="00CD4AF9">
      <w:r w:rsidRPr="00CC7D8B">
        <w:t xml:space="preserve">Spikevax is supplied </w:t>
      </w:r>
      <w:r w:rsidR="002D0C8C">
        <w:t xml:space="preserve">as a ready-to-use solution, </w:t>
      </w:r>
      <w:r w:rsidRPr="00CC7D8B">
        <w:t>frozen at -50°C to -15°C</w:t>
      </w:r>
      <w:r w:rsidR="002D0C8C">
        <w:t>. O</w:t>
      </w:r>
      <w:r w:rsidRPr="00CC7D8B">
        <w:t>nce thawed</w:t>
      </w:r>
      <w:r w:rsidR="002D0C8C">
        <w:t>,</w:t>
      </w:r>
      <w:r w:rsidRPr="00CC7D8B">
        <w:t xml:space="preserve"> the vaccine should not be re-frozen</w:t>
      </w:r>
      <w:r w:rsidR="002D0C8C">
        <w:t>.</w:t>
      </w:r>
    </w:p>
    <w:p w14:paraId="34EEA170" w14:textId="766D9D29" w:rsidR="00AC60A1" w:rsidRPr="00CC7D8B" w:rsidRDefault="002D0C8C" w:rsidP="00CD4AF9">
      <w:r>
        <w:t>The previously approved and proposed pack presentations are as follows:</w:t>
      </w:r>
    </w:p>
    <w:p w14:paraId="41B424EC" w14:textId="0E5C9088" w:rsidR="00AC60A1" w:rsidRPr="00CC7D8B" w:rsidRDefault="00AC60A1" w:rsidP="00CD4AF9">
      <w:pPr>
        <w:pStyle w:val="ListBullet"/>
      </w:pPr>
      <w:r w:rsidRPr="00CC7D8B">
        <w:t xml:space="preserve">10 </w:t>
      </w:r>
      <w:r w:rsidR="00491CF0" w:rsidRPr="00CC7D8B">
        <w:t>x</w:t>
      </w:r>
      <w:r w:rsidRPr="00CC7D8B">
        <w:t xml:space="preserve"> 5 mL multi-dose vials (0.2 mg/mL strength</w:t>
      </w:r>
      <w:proofErr w:type="gramStart"/>
      <w:r w:rsidRPr="00CC7D8B">
        <w:t>);</w:t>
      </w:r>
      <w:proofErr w:type="gramEnd"/>
    </w:p>
    <w:p w14:paraId="36F94667" w14:textId="6F0222EC" w:rsidR="00AC60A1" w:rsidRPr="00CC7D8B" w:rsidRDefault="00AC60A1" w:rsidP="00CD4AF9">
      <w:pPr>
        <w:pStyle w:val="ListBullet"/>
      </w:pPr>
      <w:r w:rsidRPr="00CC7D8B">
        <w:t xml:space="preserve">10 </w:t>
      </w:r>
      <w:r w:rsidR="00491CF0" w:rsidRPr="00CC7D8B">
        <w:t>x</w:t>
      </w:r>
      <w:r w:rsidRPr="00CC7D8B">
        <w:t xml:space="preserve"> 2.5 mL multi-dose vials (0.1 mg/mL strength</w:t>
      </w:r>
      <w:proofErr w:type="gramStart"/>
      <w:r w:rsidRPr="00CC7D8B">
        <w:t>);</w:t>
      </w:r>
      <w:proofErr w:type="gramEnd"/>
    </w:p>
    <w:p w14:paraId="140EC100" w14:textId="398C7709" w:rsidR="00AC60A1" w:rsidRPr="00CC7D8B" w:rsidRDefault="00AC60A1" w:rsidP="00CD4AF9">
      <w:pPr>
        <w:pStyle w:val="ListBullet"/>
      </w:pPr>
      <w:r w:rsidRPr="00CC7D8B">
        <w:t xml:space="preserve">10 </w:t>
      </w:r>
      <w:r w:rsidR="00491CF0" w:rsidRPr="00CC7D8B">
        <w:t>pre-filled syringe</w:t>
      </w:r>
      <w:r w:rsidR="002D0C8C">
        <w:t>s (supplied as 5 packs of 2 pre-filled syringed)</w:t>
      </w:r>
      <w:r w:rsidRPr="00CC7D8B">
        <w:t xml:space="preserve"> (0.1 mg/mL strength).</w:t>
      </w:r>
    </w:p>
    <w:p w14:paraId="2576B825" w14:textId="42C4262F" w:rsidR="002D0C8C" w:rsidRDefault="00AC60A1" w:rsidP="005C5D5D">
      <w:r w:rsidRPr="00CC7D8B">
        <w:t xml:space="preserve">Based upon stability data submitted by the </w:t>
      </w:r>
      <w:r w:rsidR="00CD4AF9" w:rsidRPr="00CC7D8B">
        <w:t>s</w:t>
      </w:r>
      <w:r w:rsidRPr="00CC7D8B">
        <w:t>ponsor, the recommended shelf</w:t>
      </w:r>
      <w:r w:rsidR="00E32ABE">
        <w:t>-</w:t>
      </w:r>
      <w:r w:rsidRPr="00CC7D8B">
        <w:t xml:space="preserve">life and storage conditions for </w:t>
      </w:r>
      <w:r w:rsidR="00E32ABE">
        <w:t>elasomeran (</w:t>
      </w:r>
      <w:r w:rsidRPr="00CC7D8B">
        <w:t>drug substance</w:t>
      </w:r>
      <w:r w:rsidR="00E32ABE">
        <w:t>)</w:t>
      </w:r>
      <w:r w:rsidR="00491CF0" w:rsidRPr="00CC7D8B">
        <w:t xml:space="preserve"> are </w:t>
      </w:r>
      <w:r w:rsidRPr="00CC7D8B">
        <w:t>12</w:t>
      </w:r>
      <w:r w:rsidR="002D0C8C">
        <w:t xml:space="preserve"> </w:t>
      </w:r>
      <w:r w:rsidRPr="00CC7D8B">
        <w:t>months from the date of manufacture</w:t>
      </w:r>
      <w:r w:rsidR="00491CF0" w:rsidRPr="00CC7D8B">
        <w:t xml:space="preserve">, </w:t>
      </w:r>
      <w:r w:rsidR="002D0C8C">
        <w:t>and</w:t>
      </w:r>
      <w:r w:rsidR="00491CF0" w:rsidRPr="00CC7D8B">
        <w:t xml:space="preserve"> stored at -</w:t>
      </w:r>
      <w:r w:rsidRPr="00CC7D8B">
        <w:t>90°C to -60°C</w:t>
      </w:r>
      <w:r w:rsidR="00491CF0" w:rsidRPr="00CC7D8B">
        <w:t>.</w:t>
      </w:r>
    </w:p>
    <w:p w14:paraId="183BC59D" w14:textId="5CAFD9A5" w:rsidR="00AC60A1" w:rsidRPr="00CC7D8B" w:rsidRDefault="00CD4AF9" w:rsidP="00C14F80">
      <w:pPr>
        <w:rPr>
          <w:rFonts w:asciiTheme="minorHAnsi" w:eastAsia="Times New Roman" w:hAnsiTheme="minorHAnsi"/>
          <w:i/>
          <w:iCs/>
        </w:rPr>
      </w:pPr>
      <w:r w:rsidRPr="00CC7D8B">
        <w:rPr>
          <w:rFonts w:eastAsiaTheme="minorHAnsi"/>
        </w:rPr>
        <w:t>T</w:t>
      </w:r>
      <w:r w:rsidR="00AC60A1" w:rsidRPr="00CC7D8B">
        <w:rPr>
          <w:rFonts w:eastAsiaTheme="minorHAnsi"/>
        </w:rPr>
        <w:t>he recommended shelf</w:t>
      </w:r>
      <w:r w:rsidR="00E32ABE">
        <w:rPr>
          <w:rFonts w:eastAsiaTheme="minorHAnsi"/>
        </w:rPr>
        <w:t>-</w:t>
      </w:r>
      <w:r w:rsidR="00AC60A1" w:rsidRPr="00CC7D8B">
        <w:rPr>
          <w:rFonts w:eastAsiaTheme="minorHAnsi"/>
        </w:rPr>
        <w:t xml:space="preserve">life and storage conditions for the </w:t>
      </w:r>
      <w:r w:rsidR="00E32ABE">
        <w:rPr>
          <w:rFonts w:eastAsiaTheme="minorHAnsi"/>
        </w:rPr>
        <w:t xml:space="preserve">finalised </w:t>
      </w:r>
      <w:r w:rsidR="002D0C8C">
        <w:rPr>
          <w:rFonts w:eastAsiaTheme="minorHAnsi"/>
        </w:rPr>
        <w:t>Spikevax drug products are as follows:</w:t>
      </w:r>
    </w:p>
    <w:p w14:paraId="78063118" w14:textId="0EBD60B2" w:rsidR="00CD4AF9" w:rsidRPr="00CC7D8B" w:rsidRDefault="00C14F80" w:rsidP="00CD4AF9">
      <w:pPr>
        <w:pStyle w:val="ListBullet"/>
        <w:rPr>
          <w:rFonts w:eastAsiaTheme="minorHAnsi"/>
          <w:b/>
        </w:rPr>
      </w:pPr>
      <w:r w:rsidRPr="00CC7D8B">
        <w:rPr>
          <w:shd w:val="clear" w:color="auto" w:fill="FFFFFF"/>
        </w:rPr>
        <w:lastRenderedPageBreak/>
        <w:t xml:space="preserve">For the </w:t>
      </w:r>
      <w:r w:rsidR="00AC60A1" w:rsidRPr="00CC7D8B">
        <w:rPr>
          <w:shd w:val="clear" w:color="auto" w:fill="FFFFFF"/>
        </w:rPr>
        <w:t>0.</w:t>
      </w:r>
      <w:r w:rsidR="002D0C8C">
        <w:rPr>
          <w:shd w:val="clear" w:color="auto" w:fill="FFFFFF"/>
        </w:rPr>
        <w:t>1</w:t>
      </w:r>
      <w:r w:rsidR="00AC60A1" w:rsidRPr="00CC7D8B">
        <w:rPr>
          <w:shd w:val="clear" w:color="auto" w:fill="FFFFFF"/>
        </w:rPr>
        <w:t xml:space="preserve"> mg/mL </w:t>
      </w:r>
      <w:r w:rsidR="00CD4AF9" w:rsidRPr="00CC7D8B">
        <w:rPr>
          <w:shd w:val="clear" w:color="auto" w:fill="FFFFFF"/>
        </w:rPr>
        <w:t xml:space="preserve">and 0.2 mg/mL </w:t>
      </w:r>
      <w:r w:rsidR="00AC60A1" w:rsidRPr="00CC7D8B">
        <w:rPr>
          <w:shd w:val="clear" w:color="auto" w:fill="FFFFFF"/>
        </w:rPr>
        <w:t>suspension for injection vial</w:t>
      </w:r>
      <w:r w:rsidR="002D0C8C">
        <w:rPr>
          <w:shd w:val="clear" w:color="auto" w:fill="FFFFFF"/>
        </w:rPr>
        <w:t>s:</w:t>
      </w:r>
    </w:p>
    <w:p w14:paraId="7C8E97E0" w14:textId="37ED3128" w:rsidR="00AC60A1" w:rsidRPr="00CC7D8B" w:rsidRDefault="00E32ABE" w:rsidP="00CD4AF9">
      <w:pPr>
        <w:pStyle w:val="ListBullet2"/>
      </w:pPr>
      <w:r>
        <w:t>The recommended</w:t>
      </w:r>
      <w:r w:rsidR="002D0C8C">
        <w:t xml:space="preserve"> s</w:t>
      </w:r>
      <w:r w:rsidR="00AC60A1" w:rsidRPr="00CC7D8B">
        <w:t>helf</w:t>
      </w:r>
      <w:r w:rsidR="002D0C8C">
        <w:t>-</w:t>
      </w:r>
      <w:r w:rsidR="00AC60A1" w:rsidRPr="00CC7D8B">
        <w:t>life</w:t>
      </w:r>
      <w:r>
        <w:t xml:space="preserve"> is</w:t>
      </w:r>
      <w:r w:rsidR="00AC60A1" w:rsidRPr="00CC7D8B">
        <w:t xml:space="preserve"> 9 months</w:t>
      </w:r>
      <w:r>
        <w:t>.</w:t>
      </w:r>
    </w:p>
    <w:p w14:paraId="40500D23" w14:textId="6EA765EB" w:rsidR="00E32ABE" w:rsidRPr="005C5D5D" w:rsidRDefault="00686056" w:rsidP="005C5D5D">
      <w:pPr>
        <w:pStyle w:val="ListBullet2"/>
        <w:rPr>
          <w:bCs/>
        </w:rPr>
      </w:pPr>
      <w:r>
        <w:t>Storage conditions</w:t>
      </w:r>
      <w:r w:rsidR="00E32ABE">
        <w:t>:</w:t>
      </w:r>
    </w:p>
    <w:p w14:paraId="228C0BA2" w14:textId="21E4B681" w:rsidR="00E32ABE" w:rsidRPr="005C5D5D" w:rsidRDefault="00686056" w:rsidP="000B3C17">
      <w:pPr>
        <w:pStyle w:val="ListBullet3"/>
        <w:rPr>
          <w:bCs/>
        </w:rPr>
      </w:pPr>
      <w:r>
        <w:t>For long-term storage, s</w:t>
      </w:r>
      <w:r w:rsidR="00E32ABE">
        <w:t xml:space="preserve">tore at </w:t>
      </w:r>
      <w:r w:rsidR="00AC60A1" w:rsidRPr="00CC7D8B">
        <w:t>-50°C to -15°C</w:t>
      </w:r>
      <w:r>
        <w:t>.</w:t>
      </w:r>
    </w:p>
    <w:p w14:paraId="2125B829" w14:textId="14B9BCBB" w:rsidR="00E32ABE" w:rsidRDefault="00686056" w:rsidP="000B3C17">
      <w:pPr>
        <w:pStyle w:val="ListBullet3"/>
      </w:pPr>
      <w:r>
        <w:t>This may include storage</w:t>
      </w:r>
      <w:r w:rsidR="00E32ABE">
        <w:t xml:space="preserve"> </w:t>
      </w:r>
      <w:r>
        <w:t>(</w:t>
      </w:r>
      <w:r w:rsidR="00E32ABE">
        <w:t>as an unopened/</w:t>
      </w:r>
      <w:r>
        <w:t>un</w:t>
      </w:r>
      <w:r w:rsidR="00E32ABE">
        <w:t>punctured vial</w:t>
      </w:r>
      <w:r>
        <w:t>)</w:t>
      </w:r>
      <w:r w:rsidR="00E32ABE">
        <w:t xml:space="preserve"> for </w:t>
      </w:r>
      <w:r w:rsidR="00AC60A1" w:rsidRPr="00CC7D8B">
        <w:t xml:space="preserve">up to </w:t>
      </w:r>
      <w:r w:rsidR="00C14F80" w:rsidRPr="00CC7D8B">
        <w:t xml:space="preserve">one </w:t>
      </w:r>
      <w:r w:rsidR="00AC60A1" w:rsidRPr="00CC7D8B">
        <w:t>month (30</w:t>
      </w:r>
      <w:r>
        <w:t> </w:t>
      </w:r>
      <w:r w:rsidR="00AC60A1" w:rsidRPr="00CC7D8B">
        <w:t>days) at 2°C to 8°C at the point of care site.</w:t>
      </w:r>
    </w:p>
    <w:p w14:paraId="05656F6E" w14:textId="5C1F1C5B" w:rsidR="00AC60A1" w:rsidRPr="00CC7D8B" w:rsidRDefault="00686056" w:rsidP="000B3C17">
      <w:pPr>
        <w:pStyle w:val="ListBullet3"/>
      </w:pPr>
      <w:r>
        <w:t>Can be stored (as an unopened/unpunctured vial) for an additional in-use time of u</w:t>
      </w:r>
      <w:r w:rsidR="00AC60A1" w:rsidRPr="00CC7D8B">
        <w:t>p to 24 h</w:t>
      </w:r>
      <w:r w:rsidR="00C14F80" w:rsidRPr="00CC7D8B">
        <w:t>ours</w:t>
      </w:r>
      <w:r w:rsidR="00AC60A1" w:rsidRPr="00CC7D8B">
        <w:t xml:space="preserve"> at 8°C to 25°C on the day of dose administration.</w:t>
      </w:r>
    </w:p>
    <w:p w14:paraId="1F70769A" w14:textId="42D0DCE2" w:rsidR="00AC60A1" w:rsidRPr="00CC7D8B" w:rsidRDefault="00686056" w:rsidP="00CD4AF9">
      <w:pPr>
        <w:pStyle w:val="ListBullet2"/>
        <w:rPr>
          <w:bCs/>
        </w:rPr>
      </w:pPr>
      <w:r>
        <w:rPr>
          <w:bCs/>
        </w:rPr>
        <w:t xml:space="preserve">Important note: </w:t>
      </w:r>
      <w:r w:rsidR="00AC60A1" w:rsidRPr="00CC7D8B">
        <w:rPr>
          <w:bCs/>
        </w:rPr>
        <w:t>Once thawed, the vaccine should not be re-frozen.</w:t>
      </w:r>
    </w:p>
    <w:p w14:paraId="0151AB7B" w14:textId="6F6065DE" w:rsidR="00AC60A1" w:rsidRPr="00CC7D8B" w:rsidRDefault="00C14F80" w:rsidP="00CD4AF9">
      <w:pPr>
        <w:pStyle w:val="ListBullet"/>
      </w:pPr>
      <w:r w:rsidRPr="00CC7D8B">
        <w:rPr>
          <w:shd w:val="clear" w:color="auto" w:fill="FFFFFF"/>
        </w:rPr>
        <w:t xml:space="preserve">For the </w:t>
      </w:r>
      <w:r w:rsidR="00AC60A1" w:rsidRPr="00CC7D8B">
        <w:rPr>
          <w:shd w:val="clear" w:color="auto" w:fill="FFFFFF"/>
        </w:rPr>
        <w:t>0.1 mg/mL suspension for injection pre-filled syringe</w:t>
      </w:r>
      <w:r w:rsidR="00686056">
        <w:rPr>
          <w:shd w:val="clear" w:color="auto" w:fill="FFFFFF"/>
        </w:rPr>
        <w:t>:</w:t>
      </w:r>
    </w:p>
    <w:p w14:paraId="352C2CC8" w14:textId="2546F27D" w:rsidR="00AC60A1" w:rsidRPr="00CC7D8B" w:rsidRDefault="00686056" w:rsidP="00CD4AF9">
      <w:pPr>
        <w:pStyle w:val="ListBullet2"/>
      </w:pPr>
      <w:r>
        <w:t xml:space="preserve">The recommended shelf-life is </w:t>
      </w:r>
      <w:r w:rsidR="00AC60A1" w:rsidRPr="00CC7D8B">
        <w:t>9 months</w:t>
      </w:r>
      <w:r>
        <w:t>.</w:t>
      </w:r>
    </w:p>
    <w:p w14:paraId="6E7DDCEF" w14:textId="77777777" w:rsidR="00686056" w:rsidRPr="005C5D5D" w:rsidRDefault="00AC60A1" w:rsidP="00CD4AF9">
      <w:pPr>
        <w:pStyle w:val="ListBullet2"/>
        <w:rPr>
          <w:bCs/>
        </w:rPr>
      </w:pPr>
      <w:r w:rsidRPr="00CC7D8B">
        <w:t>Storage condition</w:t>
      </w:r>
      <w:r w:rsidR="00686056">
        <w:t>s</w:t>
      </w:r>
      <w:r w:rsidRPr="00CC7D8B">
        <w:t>:</w:t>
      </w:r>
    </w:p>
    <w:p w14:paraId="0348C172" w14:textId="07234C1A" w:rsidR="00686056" w:rsidRPr="007D1463" w:rsidRDefault="00686056" w:rsidP="00686056">
      <w:pPr>
        <w:pStyle w:val="ListBullet3"/>
        <w:rPr>
          <w:bCs/>
        </w:rPr>
      </w:pPr>
      <w:r>
        <w:t xml:space="preserve">For long-term storage, store at </w:t>
      </w:r>
      <w:r w:rsidRPr="00CC7D8B">
        <w:t>-50°C to -15°C</w:t>
      </w:r>
      <w:r>
        <w:t>.</w:t>
      </w:r>
    </w:p>
    <w:p w14:paraId="1931DCFA" w14:textId="4B20BC9B" w:rsidR="00686056" w:rsidRDefault="00686056" w:rsidP="00686056">
      <w:pPr>
        <w:pStyle w:val="ListBullet3"/>
      </w:pPr>
      <w:r>
        <w:t xml:space="preserve">This may include storage for </w:t>
      </w:r>
      <w:r w:rsidRPr="00CC7D8B">
        <w:t>up to one month (30 days) at 2°C to 8°C at the point of care site.</w:t>
      </w:r>
    </w:p>
    <w:p w14:paraId="28F71CE5" w14:textId="24B9EF07" w:rsidR="00686056" w:rsidRPr="00CC7D8B" w:rsidRDefault="00686056" w:rsidP="00686056">
      <w:pPr>
        <w:pStyle w:val="ListBullet3"/>
      </w:pPr>
      <w:r>
        <w:t>Can be stored for an in-use time of u</w:t>
      </w:r>
      <w:r w:rsidRPr="00CC7D8B">
        <w:t xml:space="preserve">p to 24 hours </w:t>
      </w:r>
      <w:r w:rsidR="000B3C17">
        <w:t xml:space="preserve">at </w:t>
      </w:r>
      <w:r w:rsidRPr="00CC7D8B">
        <w:t>8°C to 25°C on the day of dose administration.</w:t>
      </w:r>
    </w:p>
    <w:p w14:paraId="5C54EAB1" w14:textId="0E9ECAF1" w:rsidR="00686056" w:rsidRDefault="00686056" w:rsidP="000B3C17">
      <w:pPr>
        <w:pStyle w:val="ListBullet3"/>
      </w:pPr>
      <w:r w:rsidRPr="00CC7D8B">
        <w:t>The product should be thawed at 2°C to 8°C or alternatively at room temperature (15°C to 25°C) on the day of dose administration.</w:t>
      </w:r>
    </w:p>
    <w:p w14:paraId="7ABEB6BE" w14:textId="09D8B66C" w:rsidR="00AC60A1" w:rsidRPr="00CC7D8B" w:rsidRDefault="0052152B">
      <w:pPr>
        <w:pStyle w:val="ListBullet2"/>
      </w:pPr>
      <w:r>
        <w:t>Important note: Once thawed, the vaccine should note be refrozen.</w:t>
      </w:r>
    </w:p>
    <w:p w14:paraId="4B7474D6" w14:textId="3A52885B" w:rsidR="0052152B" w:rsidRDefault="0052152B" w:rsidP="007E3CEB">
      <w:pPr>
        <w:rPr>
          <w:lang w:val="en-GB"/>
        </w:rPr>
      </w:pPr>
      <w:r>
        <w:rPr>
          <w:lang w:val="en-GB"/>
        </w:rPr>
        <w:t xml:space="preserve">There are no significant issues identified from the quality evaluation of the submitted data that would indicate the products should not be provisionally registered </w:t>
      </w:r>
      <w:proofErr w:type="gramStart"/>
      <w:r>
        <w:rPr>
          <w:lang w:val="en-GB"/>
        </w:rPr>
        <w:t>on the basis of</w:t>
      </w:r>
      <w:proofErr w:type="gramEnd"/>
      <w:r>
        <w:rPr>
          <w:lang w:val="en-GB"/>
        </w:rPr>
        <w:t xml:space="preserve"> quality, or safety-related issues arising from the quality of the products. The manufacturing quality information submitted by the sponsor support the provisional registration of Spikevax.</w:t>
      </w:r>
    </w:p>
    <w:p w14:paraId="68EEB578" w14:textId="0ABDDAA2" w:rsidR="007E3CEB" w:rsidRDefault="0052152B" w:rsidP="00524DC2">
      <w:r w:rsidRPr="005C5D5D">
        <w:t>The s</w:t>
      </w:r>
      <w:r w:rsidRPr="007E3CEB">
        <w:t>ponsor has provide</w:t>
      </w:r>
      <w:r w:rsidR="00E35657">
        <w:t>d</w:t>
      </w:r>
      <w:r w:rsidRPr="007E3CEB">
        <w:t xml:space="preserve"> adequate information to ensure the products’ quality under the provisional registration.</w:t>
      </w:r>
      <w:r w:rsidRPr="005C5D5D">
        <w:t xml:space="preserve"> </w:t>
      </w:r>
      <w:r w:rsidRPr="0052152B">
        <w:t xml:space="preserve">It is recommended that the </w:t>
      </w:r>
      <w:r w:rsidR="00F14340">
        <w:t xml:space="preserve">Spikevax (elasomeran) 0.1 mg/mL suspension for injection (vial); and 0.1 mg/mL suspension for injection (pre-filled syringe) </w:t>
      </w:r>
      <w:r w:rsidRPr="0052152B">
        <w:t xml:space="preserve">products are suitable for provisional approval </w:t>
      </w:r>
      <w:proofErr w:type="gramStart"/>
      <w:r w:rsidRPr="0052152B">
        <w:t>with regard to</w:t>
      </w:r>
      <w:proofErr w:type="gramEnd"/>
      <w:r w:rsidRPr="0052152B">
        <w:t xml:space="preserve"> quality</w:t>
      </w:r>
      <w:r w:rsidR="007E3CEB">
        <w:t>.</w:t>
      </w:r>
    </w:p>
    <w:p w14:paraId="35A25D13" w14:textId="77777777" w:rsidR="008E7846" w:rsidRPr="00CC7D8B" w:rsidRDefault="008E7846" w:rsidP="008E7846">
      <w:pPr>
        <w:pStyle w:val="Heading3"/>
      </w:pPr>
      <w:bookmarkStart w:id="39" w:name="_Toc314842512"/>
      <w:bookmarkStart w:id="40" w:name="_Toc109817294"/>
      <w:r w:rsidRPr="00CC7D8B">
        <w:t>Nonclinical</w:t>
      </w:r>
      <w:bookmarkEnd w:id="39"/>
      <w:bookmarkEnd w:id="40"/>
    </w:p>
    <w:p w14:paraId="75BBA061" w14:textId="0D36FCFF" w:rsidR="0074163C" w:rsidRDefault="0074163C" w:rsidP="0074163C">
      <w:r w:rsidRPr="00CC7D8B">
        <w:t xml:space="preserve">A full nonclinical evaluation was conducted at the time this product received initial </w:t>
      </w:r>
      <w:r w:rsidR="00E35657">
        <w:t xml:space="preserve">provisional </w:t>
      </w:r>
      <w:r w:rsidRPr="00CC7D8B">
        <w:t>registration.</w:t>
      </w:r>
    </w:p>
    <w:p w14:paraId="6CE79AEA" w14:textId="769B3388" w:rsidR="00E35657" w:rsidRPr="00CC7D8B" w:rsidRDefault="00E35657" w:rsidP="0074163C">
      <w:r>
        <w:t>Further information on the nonclinical evaluation of Spikevax (elasomeran) can be found in the AusPAR for the relevant submission.</w:t>
      </w:r>
      <w:r w:rsidRPr="00E35657">
        <w:rPr>
          <w:vertAlign w:val="superscript"/>
        </w:rPr>
        <w:fldChar w:fldCharType="begin"/>
      </w:r>
      <w:r w:rsidRPr="00E35657">
        <w:rPr>
          <w:vertAlign w:val="superscript"/>
        </w:rPr>
        <w:instrText xml:space="preserve"> NOTEREF _Ref109644729 \h </w:instrText>
      </w:r>
      <w:r>
        <w:rPr>
          <w:vertAlign w:val="superscript"/>
        </w:rPr>
        <w:instrText xml:space="preserve"> \* MERGEFORMAT </w:instrText>
      </w:r>
      <w:r w:rsidRPr="00E35657">
        <w:rPr>
          <w:vertAlign w:val="superscript"/>
        </w:rPr>
      </w:r>
      <w:r w:rsidRPr="00E35657">
        <w:rPr>
          <w:vertAlign w:val="superscript"/>
        </w:rPr>
        <w:fldChar w:fldCharType="separate"/>
      </w:r>
      <w:r w:rsidR="00522240">
        <w:rPr>
          <w:vertAlign w:val="superscript"/>
        </w:rPr>
        <w:t>1</w:t>
      </w:r>
      <w:r w:rsidRPr="00E35657">
        <w:rPr>
          <w:vertAlign w:val="superscript"/>
        </w:rPr>
        <w:fldChar w:fldCharType="end"/>
      </w:r>
    </w:p>
    <w:p w14:paraId="3A04A9AB" w14:textId="77777777" w:rsidR="008E7846" w:rsidRPr="00CC7D8B" w:rsidRDefault="008E7846" w:rsidP="008E7846">
      <w:pPr>
        <w:pStyle w:val="Heading3"/>
      </w:pPr>
      <w:bookmarkStart w:id="41" w:name="_Toc247691530"/>
      <w:bookmarkStart w:id="42" w:name="_Toc314842513"/>
      <w:bookmarkStart w:id="43" w:name="_Toc109817295"/>
      <w:r w:rsidRPr="00CC7D8B">
        <w:t>Clinical</w:t>
      </w:r>
      <w:bookmarkEnd w:id="41"/>
      <w:bookmarkEnd w:id="42"/>
      <w:bookmarkEnd w:id="43"/>
    </w:p>
    <w:p w14:paraId="3FBE0103" w14:textId="77777777" w:rsidR="0074163C" w:rsidRPr="00CC7D8B" w:rsidRDefault="0074163C" w:rsidP="0074163C">
      <w:pPr>
        <w:pStyle w:val="Heading4"/>
      </w:pPr>
      <w:bookmarkStart w:id="44" w:name="_Toc98931928"/>
      <w:r w:rsidRPr="00CC7D8B">
        <w:t>Summary of clinical studies</w:t>
      </w:r>
      <w:bookmarkEnd w:id="44"/>
    </w:p>
    <w:p w14:paraId="77399732" w14:textId="77777777" w:rsidR="0074163C" w:rsidRPr="00CC7D8B" w:rsidRDefault="0074163C" w:rsidP="0074163C">
      <w:r w:rsidRPr="00CC7D8B">
        <w:t>The clinical dossier consisted of</w:t>
      </w:r>
      <w:r w:rsidR="00EB36D6" w:rsidRPr="00CC7D8B">
        <w:t>:</w:t>
      </w:r>
    </w:p>
    <w:p w14:paraId="25C38DB2" w14:textId="27765B7A" w:rsidR="00CD4AF9" w:rsidRPr="00CC7D8B" w:rsidRDefault="00B60731" w:rsidP="00CD4AF9">
      <w:pPr>
        <w:pStyle w:val="ListBullet"/>
      </w:pPr>
      <w:r>
        <w:t>O</w:t>
      </w:r>
      <w:r w:rsidR="00CD4AF9" w:rsidRPr="00CC7D8B">
        <w:t xml:space="preserve">ne </w:t>
      </w:r>
      <w:r w:rsidR="0074163C" w:rsidRPr="00CC7D8B">
        <w:t xml:space="preserve">Phase </w:t>
      </w:r>
      <w:r w:rsidR="00CD4AF9" w:rsidRPr="00CC7D8B">
        <w:t>II/III</w:t>
      </w:r>
      <w:r w:rsidR="0074163C" w:rsidRPr="00CC7D8B">
        <w:t xml:space="preserve"> </w:t>
      </w:r>
      <w:r w:rsidR="00CD4AF9" w:rsidRPr="00CC7D8B">
        <w:t>study: Study mRNA-1273-</w:t>
      </w:r>
      <w:r w:rsidR="00C14F80" w:rsidRPr="00CC7D8B">
        <w:t>P204</w:t>
      </w:r>
      <w:r w:rsidR="00CD4AF9" w:rsidRPr="00CC7D8B">
        <w:t xml:space="preserve"> (also known as Study </w:t>
      </w:r>
      <w:r w:rsidR="00C14F80" w:rsidRPr="00CC7D8B">
        <w:t>P204</w:t>
      </w:r>
      <w:r w:rsidR="00CD4AF9" w:rsidRPr="00CC7D8B">
        <w:t>).</w:t>
      </w:r>
    </w:p>
    <w:p w14:paraId="5DB51E76" w14:textId="1B4C87E4" w:rsidR="00B60731" w:rsidRDefault="00990FFE" w:rsidP="00E541C4">
      <w:r w:rsidRPr="00CC7D8B">
        <w:lastRenderedPageBreak/>
        <w:t xml:space="preserve">Study P204 </w:t>
      </w:r>
      <w:r w:rsidR="00CD4AF9" w:rsidRPr="00CC7D8B">
        <w:t xml:space="preserve">provided both efficacy and safety data in support of the proposed extension of </w:t>
      </w:r>
      <w:r w:rsidR="00B60731">
        <w:t>i</w:t>
      </w:r>
      <w:r w:rsidR="00CD4AF9" w:rsidRPr="00CC7D8B">
        <w:t xml:space="preserve">ndications, and the </w:t>
      </w:r>
      <w:r w:rsidR="00C14F80" w:rsidRPr="00CC7D8B">
        <w:t>clinical evaluator</w:t>
      </w:r>
      <w:r w:rsidR="00CD4AF9" w:rsidRPr="00CC7D8B">
        <w:t xml:space="preserve"> has considered these aspects of the data separately. </w:t>
      </w:r>
      <w:bookmarkStart w:id="45" w:name="_Toc314842514"/>
      <w:r w:rsidR="00E541C4" w:rsidRPr="00CC7D8B">
        <w:t xml:space="preserve">Since the proposed </w:t>
      </w:r>
      <w:r w:rsidRPr="00CC7D8B">
        <w:t>i</w:t>
      </w:r>
      <w:r w:rsidR="00E541C4" w:rsidRPr="00CC7D8B">
        <w:t>ndication for children 6</w:t>
      </w:r>
      <w:r w:rsidR="00D25559" w:rsidRPr="00CC7D8B">
        <w:t xml:space="preserve"> months</w:t>
      </w:r>
      <w:r w:rsidR="00E541C4" w:rsidRPr="00CC7D8B">
        <w:t xml:space="preserve"> to </w:t>
      </w:r>
      <w:r w:rsidR="00B60731">
        <w:t>less than</w:t>
      </w:r>
      <w:r w:rsidRPr="00CC7D8B">
        <w:t> </w:t>
      </w:r>
      <w:r w:rsidR="00E541C4" w:rsidRPr="00CC7D8B">
        <w:t xml:space="preserve">6 years of age includes two of the study strata, and enrolment in </w:t>
      </w:r>
      <w:r w:rsidR="009E2007" w:rsidRPr="00CC7D8B">
        <w:t>Part 2</w:t>
      </w:r>
      <w:r w:rsidR="00B60731">
        <w:t xml:space="preserve"> of this study</w:t>
      </w:r>
      <w:r w:rsidR="00E541C4" w:rsidRPr="00CC7D8B">
        <w:t xml:space="preserve"> is ongoing, the data currently presented is from patients in different arms of the study as of February 2022.</w:t>
      </w:r>
    </w:p>
    <w:p w14:paraId="479753B7" w14:textId="2D68AC32" w:rsidR="00E35657" w:rsidRDefault="00E541C4" w:rsidP="00E35657">
      <w:pPr>
        <w:rPr>
          <w:vertAlign w:val="superscript"/>
        </w:rPr>
      </w:pPr>
      <w:r w:rsidRPr="00CC7D8B">
        <w:t xml:space="preserve">Immunogenicity results in </w:t>
      </w:r>
      <w:r w:rsidR="00C14F80" w:rsidRPr="00CC7D8B">
        <w:t>Study P204</w:t>
      </w:r>
      <w:r w:rsidRPr="00CC7D8B">
        <w:t xml:space="preserve"> have been compared to </w:t>
      </w:r>
      <w:r w:rsidR="00990FFE" w:rsidRPr="00CC7D8B">
        <w:t xml:space="preserve">Study mRNA-1273-P301 (also known as </w:t>
      </w:r>
      <w:r w:rsidR="00C14F80" w:rsidRPr="00CC7D8B">
        <w:t>Study P301</w:t>
      </w:r>
      <w:r w:rsidR="00990FFE" w:rsidRPr="00CC7D8B">
        <w:t>)</w:t>
      </w:r>
      <w:r w:rsidRPr="00CC7D8B">
        <w:t>, which was a study in adults evaluated in the original registration of Spikevax.</w:t>
      </w:r>
      <w:r w:rsidR="00E35657" w:rsidRPr="00E35657">
        <w:rPr>
          <w:vertAlign w:val="superscript"/>
        </w:rPr>
        <w:t xml:space="preserve"> </w:t>
      </w:r>
      <w:r w:rsidR="00E35657" w:rsidRPr="00E35657">
        <w:rPr>
          <w:vertAlign w:val="superscript"/>
        </w:rPr>
        <w:fldChar w:fldCharType="begin"/>
      </w:r>
      <w:r w:rsidR="00E35657" w:rsidRPr="00E35657">
        <w:rPr>
          <w:vertAlign w:val="superscript"/>
        </w:rPr>
        <w:instrText xml:space="preserve"> NOTEREF _Ref109644729 \h </w:instrText>
      </w:r>
      <w:r w:rsidR="00E35657">
        <w:rPr>
          <w:vertAlign w:val="superscript"/>
        </w:rPr>
        <w:instrText xml:space="preserve"> \* MERGEFORMAT </w:instrText>
      </w:r>
      <w:r w:rsidR="00E35657" w:rsidRPr="00E35657">
        <w:rPr>
          <w:vertAlign w:val="superscript"/>
        </w:rPr>
      </w:r>
      <w:r w:rsidR="00E35657" w:rsidRPr="00E35657">
        <w:rPr>
          <w:vertAlign w:val="superscript"/>
        </w:rPr>
        <w:fldChar w:fldCharType="separate"/>
      </w:r>
      <w:r w:rsidR="00522240">
        <w:rPr>
          <w:vertAlign w:val="superscript"/>
        </w:rPr>
        <w:t>1</w:t>
      </w:r>
      <w:r w:rsidR="00E35657" w:rsidRPr="00E35657">
        <w:rPr>
          <w:vertAlign w:val="superscript"/>
        </w:rPr>
        <w:fldChar w:fldCharType="end"/>
      </w:r>
    </w:p>
    <w:p w14:paraId="57A2E3D2" w14:textId="7D0BC527" w:rsidR="00E541C4" w:rsidRPr="00CC7D8B" w:rsidRDefault="00E541C4" w:rsidP="00E35657">
      <w:pPr>
        <w:pStyle w:val="Heading4"/>
      </w:pPr>
      <w:r w:rsidRPr="00CC7D8B">
        <w:t>Efficacy</w:t>
      </w:r>
    </w:p>
    <w:p w14:paraId="1F0AD977" w14:textId="7104D747" w:rsidR="00E541C4" w:rsidRPr="00CC7D8B" w:rsidRDefault="00E541C4" w:rsidP="00CD4AF9">
      <w:pPr>
        <w:pStyle w:val="Heading5"/>
      </w:pPr>
      <w:r w:rsidRPr="00CC7D8B">
        <w:t xml:space="preserve">Study </w:t>
      </w:r>
      <w:r w:rsidR="00C14F80" w:rsidRPr="00CC7D8B">
        <w:t>P204</w:t>
      </w:r>
    </w:p>
    <w:p w14:paraId="7E456C77" w14:textId="77777777" w:rsidR="00E541C4" w:rsidRPr="00CC7D8B" w:rsidRDefault="00E541C4" w:rsidP="00CD4AF9">
      <w:pPr>
        <w:pStyle w:val="Heading6"/>
      </w:pPr>
      <w:r w:rsidRPr="00CC7D8B">
        <w:t>Methodology</w:t>
      </w:r>
    </w:p>
    <w:p w14:paraId="485F00F3" w14:textId="59870F7E" w:rsidR="00E541C4" w:rsidRPr="00CC7D8B" w:rsidRDefault="00E541C4" w:rsidP="00CD4AF9">
      <w:r w:rsidRPr="00CC7D8B">
        <w:t xml:space="preserve">Study 204 in an ongoing study that examined the immunogenicity and safety of Spikevax administered as a </w:t>
      </w:r>
      <w:proofErr w:type="gramStart"/>
      <w:r w:rsidR="004E4FD4" w:rsidRPr="00CC7D8B">
        <w:t>two</w:t>
      </w:r>
      <w:r w:rsidR="002C14FC">
        <w:t xml:space="preserve"> </w:t>
      </w:r>
      <w:r w:rsidR="004E4FD4" w:rsidRPr="00CC7D8B">
        <w:t>dose</w:t>
      </w:r>
      <w:proofErr w:type="gramEnd"/>
      <w:r w:rsidRPr="00CC7D8B">
        <w:t xml:space="preserve"> schedule at </w:t>
      </w:r>
      <w:r w:rsidR="00990FFE" w:rsidRPr="00CC7D8B">
        <w:t>D</w:t>
      </w:r>
      <w:r w:rsidR="00126FF9">
        <w:t>ays 0 and 28 ±</w:t>
      </w:r>
      <w:r w:rsidRPr="00CC7D8B">
        <w:t>7 days to children.</w:t>
      </w:r>
    </w:p>
    <w:p w14:paraId="7FB43D85" w14:textId="2866718C" w:rsidR="00E541C4" w:rsidRPr="00CC7D8B" w:rsidRDefault="00E541C4" w:rsidP="00CD4AF9">
      <w:r w:rsidRPr="00CC7D8B">
        <w:t>The enrolled subjects in three age cohorts: 6</w:t>
      </w:r>
      <w:r w:rsidR="00D25559" w:rsidRPr="00CC7D8B">
        <w:t xml:space="preserve"> to </w:t>
      </w:r>
      <w:r w:rsidRPr="00CC7D8B">
        <w:t>12 years</w:t>
      </w:r>
      <w:r w:rsidR="00B60731">
        <w:t xml:space="preserve"> of age;</w:t>
      </w:r>
      <w:r w:rsidRPr="00CC7D8B">
        <w:t xml:space="preserve"> 2</w:t>
      </w:r>
      <w:r w:rsidR="00D25559" w:rsidRPr="00CC7D8B">
        <w:t xml:space="preserve"> </w:t>
      </w:r>
      <w:r w:rsidR="00E35657">
        <w:t xml:space="preserve">years </w:t>
      </w:r>
      <w:r w:rsidR="00D25559" w:rsidRPr="00CC7D8B">
        <w:t xml:space="preserve">to </w:t>
      </w:r>
      <w:r w:rsidR="00B60731">
        <w:t>less than</w:t>
      </w:r>
      <w:r w:rsidR="00D25559" w:rsidRPr="00CC7D8B">
        <w:t xml:space="preserve"> </w:t>
      </w:r>
      <w:r w:rsidRPr="00CC7D8B">
        <w:t>6 years</w:t>
      </w:r>
      <w:r w:rsidR="00B60731">
        <w:t xml:space="preserve"> of age;</w:t>
      </w:r>
      <w:r w:rsidRPr="00CC7D8B">
        <w:t xml:space="preserve"> and 6</w:t>
      </w:r>
      <w:r w:rsidR="00D25559" w:rsidRPr="00CC7D8B">
        <w:t xml:space="preserve"> </w:t>
      </w:r>
      <w:r w:rsidRPr="00CC7D8B">
        <w:t xml:space="preserve">months to </w:t>
      </w:r>
      <w:r w:rsidR="00B60731">
        <w:t>less than</w:t>
      </w:r>
      <w:r w:rsidR="00C14F80" w:rsidRPr="00CC7D8B">
        <w:t> </w:t>
      </w:r>
      <w:r w:rsidRPr="00CC7D8B">
        <w:t xml:space="preserve">2 years of age. Of these, only </w:t>
      </w:r>
      <w:r w:rsidR="00B60731">
        <w:t>the c</w:t>
      </w:r>
      <w:r w:rsidRPr="00CC7D8B">
        <w:t xml:space="preserve">ohorts </w:t>
      </w:r>
      <w:r w:rsidR="00B60731">
        <w:t xml:space="preserve">of </w:t>
      </w:r>
      <w:r w:rsidR="00E35657">
        <w:t>children 6 </w:t>
      </w:r>
      <w:r w:rsidR="00A82644">
        <w:t xml:space="preserve">months </w:t>
      </w:r>
      <w:r w:rsidR="00990FFE" w:rsidRPr="00CC7D8B">
        <w:t xml:space="preserve">to </w:t>
      </w:r>
      <w:r w:rsidR="00B60731">
        <w:t xml:space="preserve">less than </w:t>
      </w:r>
      <w:r w:rsidR="00990FFE" w:rsidRPr="00CC7D8B">
        <w:t>2 years</w:t>
      </w:r>
      <w:r w:rsidR="00B60731">
        <w:t xml:space="preserve"> of age</w:t>
      </w:r>
      <w:r w:rsidR="00E35657">
        <w:t>;</w:t>
      </w:r>
      <w:r w:rsidR="00990FFE" w:rsidRPr="00CC7D8B">
        <w:t xml:space="preserve"> </w:t>
      </w:r>
      <w:r w:rsidRPr="00CC7D8B">
        <w:t xml:space="preserve">and </w:t>
      </w:r>
      <w:r w:rsidR="00990FFE" w:rsidRPr="00CC7D8B">
        <w:t xml:space="preserve">2 </w:t>
      </w:r>
      <w:r w:rsidR="00E35657">
        <w:t xml:space="preserve">years </w:t>
      </w:r>
      <w:r w:rsidR="00990FFE" w:rsidRPr="00CC7D8B">
        <w:t xml:space="preserve">to </w:t>
      </w:r>
      <w:r w:rsidR="00B60731">
        <w:t xml:space="preserve">less than </w:t>
      </w:r>
      <w:r w:rsidR="00990FFE" w:rsidRPr="00CC7D8B">
        <w:t xml:space="preserve">6 years </w:t>
      </w:r>
      <w:r w:rsidR="00B60731">
        <w:t xml:space="preserve">of age </w:t>
      </w:r>
      <w:r w:rsidRPr="00CC7D8B">
        <w:t xml:space="preserve">are relevant to these </w:t>
      </w:r>
      <w:r w:rsidR="002E1875" w:rsidRPr="00CC7D8B">
        <w:t>submissions</w:t>
      </w:r>
      <w:r w:rsidRPr="00CC7D8B">
        <w:t>.</w:t>
      </w:r>
    </w:p>
    <w:p w14:paraId="40A90FF4" w14:textId="77777777" w:rsidR="00E541C4" w:rsidRPr="00CC7D8B" w:rsidRDefault="00E541C4" w:rsidP="00CD4AF9">
      <w:r w:rsidRPr="00CC7D8B">
        <w:t>The study was conducted sequentially in three parts, and subjects were only enrolled once.</w:t>
      </w:r>
    </w:p>
    <w:p w14:paraId="30D5C834" w14:textId="22E8116F" w:rsidR="00E541C4" w:rsidRPr="00CC7D8B" w:rsidRDefault="00E541C4" w:rsidP="00CD4AF9">
      <w:pPr>
        <w:pStyle w:val="ListBullet"/>
      </w:pPr>
      <w:r w:rsidRPr="00CC7D8B">
        <w:t>Part 1 was an open</w:t>
      </w:r>
      <w:r w:rsidR="002C14FC">
        <w:t xml:space="preserve"> </w:t>
      </w:r>
      <w:r w:rsidRPr="00CC7D8B">
        <w:t>label dose</w:t>
      </w:r>
      <w:r w:rsidR="002C14FC">
        <w:t xml:space="preserve"> </w:t>
      </w:r>
      <w:r w:rsidRPr="00CC7D8B">
        <w:t xml:space="preserve">finding stage which included children who received </w:t>
      </w:r>
      <w:r w:rsidR="00B60731">
        <w:t>the Spikevax vaccine (</w:t>
      </w:r>
      <w:r w:rsidRPr="00CC7D8B">
        <w:t>25</w:t>
      </w:r>
      <w:r w:rsidR="00B60731">
        <w:t> </w:t>
      </w:r>
      <w:r w:rsidR="00B2461A" w:rsidRPr="00CC7D8B">
        <w:t xml:space="preserve">to </w:t>
      </w:r>
      <w:r w:rsidRPr="00CC7D8B">
        <w:t>100</w:t>
      </w:r>
      <w:r w:rsidR="00D25559" w:rsidRPr="00CC7D8B">
        <w:t> </w:t>
      </w:r>
      <w:r w:rsidRPr="00CC7D8B">
        <w:t xml:space="preserve">µg </w:t>
      </w:r>
      <w:r w:rsidR="00B60731">
        <w:t>elasomeran) in</w:t>
      </w:r>
      <w:r w:rsidRPr="00CC7D8B">
        <w:t xml:space="preserve"> a </w:t>
      </w:r>
      <w:proofErr w:type="gramStart"/>
      <w:r w:rsidRPr="00CC7D8B">
        <w:t>two dose</w:t>
      </w:r>
      <w:proofErr w:type="gramEnd"/>
      <w:r w:rsidRPr="00CC7D8B">
        <w:t xml:space="preserve"> schedule.</w:t>
      </w:r>
    </w:p>
    <w:p w14:paraId="146E2E16" w14:textId="3BF18BF1" w:rsidR="00E541C4" w:rsidRPr="00CC7D8B" w:rsidRDefault="00E541C4" w:rsidP="00CD4AF9">
      <w:pPr>
        <w:pStyle w:val="ListBullet"/>
      </w:pPr>
      <w:r w:rsidRPr="00CC7D8B">
        <w:t xml:space="preserve">Part 2 was a randomised, </w:t>
      </w:r>
      <w:proofErr w:type="gramStart"/>
      <w:r w:rsidRPr="00CC7D8B">
        <w:t>placebo</w:t>
      </w:r>
      <w:r w:rsidR="00B2461A" w:rsidRPr="00CC7D8B">
        <w:t xml:space="preserve"> </w:t>
      </w:r>
      <w:r w:rsidRPr="00CC7D8B">
        <w:t>controlled</w:t>
      </w:r>
      <w:proofErr w:type="gramEnd"/>
      <w:r w:rsidRPr="00CC7D8B">
        <w:t xml:space="preserve"> expansion stage that used the dose selected for each age cohort based on reactogenicity observed in </w:t>
      </w:r>
      <w:r w:rsidR="009E2007" w:rsidRPr="00CC7D8B">
        <w:t>Part 1</w:t>
      </w:r>
      <w:r w:rsidRPr="00CC7D8B">
        <w:t xml:space="preserve"> and included a large group of up to 3000 children in each age cohort.</w:t>
      </w:r>
    </w:p>
    <w:p w14:paraId="61EAC87F" w14:textId="2D6A2A58" w:rsidR="00E541C4" w:rsidRPr="00CC7D8B" w:rsidRDefault="00E541C4" w:rsidP="00CD4AF9">
      <w:pPr>
        <w:pStyle w:val="ListBullet"/>
      </w:pPr>
      <w:r w:rsidRPr="00CC7D8B">
        <w:t>Part 3 will be a study of a 25</w:t>
      </w:r>
      <w:r w:rsidR="00D25559" w:rsidRPr="00CC7D8B">
        <w:t> </w:t>
      </w:r>
      <w:r w:rsidRPr="00CC7D8B">
        <w:t>µg</w:t>
      </w:r>
      <w:r w:rsidR="00B60731">
        <w:t xml:space="preserve"> elasomeran,</w:t>
      </w:r>
      <w:r w:rsidRPr="00CC7D8B">
        <w:t xml:space="preserve"> three</w:t>
      </w:r>
      <w:r w:rsidR="00B60731">
        <w:t xml:space="preserve"> vaccine </w:t>
      </w:r>
      <w:r w:rsidRPr="00CC7D8B">
        <w:t>dose series in 300 children aged 6</w:t>
      </w:r>
      <w:r w:rsidR="00D25559" w:rsidRPr="00CC7D8B">
        <w:t xml:space="preserve"> to </w:t>
      </w:r>
      <w:r w:rsidRPr="00CC7D8B">
        <w:t>12 years of age.</w:t>
      </w:r>
    </w:p>
    <w:p w14:paraId="2C7AF4C2" w14:textId="43237481" w:rsidR="00367D36" w:rsidRPr="007B4EC2" w:rsidRDefault="00367D36" w:rsidP="007B4EC2">
      <w:pPr>
        <w:pStyle w:val="TableTitle"/>
      </w:pPr>
      <w:r w:rsidRPr="007B4EC2">
        <w:t xml:space="preserve">Table </w:t>
      </w:r>
      <w:fldSimple w:instr=" SEQ Table \* ARABIC ">
        <w:r w:rsidR="00522240">
          <w:rPr>
            <w:noProof/>
          </w:rPr>
          <w:t>3</w:t>
        </w:r>
      </w:fldSimple>
      <w:r w:rsidR="00E541C4" w:rsidRPr="007B4EC2">
        <w:t xml:space="preserve">: </w:t>
      </w:r>
      <w:r w:rsidRPr="007B4EC2">
        <w:t xml:space="preserve">Study P204 </w:t>
      </w:r>
      <w:r w:rsidR="00E541C4" w:rsidRPr="007B4EC2">
        <w:t xml:space="preserve">Enrolled subjects for analysis in </w:t>
      </w:r>
      <w:r w:rsidR="00B60731" w:rsidRPr="007B4EC2">
        <w:t xml:space="preserve">the cohort of children </w:t>
      </w:r>
      <w:r w:rsidR="00126FF9" w:rsidRPr="007B4EC2">
        <w:t>from 6 </w:t>
      </w:r>
      <w:r w:rsidR="00E541C4" w:rsidRPr="007B4EC2">
        <w:t xml:space="preserve">months to </w:t>
      </w:r>
      <w:r w:rsidR="00B60731" w:rsidRPr="007B4EC2">
        <w:t>less than</w:t>
      </w:r>
      <w:r w:rsidR="00205B1B" w:rsidRPr="007B4EC2">
        <w:t> </w:t>
      </w:r>
      <w:r w:rsidR="00E541C4" w:rsidRPr="007B4EC2">
        <w:t>6</w:t>
      </w:r>
      <w:r w:rsidR="00205B1B" w:rsidRPr="007B4EC2">
        <w:t> </w:t>
      </w:r>
      <w:r w:rsidR="00E541C4" w:rsidRPr="007B4EC2">
        <w:t>years of age</w:t>
      </w:r>
    </w:p>
    <w:p w14:paraId="15281A73" w14:textId="77CAB424" w:rsidR="00E541C4" w:rsidRPr="00CC7D8B" w:rsidRDefault="00367D36" w:rsidP="008326B1">
      <w:r w:rsidRPr="00CC7D8B">
        <w:rPr>
          <w:noProof/>
          <w:lang w:val="en-GB" w:eastAsia="en-GB"/>
        </w:rPr>
        <w:drawing>
          <wp:inline distT="0" distB="0" distL="0" distR="0" wp14:anchorId="34E5A23B" wp14:editId="6672162D">
            <wp:extent cx="5400040" cy="1139190"/>
            <wp:effectExtent l="0" t="0" r="0" b="3810"/>
            <wp:docPr id="4" name="Picture 4" descr="Table 3: Study P204 Enrolled subjects for analysis in the cohort of children from 6 months to less than 6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3: Study P204 Enrolled subjects for analysis in the cohort of children from 6 months to less than 6 years of age"/>
                    <pic:cNvPicPr/>
                  </pic:nvPicPr>
                  <pic:blipFill>
                    <a:blip r:embed="rId19"/>
                    <a:stretch>
                      <a:fillRect/>
                    </a:stretch>
                  </pic:blipFill>
                  <pic:spPr>
                    <a:xfrm>
                      <a:off x="0" y="0"/>
                      <a:ext cx="5400040" cy="1139190"/>
                    </a:xfrm>
                    <a:prstGeom prst="rect">
                      <a:avLst/>
                    </a:prstGeom>
                  </pic:spPr>
                </pic:pic>
              </a:graphicData>
            </a:graphic>
          </wp:inline>
        </w:drawing>
      </w:r>
    </w:p>
    <w:p w14:paraId="29D8C30C" w14:textId="12D80A02" w:rsidR="00367D36" w:rsidRPr="007B4EC2" w:rsidRDefault="00B60731" w:rsidP="007B4EC2">
      <w:pPr>
        <w:pStyle w:val="TableDescription"/>
      </w:pPr>
      <w:r w:rsidRPr="007B4EC2">
        <w:t xml:space="preserve">Abbreviations: </w:t>
      </w:r>
      <w:r w:rsidR="00367D36" w:rsidRPr="007B4EC2">
        <w:t xml:space="preserve">mRNA-1273 = </w:t>
      </w:r>
      <w:r w:rsidR="00675767" w:rsidRPr="007B4EC2">
        <w:t xml:space="preserve">Spikevax COVID-19 mRNA-1273 </w:t>
      </w:r>
      <w:r w:rsidR="004E4FD4" w:rsidRPr="007B4EC2">
        <w:t xml:space="preserve">(elasomeran) </w:t>
      </w:r>
      <w:r w:rsidR="00675767" w:rsidRPr="007B4EC2">
        <w:t xml:space="preserve">vaccine; </w:t>
      </w:r>
      <w:r w:rsidR="00367D36" w:rsidRPr="007B4EC2">
        <w:t>n = number of subjects in groups.</w:t>
      </w:r>
    </w:p>
    <w:p w14:paraId="5D5537F5" w14:textId="366DB580" w:rsidR="00367D36" w:rsidRPr="007B4EC2" w:rsidRDefault="00367D36" w:rsidP="007B4EC2">
      <w:pPr>
        <w:pStyle w:val="TableDescription"/>
      </w:pPr>
      <w:r w:rsidRPr="007B4EC2">
        <w:t>Completed and planned enrolment number shown.</w:t>
      </w:r>
    </w:p>
    <w:p w14:paraId="05F07757" w14:textId="56D1ED1E" w:rsidR="00E541C4" w:rsidRPr="00CC7D8B" w:rsidRDefault="00E541C4" w:rsidP="00CD4AF9">
      <w:r w:rsidRPr="00CC7D8B">
        <w:t>All subject</w:t>
      </w:r>
      <w:r w:rsidR="004E4FD4">
        <w:t>s</w:t>
      </w:r>
      <w:r w:rsidRPr="00CC7D8B">
        <w:t xml:space="preserve"> aged </w:t>
      </w:r>
      <w:r w:rsidR="004E4FD4">
        <w:t xml:space="preserve">between </w:t>
      </w:r>
      <w:r w:rsidRPr="00CC7D8B">
        <w:t xml:space="preserve">6 months to </w:t>
      </w:r>
      <w:r w:rsidR="004E4FD4">
        <w:t>less than</w:t>
      </w:r>
      <w:r w:rsidRPr="00CC7D8B">
        <w:t xml:space="preserve"> 2 years of age received 25</w:t>
      </w:r>
      <w:r w:rsidR="00D25559" w:rsidRPr="00CC7D8B">
        <w:t> </w:t>
      </w:r>
      <w:r w:rsidRPr="00CC7D8B">
        <w:t xml:space="preserve">µg of vaccine whether enrolled in in </w:t>
      </w:r>
      <w:r w:rsidR="009E2007" w:rsidRPr="00CC7D8B">
        <w:t>Part 1</w:t>
      </w:r>
      <w:r w:rsidRPr="00CC7D8B">
        <w:t xml:space="preserve"> or </w:t>
      </w:r>
      <w:r w:rsidR="009E2007" w:rsidRPr="00CC7D8B">
        <w:t>Part 2</w:t>
      </w:r>
      <w:r w:rsidRPr="00CC7D8B">
        <w:t xml:space="preserve"> of the study. Subjects aged </w:t>
      </w:r>
      <w:r w:rsidR="004E4FD4">
        <w:t xml:space="preserve">between </w:t>
      </w:r>
      <w:r w:rsidRPr="00CC7D8B">
        <w:t xml:space="preserve">2 years to </w:t>
      </w:r>
      <w:r w:rsidR="004E4FD4">
        <w:t>less than</w:t>
      </w:r>
      <w:r w:rsidR="00D25559" w:rsidRPr="00CC7D8B">
        <w:t xml:space="preserve"> </w:t>
      </w:r>
      <w:r w:rsidRPr="00CC7D8B">
        <w:t xml:space="preserve">6 years of age received </w:t>
      </w:r>
      <w:r w:rsidR="004E4FD4">
        <w:t xml:space="preserve">a dose of </w:t>
      </w:r>
      <w:r w:rsidRPr="00CC7D8B">
        <w:t>either 25</w:t>
      </w:r>
      <w:r w:rsidR="00D25559" w:rsidRPr="00CC7D8B">
        <w:t> </w:t>
      </w:r>
      <w:r w:rsidRPr="00CC7D8B">
        <w:t>µg</w:t>
      </w:r>
      <w:r w:rsidR="004E4FD4">
        <w:t xml:space="preserve"> elasomeran</w:t>
      </w:r>
      <w:r w:rsidRPr="00CC7D8B">
        <w:t xml:space="preserve"> (n</w:t>
      </w:r>
      <w:r w:rsidR="0044440C" w:rsidRPr="00CC7D8B">
        <w:t xml:space="preserve"> </w:t>
      </w:r>
      <w:r w:rsidRPr="00CC7D8B">
        <w:t>=</w:t>
      </w:r>
      <w:r w:rsidR="0044440C" w:rsidRPr="00CC7D8B">
        <w:t xml:space="preserve"> </w:t>
      </w:r>
      <w:r w:rsidRPr="00CC7D8B">
        <w:t>75) or 50</w:t>
      </w:r>
      <w:r w:rsidR="00D25559" w:rsidRPr="00CC7D8B">
        <w:t> </w:t>
      </w:r>
      <w:r w:rsidRPr="00CC7D8B">
        <w:t xml:space="preserve">µg </w:t>
      </w:r>
      <w:r w:rsidR="004E4FD4">
        <w:t xml:space="preserve">elasomeran </w:t>
      </w:r>
      <w:r w:rsidRPr="00CC7D8B">
        <w:t>(n</w:t>
      </w:r>
      <w:r w:rsidR="0044440C" w:rsidRPr="00CC7D8B">
        <w:t xml:space="preserve"> </w:t>
      </w:r>
      <w:r w:rsidRPr="00CC7D8B">
        <w:t>=</w:t>
      </w:r>
      <w:r w:rsidR="0044440C" w:rsidRPr="00CC7D8B">
        <w:t xml:space="preserve"> </w:t>
      </w:r>
      <w:r w:rsidRPr="00CC7D8B">
        <w:t xml:space="preserve">150) in </w:t>
      </w:r>
      <w:r w:rsidR="009E2007" w:rsidRPr="00CC7D8B">
        <w:t>Part 1</w:t>
      </w:r>
      <w:r w:rsidRPr="00CC7D8B">
        <w:t xml:space="preserve"> of the study, but those enrolled in </w:t>
      </w:r>
      <w:r w:rsidR="009E2007" w:rsidRPr="00CC7D8B">
        <w:t>Part 2</w:t>
      </w:r>
      <w:r w:rsidRPr="00CC7D8B">
        <w:t xml:space="preserve"> only received 25</w:t>
      </w:r>
      <w:r w:rsidR="00D25559" w:rsidRPr="00CC7D8B">
        <w:t> </w:t>
      </w:r>
      <w:r w:rsidRPr="00CC7D8B">
        <w:t>µg.</w:t>
      </w:r>
    </w:p>
    <w:p w14:paraId="751EE832" w14:textId="6C4EFE9A" w:rsidR="00E541C4" w:rsidRPr="00CC7D8B" w:rsidRDefault="00E541C4" w:rsidP="00CD4AF9">
      <w:r w:rsidRPr="00CC7D8B">
        <w:t xml:space="preserve">A total of 2350 </w:t>
      </w:r>
      <w:r w:rsidR="004E4FD4">
        <w:t>children</w:t>
      </w:r>
      <w:r w:rsidR="004E4FD4" w:rsidRPr="00CC7D8B">
        <w:t xml:space="preserve"> </w:t>
      </w:r>
      <w:r w:rsidRPr="00CC7D8B">
        <w:t xml:space="preserve">aged </w:t>
      </w:r>
      <w:r w:rsidR="004E4FD4">
        <w:t xml:space="preserve">between </w:t>
      </w:r>
      <w:r w:rsidRPr="00CC7D8B">
        <w:t xml:space="preserve">6 months to </w:t>
      </w:r>
      <w:r w:rsidR="004E4FD4">
        <w:t>less than</w:t>
      </w:r>
      <w:r w:rsidR="00C14F80" w:rsidRPr="00CC7D8B">
        <w:t> </w:t>
      </w:r>
      <w:r w:rsidRPr="00CC7D8B">
        <w:t xml:space="preserve">2 years were included in </w:t>
      </w:r>
      <w:r w:rsidR="009E2007" w:rsidRPr="00CC7D8B">
        <w:t>Part</w:t>
      </w:r>
      <w:r w:rsidR="004E4FD4">
        <w:t> </w:t>
      </w:r>
      <w:r w:rsidR="009E2007" w:rsidRPr="00CC7D8B">
        <w:t>2</w:t>
      </w:r>
      <w:r w:rsidRPr="00CC7D8B">
        <w:t xml:space="preserve"> of the study, of whom 1760 received</w:t>
      </w:r>
      <w:r w:rsidR="004E4FD4">
        <w:t xml:space="preserve"> Spikevax vaccine (a dose of</w:t>
      </w:r>
      <w:r w:rsidRPr="00CC7D8B">
        <w:t xml:space="preserve"> 25</w:t>
      </w:r>
      <w:r w:rsidR="00D25559" w:rsidRPr="00CC7D8B">
        <w:t> </w:t>
      </w:r>
      <w:r w:rsidRPr="00CC7D8B">
        <w:t xml:space="preserve">µg of </w:t>
      </w:r>
      <w:r w:rsidR="004E4FD4">
        <w:lastRenderedPageBreak/>
        <w:t>elasomeran)</w:t>
      </w:r>
      <w:r w:rsidR="004E4FD4" w:rsidRPr="00CC7D8B">
        <w:t xml:space="preserve"> </w:t>
      </w:r>
      <w:r w:rsidRPr="00CC7D8B">
        <w:t>and 590 received placebo. Of these, 302 subjects were included in the immunogenicity analysis.</w:t>
      </w:r>
    </w:p>
    <w:p w14:paraId="3DBEAAB8" w14:textId="6E3B21AE" w:rsidR="00E541C4" w:rsidRPr="00CC7D8B" w:rsidRDefault="00E541C4" w:rsidP="00CD4AF9">
      <w:r w:rsidRPr="00CC7D8B">
        <w:t xml:space="preserve">A total of 3930 </w:t>
      </w:r>
      <w:r w:rsidR="004E4FD4">
        <w:t>children</w:t>
      </w:r>
      <w:r w:rsidR="004E4FD4" w:rsidRPr="00CC7D8B">
        <w:t xml:space="preserve"> </w:t>
      </w:r>
      <w:r w:rsidRPr="00CC7D8B">
        <w:t xml:space="preserve">aged </w:t>
      </w:r>
      <w:r w:rsidR="004E4FD4">
        <w:t xml:space="preserve">between </w:t>
      </w:r>
      <w:r w:rsidRPr="00CC7D8B">
        <w:t xml:space="preserve">2 to </w:t>
      </w:r>
      <w:r w:rsidR="004E4FD4">
        <w:t>less than</w:t>
      </w:r>
      <w:r w:rsidR="00D25559" w:rsidRPr="00CC7D8B">
        <w:t xml:space="preserve"> </w:t>
      </w:r>
      <w:r w:rsidRPr="00CC7D8B">
        <w:t xml:space="preserve">6 years of age were included in </w:t>
      </w:r>
      <w:r w:rsidR="009E2007" w:rsidRPr="00CC7D8B">
        <w:t>Part 2</w:t>
      </w:r>
      <w:r w:rsidRPr="00CC7D8B">
        <w:t xml:space="preserve"> of the study, of whom 3040 received </w:t>
      </w:r>
      <w:r w:rsidR="004E4FD4">
        <w:t>the Spikevax vaccine (</w:t>
      </w:r>
      <w:r w:rsidRPr="00CC7D8B">
        <w:t>25</w:t>
      </w:r>
      <w:r w:rsidR="00D25559" w:rsidRPr="00CC7D8B">
        <w:t> </w:t>
      </w:r>
      <w:r w:rsidRPr="00CC7D8B">
        <w:t xml:space="preserve">µg </w:t>
      </w:r>
      <w:r w:rsidR="004E4FD4">
        <w:t xml:space="preserve">elasomeran) </w:t>
      </w:r>
      <w:r w:rsidRPr="00CC7D8B">
        <w:t>and 907</w:t>
      </w:r>
      <w:r w:rsidR="004E4FD4">
        <w:t> </w:t>
      </w:r>
      <w:r w:rsidRPr="00CC7D8B">
        <w:t>received placebo. Of these, 274 subjects were included in the immunogenicity analysis.</w:t>
      </w:r>
    </w:p>
    <w:p w14:paraId="56A825B1" w14:textId="2CEBE54F" w:rsidR="00E541C4" w:rsidRPr="00CC7D8B" w:rsidRDefault="00E541C4" w:rsidP="00CD4AF9">
      <w:r w:rsidRPr="00CC7D8B">
        <w:t>Included subjects were healthy children with no prior history of COVID</w:t>
      </w:r>
      <w:r w:rsidR="0044440C" w:rsidRPr="00CC7D8B">
        <w:t>-19</w:t>
      </w:r>
      <w:r w:rsidRPr="00CC7D8B">
        <w:t xml:space="preserve"> infection or exposure to other COVID</w:t>
      </w:r>
      <w:r w:rsidR="0044440C" w:rsidRPr="00CC7D8B">
        <w:t>-19</w:t>
      </w:r>
      <w:r w:rsidRPr="00CC7D8B">
        <w:t xml:space="preserve"> vaccines. Of note, children with a history of febrile convulsions were excluded from the study.</w:t>
      </w:r>
    </w:p>
    <w:p w14:paraId="0BBAD0C5" w14:textId="77777777" w:rsidR="00E541C4" w:rsidRPr="00CC7D8B" w:rsidRDefault="00E541C4" w:rsidP="00CD4AF9">
      <w:r w:rsidRPr="00CC7D8B">
        <w:t>The primary endpoints of the study were:</w:t>
      </w:r>
    </w:p>
    <w:p w14:paraId="18E7C466" w14:textId="15B15D8E" w:rsidR="00E541C4" w:rsidRPr="00CC7D8B" w:rsidRDefault="004E4FD4" w:rsidP="00CD4AF9">
      <w:pPr>
        <w:pStyle w:val="ListBullet"/>
      </w:pPr>
      <w:r>
        <w:t>t</w:t>
      </w:r>
      <w:r w:rsidR="00E541C4" w:rsidRPr="00CC7D8B">
        <w:t>o measure adverse events following vaccination</w:t>
      </w:r>
      <w:r>
        <w:t>; and</w:t>
      </w:r>
    </w:p>
    <w:p w14:paraId="0E6644B1" w14:textId="10ADB19E" w:rsidR="00E541C4" w:rsidRPr="00CC7D8B" w:rsidRDefault="004E4FD4" w:rsidP="00CD4AF9">
      <w:pPr>
        <w:pStyle w:val="ListBullet"/>
      </w:pPr>
      <w:r>
        <w:t>t</w:t>
      </w:r>
      <w:r w:rsidR="00E541C4" w:rsidRPr="00CC7D8B">
        <w:t xml:space="preserve">o assess immunogenicity at </w:t>
      </w:r>
      <w:r w:rsidR="00D25559" w:rsidRPr="00CC7D8B">
        <w:t xml:space="preserve">Day </w:t>
      </w:r>
      <w:r w:rsidR="00E541C4" w:rsidRPr="00CC7D8B">
        <w:t>57 following vaccination (</w:t>
      </w:r>
      <w:r>
        <w:t>more than</w:t>
      </w:r>
      <w:r w:rsidR="0044440C" w:rsidRPr="00CC7D8B">
        <w:t xml:space="preserve"> </w:t>
      </w:r>
      <w:r w:rsidR="00E541C4" w:rsidRPr="00CC7D8B">
        <w:t>28 days post</w:t>
      </w:r>
      <w:r>
        <w:noBreakHyphen/>
      </w:r>
      <w:r w:rsidR="00D25559" w:rsidRPr="00CC7D8B">
        <w:t>Dose 2</w:t>
      </w:r>
      <w:r w:rsidR="00E541C4" w:rsidRPr="00CC7D8B">
        <w:t>).</w:t>
      </w:r>
    </w:p>
    <w:p w14:paraId="0465E04B" w14:textId="193A2C59" w:rsidR="00E541C4" w:rsidRPr="00CC7D8B" w:rsidRDefault="00E541C4" w:rsidP="00CD4AF9">
      <w:r w:rsidRPr="00CC7D8B">
        <w:t xml:space="preserve">Vaccine </w:t>
      </w:r>
      <w:r w:rsidR="00D25559" w:rsidRPr="00CC7D8B">
        <w:t>efficacy</w:t>
      </w:r>
      <w:r w:rsidR="00A47938" w:rsidRPr="00CC7D8B">
        <w:t xml:space="preserve"> (VE)</w:t>
      </w:r>
      <w:r w:rsidRPr="00CC7D8B">
        <w:t xml:space="preserve"> against symptomatic COVID</w:t>
      </w:r>
      <w:r w:rsidR="0044440C" w:rsidRPr="00CC7D8B">
        <w:t>-19</w:t>
      </w:r>
      <w:r w:rsidRPr="00CC7D8B">
        <w:t xml:space="preserve"> was assessed as a secondary endpoint.</w:t>
      </w:r>
    </w:p>
    <w:p w14:paraId="535A543E" w14:textId="76703A52" w:rsidR="00E541C4" w:rsidRPr="00CC7D8B" w:rsidRDefault="00E541C4" w:rsidP="00CD4AF9">
      <w:r w:rsidRPr="00CC7D8B">
        <w:t xml:space="preserve">Analysis was provided separately for patients in both </w:t>
      </w:r>
      <w:r w:rsidR="0044440C" w:rsidRPr="00CC7D8B">
        <w:t>P</w:t>
      </w:r>
      <w:r w:rsidRPr="00CC7D8B">
        <w:t xml:space="preserve">arts 1 and 2, although enrolment for the younger cohort in </w:t>
      </w:r>
      <w:r w:rsidR="009E2007" w:rsidRPr="00CC7D8B">
        <w:t>Part 2</w:t>
      </w:r>
      <w:r w:rsidRPr="00CC7D8B">
        <w:t xml:space="preserve"> was not complete. There are, therefore, four immunogenicity analyses from </w:t>
      </w:r>
      <w:r w:rsidR="004E4FD4">
        <w:t>two</w:t>
      </w:r>
      <w:r w:rsidRPr="00CC7D8B">
        <w:t xml:space="preserve"> age cohorts in two parts of the study.</w:t>
      </w:r>
    </w:p>
    <w:p w14:paraId="06B22F14" w14:textId="3561682E" w:rsidR="00E541C4" w:rsidRPr="00CC7D8B" w:rsidRDefault="00E541C4" w:rsidP="00D25559">
      <w:r w:rsidRPr="00CC7D8B">
        <w:t xml:space="preserve">The </w:t>
      </w:r>
      <w:r w:rsidR="00C14F80" w:rsidRPr="00CC7D8B">
        <w:t xml:space="preserve">clinical </w:t>
      </w:r>
      <w:r w:rsidR="004E4FD4">
        <w:t xml:space="preserve">evaluation </w:t>
      </w:r>
      <w:r w:rsidRPr="00CC7D8B">
        <w:t xml:space="preserve">presented the data in two age groups, with </w:t>
      </w:r>
      <w:r w:rsidR="009E2007" w:rsidRPr="00CC7D8B">
        <w:t>Part 1</w:t>
      </w:r>
      <w:r w:rsidRPr="00CC7D8B">
        <w:t xml:space="preserve"> and </w:t>
      </w:r>
      <w:r w:rsidR="009E2007" w:rsidRPr="00CC7D8B">
        <w:t>Part</w:t>
      </w:r>
      <w:r w:rsidR="0044440C" w:rsidRPr="00CC7D8B">
        <w:t> </w:t>
      </w:r>
      <w:r w:rsidR="009E2007" w:rsidRPr="00CC7D8B">
        <w:t>2</w:t>
      </w:r>
      <w:r w:rsidRPr="00CC7D8B">
        <w:t xml:space="preserve"> results presented under each age </w:t>
      </w:r>
      <w:r w:rsidR="00D25559" w:rsidRPr="00CC7D8B">
        <w:t xml:space="preserve">groups (ages 2 to </w:t>
      </w:r>
      <w:r w:rsidR="004E4FD4">
        <w:t>less than</w:t>
      </w:r>
      <w:r w:rsidR="00D25559" w:rsidRPr="00CC7D8B">
        <w:t xml:space="preserve"> 6 years, and ages 6 months t</w:t>
      </w:r>
      <w:r w:rsidR="004E4FD4">
        <w:t xml:space="preserve">o less than </w:t>
      </w:r>
      <w:r w:rsidR="00D25559" w:rsidRPr="00CC7D8B">
        <w:t>2 years, respectively).</w:t>
      </w:r>
    </w:p>
    <w:p w14:paraId="26278193" w14:textId="02446F65" w:rsidR="00E541C4" w:rsidRPr="00CC7D8B" w:rsidRDefault="00E541C4" w:rsidP="00CD4AF9">
      <w:pPr>
        <w:pStyle w:val="Heading6"/>
      </w:pPr>
      <w:r w:rsidRPr="00CC7D8B">
        <w:t>Results</w:t>
      </w:r>
    </w:p>
    <w:p w14:paraId="35825E35" w14:textId="21F34AF1" w:rsidR="00CD4AF9" w:rsidRPr="003133DE" w:rsidRDefault="00367D36" w:rsidP="003133DE">
      <w:pPr>
        <w:pStyle w:val="TableTitle"/>
      </w:pPr>
      <w:r w:rsidRPr="003133DE">
        <w:t xml:space="preserve">Table </w:t>
      </w:r>
      <w:fldSimple w:instr=" SEQ Table \* ARABIC ">
        <w:r w:rsidR="00522240">
          <w:rPr>
            <w:noProof/>
          </w:rPr>
          <w:t>4</w:t>
        </w:r>
      </w:fldSimple>
      <w:r w:rsidR="00CD4AF9" w:rsidRPr="003133DE">
        <w:t>:</w:t>
      </w:r>
      <w:r w:rsidR="00205B1B" w:rsidRPr="003133DE">
        <w:t xml:space="preserve"> </w:t>
      </w:r>
      <w:r w:rsidRPr="003133DE">
        <w:t xml:space="preserve">Study P204 and P301 </w:t>
      </w:r>
      <w:r w:rsidR="00CD4AF9" w:rsidRPr="003133DE">
        <w:t xml:space="preserve">Comparative </w:t>
      </w:r>
      <w:r w:rsidR="00AC3115" w:rsidRPr="003133DE">
        <w:t xml:space="preserve">geometric mean titre </w:t>
      </w:r>
      <w:r w:rsidR="00CD4AF9" w:rsidRPr="003133DE">
        <w:t xml:space="preserve">in </w:t>
      </w:r>
      <w:r w:rsidR="004E4FD4" w:rsidRPr="003133DE">
        <w:t xml:space="preserve">children </w:t>
      </w:r>
      <w:r w:rsidR="00E35657" w:rsidRPr="003133DE">
        <w:t>from 2 </w:t>
      </w:r>
      <w:r w:rsidR="00CD4AF9" w:rsidRPr="003133DE">
        <w:t xml:space="preserve">to </w:t>
      </w:r>
      <w:r w:rsidR="004E4FD4" w:rsidRPr="003133DE">
        <w:t>less than</w:t>
      </w:r>
      <w:r w:rsidR="00AC3115" w:rsidRPr="003133DE">
        <w:t> </w:t>
      </w:r>
      <w:r w:rsidR="00CD4AF9" w:rsidRPr="003133DE">
        <w:t>6</w:t>
      </w:r>
      <w:r w:rsidR="00AC3115" w:rsidRPr="003133DE">
        <w:t> </w:t>
      </w:r>
      <w:r w:rsidR="00CD4AF9" w:rsidRPr="003133DE">
        <w:t xml:space="preserve">years of age </w:t>
      </w:r>
      <w:r w:rsidR="004E4FD4" w:rsidRPr="003133DE">
        <w:t>(</w:t>
      </w:r>
      <w:r w:rsidRPr="003133DE">
        <w:t xml:space="preserve">Study </w:t>
      </w:r>
      <w:r w:rsidR="00AC3115" w:rsidRPr="003133DE">
        <w:t>P</w:t>
      </w:r>
      <w:r w:rsidR="00CD4AF9" w:rsidRPr="003133DE">
        <w:t>204</w:t>
      </w:r>
      <w:r w:rsidR="004E4FD4" w:rsidRPr="003133DE">
        <w:t>, Part 2)</w:t>
      </w:r>
      <w:r w:rsidR="00CD4AF9" w:rsidRPr="003133DE">
        <w:t xml:space="preserve"> with </w:t>
      </w:r>
      <w:r w:rsidR="004E4FD4" w:rsidRPr="003133DE">
        <w:t xml:space="preserve">adults between </w:t>
      </w:r>
      <w:r w:rsidR="00CD4AF9" w:rsidRPr="003133DE">
        <w:t xml:space="preserve">18 to 25 years of age </w:t>
      </w:r>
      <w:r w:rsidR="004E4FD4" w:rsidRPr="003133DE">
        <w:t>(</w:t>
      </w:r>
      <w:r w:rsidRPr="003133DE">
        <w:t>S</w:t>
      </w:r>
      <w:r w:rsidR="00CD4AF9" w:rsidRPr="003133DE">
        <w:t>tudy</w:t>
      </w:r>
      <w:r w:rsidR="00AC3115" w:rsidRPr="003133DE">
        <w:t> </w:t>
      </w:r>
      <w:r w:rsidR="00675767" w:rsidRPr="003133DE">
        <w:t>P</w:t>
      </w:r>
      <w:r w:rsidR="00CD4AF9" w:rsidRPr="003133DE">
        <w:t>301</w:t>
      </w:r>
      <w:r w:rsidR="004E4FD4" w:rsidRPr="003133DE">
        <w:t>)</w:t>
      </w:r>
    </w:p>
    <w:p w14:paraId="173FE90C" w14:textId="299C880C" w:rsidR="00367D36" w:rsidRPr="00CC7D8B" w:rsidRDefault="00367D36" w:rsidP="008326B1">
      <w:r w:rsidRPr="00CC7D8B">
        <w:rPr>
          <w:noProof/>
          <w:lang w:val="en-GB" w:eastAsia="en-GB"/>
        </w:rPr>
        <w:drawing>
          <wp:inline distT="0" distB="0" distL="0" distR="0" wp14:anchorId="751BFEE9" wp14:editId="24A4C784">
            <wp:extent cx="5400040" cy="2067560"/>
            <wp:effectExtent l="0" t="0" r="0" b="8890"/>
            <wp:docPr id="11" name="Picture 11" descr="Table 4: Study P204 and P301 Comparative geometric mean titre in children from 2 to less than 6 years of age (Study P204, Part 2) with adults between 18 to 25 years of age (Study P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4: Study P204 and P301 Comparative geometric mean titre in children from 2 to less than 6 years of age (Study P204, Part 2) with adults between 18 to 25 years of age (Study P301)"/>
                    <pic:cNvPicPr/>
                  </pic:nvPicPr>
                  <pic:blipFill>
                    <a:blip r:embed="rId20"/>
                    <a:stretch>
                      <a:fillRect/>
                    </a:stretch>
                  </pic:blipFill>
                  <pic:spPr>
                    <a:xfrm>
                      <a:off x="0" y="0"/>
                      <a:ext cx="5400040" cy="2067560"/>
                    </a:xfrm>
                    <a:prstGeom prst="rect">
                      <a:avLst/>
                    </a:prstGeom>
                  </pic:spPr>
                </pic:pic>
              </a:graphicData>
            </a:graphic>
          </wp:inline>
        </w:drawing>
      </w:r>
    </w:p>
    <w:p w14:paraId="591D9C0E" w14:textId="75389EE1" w:rsidR="00AC3115" w:rsidRPr="00CC7D8B" w:rsidRDefault="004E4FD4" w:rsidP="008326B1">
      <w:pPr>
        <w:pStyle w:val="TableDescription"/>
      </w:pPr>
      <w:r>
        <w:t xml:space="preserve">Abbreviations: </w:t>
      </w:r>
      <w:r w:rsidR="00367D36" w:rsidRPr="00CC7D8B">
        <w:t xml:space="preserve">CI = confidence interval; GMFR = geometric mean fold rise; GMR = geometric mean ratio; GMT = geometric mean </w:t>
      </w:r>
      <w:r w:rsidR="00AC3115" w:rsidRPr="00CC7D8B">
        <w:t>titre</w:t>
      </w:r>
      <w:r w:rsidR="00367D36" w:rsidRPr="00CC7D8B">
        <w:t xml:space="preserve"> (noted as observed or model based, which is estimated by geometric least squares mean)</w:t>
      </w:r>
      <w:r w:rsidR="00AC3115" w:rsidRPr="00CC7D8B">
        <w:t xml:space="preserve">; </w:t>
      </w:r>
      <w:r w:rsidR="00675767" w:rsidRPr="00CC7D8B">
        <w:t xml:space="preserve">mRNA-1273 = Spikevax COVID-19 mRNA-1273 </w:t>
      </w:r>
      <w:r w:rsidR="002C14FC">
        <w:t xml:space="preserve">(elasomeran) </w:t>
      </w:r>
      <w:r w:rsidR="00675767" w:rsidRPr="00CC7D8B">
        <w:t xml:space="preserve">vaccine; </w:t>
      </w:r>
      <w:r w:rsidR="00AC3115" w:rsidRPr="00CC7D8B">
        <w:t>N = number of subjects; n = number of subjects in groups.</w:t>
      </w:r>
    </w:p>
    <w:p w14:paraId="30638EE8" w14:textId="5AE25B63" w:rsidR="00367D36" w:rsidRPr="00CC7D8B" w:rsidRDefault="00367D36" w:rsidP="008326B1">
      <w:pPr>
        <w:pStyle w:val="TableDescription"/>
      </w:pPr>
      <w:r w:rsidRPr="00CC7D8B">
        <w:t xml:space="preserve">Based on </w:t>
      </w:r>
      <w:r w:rsidR="00AC3115" w:rsidRPr="00CC7D8B">
        <w:t>pseudovirus neutrali</w:t>
      </w:r>
      <w:r w:rsidR="00C32995" w:rsidRPr="00CC7D8B">
        <w:t>s</w:t>
      </w:r>
      <w:r w:rsidR="00AC3115" w:rsidRPr="00CC7D8B">
        <w:t>ation assay (</w:t>
      </w:r>
      <w:proofErr w:type="spellStart"/>
      <w:r w:rsidRPr="00CC7D8B">
        <w:t>PsVNA</w:t>
      </w:r>
      <w:proofErr w:type="spellEnd"/>
      <w:r w:rsidR="00AC3115" w:rsidRPr="00CC7D8B">
        <w:t>)</w:t>
      </w:r>
      <w:r w:rsidRPr="00CC7D8B">
        <w:t xml:space="preserve"> by PPD vaccine (VAC62). Antibody values reported as below the </w:t>
      </w:r>
      <w:r w:rsidR="00AC3115" w:rsidRPr="00CC7D8B">
        <w:t>lower limit of quantification (</w:t>
      </w:r>
      <w:r w:rsidRPr="00CC7D8B">
        <w:t>LLOQ</w:t>
      </w:r>
      <w:r w:rsidR="00AC3115" w:rsidRPr="00CC7D8B">
        <w:t>)</w:t>
      </w:r>
      <w:r w:rsidRPr="00CC7D8B">
        <w:t xml:space="preserve"> are replaced by 0.5 </w:t>
      </w:r>
      <w:r w:rsidR="00AC3115" w:rsidRPr="00CC7D8B">
        <w:t>x</w:t>
      </w:r>
      <w:r w:rsidRPr="00CC7D8B">
        <w:t xml:space="preserve"> LLOQ. Values greater than </w:t>
      </w:r>
      <w:r w:rsidR="00AC3115" w:rsidRPr="00CC7D8B">
        <w:t>upper limit of quantification (</w:t>
      </w:r>
      <w:r w:rsidRPr="00CC7D8B">
        <w:t>ULOQ</w:t>
      </w:r>
      <w:r w:rsidR="00AC3115" w:rsidRPr="00CC7D8B">
        <w:t>)</w:t>
      </w:r>
      <w:r w:rsidRPr="00CC7D8B">
        <w:t xml:space="preserve"> are replaced by the ULOQ if actual values are not available.</w:t>
      </w:r>
    </w:p>
    <w:p w14:paraId="766E2A3A" w14:textId="7D2DD086" w:rsidR="00367D36" w:rsidRPr="00CC7D8B" w:rsidRDefault="00036695" w:rsidP="008326B1">
      <w:pPr>
        <w:pStyle w:val="TableDescription"/>
      </w:pPr>
      <w:r w:rsidRPr="00CC7D8B">
        <w:t xml:space="preserve">Study </w:t>
      </w:r>
      <w:r w:rsidR="00367D36" w:rsidRPr="00CC7D8B">
        <w:t>P301 mRNA-1273 group includes young adults (18 to 25 years of age).</w:t>
      </w:r>
    </w:p>
    <w:p w14:paraId="50A8C2CC" w14:textId="5B72E823" w:rsidR="00367D36" w:rsidRPr="00CC7D8B" w:rsidRDefault="00367D36" w:rsidP="008326B1">
      <w:pPr>
        <w:pStyle w:val="TableDescription"/>
      </w:pPr>
      <w:r w:rsidRPr="00CC7D8B">
        <w:t>a 95% CI is calculated based on the t-distribution of the log</w:t>
      </w:r>
      <w:r w:rsidR="00036695" w:rsidRPr="00CC7D8B">
        <w:t xml:space="preserve"> </w:t>
      </w:r>
      <w:r w:rsidRPr="00CC7D8B">
        <w:t>transformed values or the difference in the log</w:t>
      </w:r>
      <w:r w:rsidR="00036695" w:rsidRPr="00CC7D8B">
        <w:t xml:space="preserve"> </w:t>
      </w:r>
      <w:r w:rsidRPr="00CC7D8B">
        <w:t>transformed values for GMT and GMFR, respectively, then back</w:t>
      </w:r>
      <w:r w:rsidR="00036695" w:rsidRPr="00CC7D8B">
        <w:t xml:space="preserve"> </w:t>
      </w:r>
      <w:r w:rsidRPr="00CC7D8B">
        <w:t>transformed to the original scale for presentation.</w:t>
      </w:r>
    </w:p>
    <w:p w14:paraId="5BDF8480" w14:textId="5A01820D" w:rsidR="00367D36" w:rsidRPr="00CC7D8B" w:rsidRDefault="00367D36" w:rsidP="008326B1">
      <w:pPr>
        <w:pStyle w:val="TableDescription"/>
      </w:pPr>
      <w:r w:rsidRPr="00CC7D8B">
        <w:lastRenderedPageBreak/>
        <w:t xml:space="preserve">b </w:t>
      </w:r>
      <w:proofErr w:type="gramStart"/>
      <w:r w:rsidRPr="00CC7D8B">
        <w:t>The</w:t>
      </w:r>
      <w:proofErr w:type="gramEnd"/>
      <w:r w:rsidRPr="00CC7D8B">
        <w:t xml:space="preserve"> log</w:t>
      </w:r>
      <w:r w:rsidR="00036695" w:rsidRPr="00CC7D8B">
        <w:t xml:space="preserve"> </w:t>
      </w:r>
      <w:r w:rsidRPr="00CC7D8B">
        <w:t>transformed antibody levels are analy</w:t>
      </w:r>
      <w:r w:rsidR="00AC3115" w:rsidRPr="00CC7D8B">
        <w:t>s</w:t>
      </w:r>
      <w:r w:rsidRPr="00CC7D8B">
        <w:t xml:space="preserve">ed using an </w:t>
      </w:r>
      <w:r w:rsidR="00AC3115" w:rsidRPr="00CC7D8B">
        <w:t>analysis of covariance (</w:t>
      </w:r>
      <w:r w:rsidRPr="00CC7D8B">
        <w:t>ANCOVA</w:t>
      </w:r>
      <w:r w:rsidR="00AC3115" w:rsidRPr="00CC7D8B">
        <w:t>)</w:t>
      </w:r>
      <w:r w:rsidRPr="00CC7D8B">
        <w:t xml:space="preserve"> model with the group variable (children in </w:t>
      </w:r>
      <w:r w:rsidR="00036695" w:rsidRPr="00CC7D8B">
        <w:t xml:space="preserve">Study </w:t>
      </w:r>
      <w:r w:rsidRPr="00CC7D8B">
        <w:t xml:space="preserve">P204 Part 2 and young adults in </w:t>
      </w:r>
      <w:r w:rsidR="00036695" w:rsidRPr="00CC7D8B">
        <w:t xml:space="preserve">Study </w:t>
      </w:r>
      <w:r w:rsidRPr="00CC7D8B">
        <w:t xml:space="preserve">P301) as fixed effect. The resulted </w:t>
      </w:r>
      <w:r w:rsidR="00AC3115" w:rsidRPr="00CC7D8B">
        <w:t>least squares (</w:t>
      </w:r>
      <w:r w:rsidRPr="00CC7D8B">
        <w:t>LS</w:t>
      </w:r>
      <w:r w:rsidR="00AC3115" w:rsidRPr="00CC7D8B">
        <w:t>)</w:t>
      </w:r>
      <w:r w:rsidRPr="00CC7D8B">
        <w:t xml:space="preserve"> </w:t>
      </w:r>
      <w:proofErr w:type="gramStart"/>
      <w:r w:rsidRPr="00CC7D8B">
        <w:t>means</w:t>
      </w:r>
      <w:proofErr w:type="gramEnd"/>
      <w:r w:rsidRPr="00CC7D8B">
        <w:t>, difference of LS means, and 95% CI are back</w:t>
      </w:r>
      <w:r w:rsidR="00036695" w:rsidRPr="00CC7D8B">
        <w:t xml:space="preserve"> </w:t>
      </w:r>
      <w:r w:rsidRPr="00CC7D8B">
        <w:t>transformed to the original scale for presentation.</w:t>
      </w:r>
    </w:p>
    <w:p w14:paraId="7A5C9A3A" w14:textId="188211E0" w:rsidR="00367D36" w:rsidRPr="00CC7D8B" w:rsidRDefault="00367D36" w:rsidP="008326B1">
      <w:pPr>
        <w:pStyle w:val="TableDescription"/>
      </w:pPr>
      <w:r w:rsidRPr="00CC7D8B">
        <w:t>c Seroresponse at a participant level is defined as a change from below the LLOQ to equal or above 4</w:t>
      </w:r>
      <w:r w:rsidR="004E4FD4">
        <w:t> </w:t>
      </w:r>
      <w:r w:rsidR="00036695" w:rsidRPr="00CC7D8B">
        <w:t>x</w:t>
      </w:r>
      <w:r w:rsidR="004E4FD4">
        <w:t> </w:t>
      </w:r>
      <w:r w:rsidRPr="00CC7D8B">
        <w:t xml:space="preserve">LLOQ, or at least a 4-fold rise if </w:t>
      </w:r>
      <w:r w:rsidR="00C32995" w:rsidRPr="00CC7D8B">
        <w:t>Baseline</w:t>
      </w:r>
      <w:r w:rsidRPr="00CC7D8B">
        <w:t xml:space="preserve"> is equal to or above the LLOQ. Percentages are based on the number of participants with non-missing data at </w:t>
      </w:r>
      <w:r w:rsidR="00C32995" w:rsidRPr="00CC7D8B">
        <w:t>Baseline</w:t>
      </w:r>
      <w:r w:rsidRPr="00CC7D8B">
        <w:t xml:space="preserve"> and the corresponding timepoint.</w:t>
      </w:r>
    </w:p>
    <w:p w14:paraId="4D9589CC" w14:textId="77777777" w:rsidR="00367D36" w:rsidRPr="00CC7D8B" w:rsidRDefault="00367D36" w:rsidP="008326B1">
      <w:pPr>
        <w:pStyle w:val="TableDescription"/>
      </w:pPr>
      <w:r w:rsidRPr="00CC7D8B">
        <w:t>d 95% CI is calculated using the Clopper-Pearson method.</w:t>
      </w:r>
    </w:p>
    <w:p w14:paraId="54A2A2F7" w14:textId="7CD43225" w:rsidR="00E541C4" w:rsidRPr="00CC7D8B" w:rsidRDefault="00367D36" w:rsidP="008326B1">
      <w:pPr>
        <w:pStyle w:val="TableDescription"/>
      </w:pPr>
      <w:r w:rsidRPr="00CC7D8B">
        <w:t>e 95% CI is calculated using the Miettinen-</w:t>
      </w:r>
      <w:proofErr w:type="spellStart"/>
      <w:r w:rsidRPr="00CC7D8B">
        <w:t>Nurminen</w:t>
      </w:r>
      <w:proofErr w:type="spellEnd"/>
      <w:r w:rsidRPr="00CC7D8B">
        <w:t xml:space="preserve"> (score) confidence limits.</w:t>
      </w:r>
    </w:p>
    <w:p w14:paraId="4A33215A" w14:textId="19930CD8" w:rsidR="00E541C4" w:rsidRPr="00CC7D8B" w:rsidRDefault="004E4FD4" w:rsidP="00CD4AF9">
      <w:r>
        <w:t>The c</w:t>
      </w:r>
      <w:r w:rsidR="00E541C4" w:rsidRPr="00CC7D8B">
        <w:t xml:space="preserve">omparison of the </w:t>
      </w:r>
      <w:r w:rsidR="00A47938" w:rsidRPr="00CC7D8B">
        <w:t>geometric mean titre (</w:t>
      </w:r>
      <w:r w:rsidR="00E541C4" w:rsidRPr="00CC7D8B">
        <w:t>GMT</w:t>
      </w:r>
      <w:r w:rsidR="00A47938" w:rsidRPr="00CC7D8B">
        <w:t>)</w:t>
      </w:r>
      <w:r w:rsidR="00E541C4" w:rsidRPr="00CC7D8B">
        <w:t xml:space="preserve"> of antibody levels assessed at </w:t>
      </w:r>
      <w:r w:rsidR="00D25559" w:rsidRPr="00CC7D8B">
        <w:t xml:space="preserve">Day </w:t>
      </w:r>
      <w:r w:rsidR="00E541C4" w:rsidRPr="00CC7D8B">
        <w:t>57 post</w:t>
      </w:r>
      <w:r w:rsidR="00D25559" w:rsidRPr="00CC7D8B">
        <w:t>-D</w:t>
      </w:r>
      <w:r w:rsidR="00E541C4" w:rsidRPr="00CC7D8B">
        <w:t>ose</w:t>
      </w:r>
      <w:r w:rsidR="00D25559" w:rsidRPr="00CC7D8B">
        <w:t xml:space="preserve"> </w:t>
      </w:r>
      <w:r w:rsidR="00E541C4" w:rsidRPr="00CC7D8B">
        <w:t xml:space="preserve">1 of vaccination in </w:t>
      </w:r>
      <w:r>
        <w:t>children between</w:t>
      </w:r>
      <w:r w:rsidRPr="00CC7D8B">
        <w:t xml:space="preserve"> </w:t>
      </w:r>
      <w:r w:rsidR="00E541C4" w:rsidRPr="00CC7D8B">
        <w:t>2</w:t>
      </w:r>
      <w:r w:rsidR="00D25559" w:rsidRPr="00CC7D8B">
        <w:t xml:space="preserve"> to </w:t>
      </w:r>
      <w:r w:rsidR="00E541C4" w:rsidRPr="00CC7D8B">
        <w:t>6 years of age with those in adults 18</w:t>
      </w:r>
      <w:r>
        <w:t> </w:t>
      </w:r>
      <w:r w:rsidR="00D25559" w:rsidRPr="00CC7D8B">
        <w:t xml:space="preserve">to </w:t>
      </w:r>
      <w:r w:rsidR="00E541C4" w:rsidRPr="00CC7D8B">
        <w:t xml:space="preserve">25 years of age found equivalence using the pre-specified criteria of </w:t>
      </w:r>
      <w:r w:rsidR="00A47938" w:rsidRPr="00CC7D8B">
        <w:t>geometric mean ratio (</w:t>
      </w:r>
      <w:r w:rsidR="00E541C4" w:rsidRPr="00CC7D8B">
        <w:t>GMR</w:t>
      </w:r>
      <w:r w:rsidR="00A47938" w:rsidRPr="00CC7D8B">
        <w:t>)</w:t>
      </w:r>
      <w:r w:rsidR="00E541C4" w:rsidRPr="00CC7D8B">
        <w:t xml:space="preserve"> point estimate of &gt;</w:t>
      </w:r>
      <w:r w:rsidR="0044440C" w:rsidRPr="00CC7D8B">
        <w:t xml:space="preserve"> </w:t>
      </w:r>
      <w:r w:rsidR="00E541C4" w:rsidRPr="00CC7D8B">
        <w:t xml:space="preserve">0.8 with a lower bound to the 95% confidence interval </w:t>
      </w:r>
      <w:r w:rsidR="00FD5408" w:rsidRPr="00CC7D8B">
        <w:t xml:space="preserve">(CI) </w:t>
      </w:r>
      <w:r w:rsidR="00E541C4" w:rsidRPr="00CC7D8B">
        <w:t>of 0.67.</w:t>
      </w:r>
    </w:p>
    <w:p w14:paraId="652E36C3" w14:textId="4AB6967B" w:rsidR="00CD4AF9" w:rsidRPr="00CC7D8B" w:rsidRDefault="00AC3115" w:rsidP="008326B1">
      <w:pPr>
        <w:pStyle w:val="TableTitle"/>
      </w:pPr>
      <w:r w:rsidRPr="00CC7D8B">
        <w:t xml:space="preserve">Table </w:t>
      </w:r>
      <w:fldSimple w:instr=" SEQ Table \* ARABIC ">
        <w:r w:rsidR="00522240">
          <w:rPr>
            <w:noProof/>
          </w:rPr>
          <w:t>5</w:t>
        </w:r>
      </w:fldSimple>
      <w:r w:rsidR="00CD4AF9" w:rsidRPr="00CC7D8B">
        <w:t>:</w:t>
      </w:r>
      <w:r w:rsidR="00205B1B" w:rsidRPr="00CC7D8B">
        <w:t xml:space="preserve"> Study P204 and P301 </w:t>
      </w:r>
      <w:r w:rsidR="00CD4AF9" w:rsidRPr="00CC7D8B">
        <w:t xml:space="preserve">Comparative </w:t>
      </w:r>
      <w:r w:rsidR="00675767" w:rsidRPr="00CC7D8B">
        <w:t xml:space="preserve">geometric mean titre </w:t>
      </w:r>
      <w:r w:rsidR="00CD4AF9" w:rsidRPr="00CC7D8B">
        <w:t xml:space="preserve">in </w:t>
      </w:r>
      <w:r w:rsidR="004E4FD4">
        <w:t xml:space="preserve">children </w:t>
      </w:r>
      <w:r w:rsidR="00E35657">
        <w:t>from</w:t>
      </w:r>
      <w:r w:rsidR="004E4FD4" w:rsidRPr="00CC7D8B">
        <w:t xml:space="preserve"> </w:t>
      </w:r>
      <w:r w:rsidR="00CD4AF9" w:rsidRPr="00CC7D8B">
        <w:t>6</w:t>
      </w:r>
      <w:r w:rsidR="00675767" w:rsidRPr="00CC7D8B">
        <w:t> </w:t>
      </w:r>
      <w:r w:rsidR="00CD4AF9" w:rsidRPr="00CC7D8B">
        <w:t xml:space="preserve">months to </w:t>
      </w:r>
      <w:r w:rsidR="004E4FD4">
        <w:t xml:space="preserve">less than </w:t>
      </w:r>
      <w:r w:rsidR="00CD4AF9" w:rsidRPr="00CC7D8B">
        <w:t xml:space="preserve">2 years of age </w:t>
      </w:r>
      <w:r w:rsidR="004E4FD4">
        <w:t>(</w:t>
      </w:r>
      <w:r w:rsidR="00675767" w:rsidRPr="00CC7D8B">
        <w:t>Study P</w:t>
      </w:r>
      <w:r w:rsidR="00CD4AF9" w:rsidRPr="00CC7D8B">
        <w:t>204</w:t>
      </w:r>
      <w:r w:rsidR="004E4FD4">
        <w:t>, Part 2)</w:t>
      </w:r>
      <w:r w:rsidR="00CD4AF9" w:rsidRPr="00CC7D8B">
        <w:t xml:space="preserve"> with </w:t>
      </w:r>
      <w:r w:rsidR="004E4FD4">
        <w:t>adults</w:t>
      </w:r>
      <w:r w:rsidR="004E4FD4" w:rsidRPr="00CC7D8B">
        <w:t xml:space="preserve"> </w:t>
      </w:r>
      <w:r w:rsidR="004E4FD4">
        <w:t xml:space="preserve">between </w:t>
      </w:r>
      <w:r w:rsidR="00CD4AF9" w:rsidRPr="00CC7D8B">
        <w:t xml:space="preserve">18 </w:t>
      </w:r>
      <w:r w:rsidR="004E4FD4">
        <w:t>and</w:t>
      </w:r>
      <w:r w:rsidR="00675767" w:rsidRPr="00CC7D8B">
        <w:t> </w:t>
      </w:r>
      <w:r w:rsidR="00CD4AF9" w:rsidRPr="00CC7D8B">
        <w:t xml:space="preserve">25 years of age </w:t>
      </w:r>
      <w:r w:rsidR="004E4FD4">
        <w:t>(</w:t>
      </w:r>
      <w:r w:rsidR="00675767" w:rsidRPr="00CC7D8B">
        <w:t>S</w:t>
      </w:r>
      <w:r w:rsidR="00CD4AF9" w:rsidRPr="00CC7D8B">
        <w:t xml:space="preserve">tudy </w:t>
      </w:r>
      <w:r w:rsidR="00675767" w:rsidRPr="00CC7D8B">
        <w:t>P</w:t>
      </w:r>
      <w:r w:rsidR="00CD4AF9" w:rsidRPr="00CC7D8B">
        <w:t>301</w:t>
      </w:r>
      <w:r w:rsidR="004E4FD4">
        <w:t>)</w:t>
      </w:r>
    </w:p>
    <w:p w14:paraId="7A5A87B5" w14:textId="5F73C703" w:rsidR="00AC3115" w:rsidRPr="00CC7D8B" w:rsidRDefault="00AC3115" w:rsidP="008326B1">
      <w:r w:rsidRPr="00CC7D8B">
        <w:rPr>
          <w:noProof/>
          <w:lang w:val="en-GB" w:eastAsia="en-GB"/>
        </w:rPr>
        <w:drawing>
          <wp:inline distT="0" distB="0" distL="0" distR="0" wp14:anchorId="77A6AEA1" wp14:editId="68956485">
            <wp:extent cx="5400040" cy="2042795"/>
            <wp:effectExtent l="0" t="0" r="0" b="0"/>
            <wp:docPr id="13" name="Picture 13" descr="Table 5: Study P204 and P301 Comparative geometric mean titre in children from 6 months to less than 2 years of age (Study P204, Part 2) with adults between 18 and 25 years of age (Study P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5: Study P204 and P301 Comparative geometric mean titre in children from 6 months to less than 2 years of age (Study P204, Part 2) with adults between 18 and 25 years of age (Study P301)"/>
                    <pic:cNvPicPr/>
                  </pic:nvPicPr>
                  <pic:blipFill>
                    <a:blip r:embed="rId21"/>
                    <a:stretch>
                      <a:fillRect/>
                    </a:stretch>
                  </pic:blipFill>
                  <pic:spPr>
                    <a:xfrm>
                      <a:off x="0" y="0"/>
                      <a:ext cx="5400040" cy="2042795"/>
                    </a:xfrm>
                    <a:prstGeom prst="rect">
                      <a:avLst/>
                    </a:prstGeom>
                  </pic:spPr>
                </pic:pic>
              </a:graphicData>
            </a:graphic>
          </wp:inline>
        </w:drawing>
      </w:r>
    </w:p>
    <w:p w14:paraId="6006E04E" w14:textId="16D839C0" w:rsidR="00675767" w:rsidRPr="00CC7D8B" w:rsidRDefault="0048495F" w:rsidP="008326B1">
      <w:pPr>
        <w:pStyle w:val="TableDescription"/>
      </w:pPr>
      <w:r>
        <w:t xml:space="preserve">Abbreviations: </w:t>
      </w:r>
      <w:r w:rsidR="00AC3115" w:rsidRPr="00CC7D8B">
        <w:t xml:space="preserve">CI = confidence interval; GMFR = geometric mean fold ratio; GMR = geometric mean ratio; GMT = geometric mean </w:t>
      </w:r>
      <w:r w:rsidR="00675767" w:rsidRPr="00CC7D8B">
        <w:t>titre</w:t>
      </w:r>
      <w:r w:rsidR="00AC3115" w:rsidRPr="00CC7D8B">
        <w:t xml:space="preserve"> (noted as observed or model based, which is estimated by geometric least squares mean); </w:t>
      </w:r>
      <w:r w:rsidR="00675767" w:rsidRPr="00CC7D8B">
        <w:t xml:space="preserve">mRNA-1273 = Spikevax COVID-19 mRNA-1273 </w:t>
      </w:r>
      <w:r w:rsidR="002C14FC">
        <w:t xml:space="preserve">(elasomeran) </w:t>
      </w:r>
      <w:r w:rsidR="00675767" w:rsidRPr="00CC7D8B">
        <w:t>vaccine; N = number of subjects; n</w:t>
      </w:r>
      <w:r>
        <w:t> </w:t>
      </w:r>
      <w:r w:rsidR="00675767" w:rsidRPr="00CC7D8B">
        <w:t>=</w:t>
      </w:r>
      <w:r>
        <w:t> </w:t>
      </w:r>
      <w:r w:rsidR="00675767" w:rsidRPr="00CC7D8B">
        <w:t>number of subjects in groups.</w:t>
      </w:r>
    </w:p>
    <w:p w14:paraId="41E99E21" w14:textId="78B919F4" w:rsidR="00AC3115" w:rsidRPr="00CC7D8B" w:rsidRDefault="00AC3115" w:rsidP="008326B1">
      <w:pPr>
        <w:pStyle w:val="TableDescription"/>
      </w:pPr>
      <w:r w:rsidRPr="00CC7D8B">
        <w:t xml:space="preserve">Based on </w:t>
      </w:r>
      <w:r w:rsidR="00675767" w:rsidRPr="00CC7D8B">
        <w:t>pseudovirus neutrali</w:t>
      </w:r>
      <w:r w:rsidR="00C32995" w:rsidRPr="00CC7D8B">
        <w:t>s</w:t>
      </w:r>
      <w:r w:rsidR="00675767" w:rsidRPr="00CC7D8B">
        <w:t>ation assay (</w:t>
      </w:r>
      <w:proofErr w:type="spellStart"/>
      <w:r w:rsidRPr="00CC7D8B">
        <w:t>PsVNA</w:t>
      </w:r>
      <w:proofErr w:type="spellEnd"/>
      <w:r w:rsidR="00675767" w:rsidRPr="00CC7D8B">
        <w:t>)</w:t>
      </w:r>
      <w:r w:rsidRPr="00CC7D8B">
        <w:t xml:space="preserve"> by PPD vaccine (VAC62). Antibody values reported as below the </w:t>
      </w:r>
      <w:r w:rsidR="00675767" w:rsidRPr="00CC7D8B">
        <w:t>lower limit of quantification (</w:t>
      </w:r>
      <w:r w:rsidRPr="00CC7D8B">
        <w:t>LLOQ</w:t>
      </w:r>
      <w:r w:rsidR="00675767" w:rsidRPr="00CC7D8B">
        <w:t>)</w:t>
      </w:r>
      <w:r w:rsidRPr="00CC7D8B">
        <w:t xml:space="preserve"> are replaced by 0.5 </w:t>
      </w:r>
      <w:r w:rsidR="00036695" w:rsidRPr="00CC7D8B">
        <w:t>x</w:t>
      </w:r>
      <w:r w:rsidRPr="00CC7D8B">
        <w:t xml:space="preserve"> LLOQ. Values greater than </w:t>
      </w:r>
      <w:r w:rsidR="00675767" w:rsidRPr="00CC7D8B">
        <w:t>upper limit of quantification (</w:t>
      </w:r>
      <w:r w:rsidRPr="00CC7D8B">
        <w:t>ULOQ</w:t>
      </w:r>
      <w:r w:rsidR="00675767" w:rsidRPr="00CC7D8B">
        <w:t>)</w:t>
      </w:r>
      <w:r w:rsidRPr="00CC7D8B">
        <w:t xml:space="preserve"> are replaced by the ULOQ if actual values are not available.</w:t>
      </w:r>
    </w:p>
    <w:p w14:paraId="3A643041" w14:textId="3789AF05" w:rsidR="00AC3115" w:rsidRPr="00CC7D8B" w:rsidRDefault="00036695" w:rsidP="008326B1">
      <w:pPr>
        <w:pStyle w:val="TableDescription"/>
      </w:pPr>
      <w:r w:rsidRPr="00CC7D8B">
        <w:t xml:space="preserve">Study </w:t>
      </w:r>
      <w:r w:rsidR="00AC3115" w:rsidRPr="00CC7D8B">
        <w:t>P301 mRNA-1273 group includes young adults (18 to 25 years of age).</w:t>
      </w:r>
    </w:p>
    <w:p w14:paraId="6CAE809F" w14:textId="69A2C095" w:rsidR="00AC3115" w:rsidRPr="00CC7D8B" w:rsidRDefault="00AC3115" w:rsidP="008326B1">
      <w:pPr>
        <w:pStyle w:val="TableDescription"/>
      </w:pPr>
      <w:r w:rsidRPr="00CC7D8B">
        <w:t>a 95% CI is calculated based on the t-distribution of the log</w:t>
      </w:r>
      <w:r w:rsidR="00036695" w:rsidRPr="00CC7D8B">
        <w:t xml:space="preserve"> </w:t>
      </w:r>
      <w:r w:rsidRPr="00CC7D8B">
        <w:t>transformed values or the difference in the log</w:t>
      </w:r>
      <w:r w:rsidR="00036695" w:rsidRPr="00CC7D8B">
        <w:t xml:space="preserve"> </w:t>
      </w:r>
      <w:r w:rsidRPr="00CC7D8B">
        <w:t>transformed values for GMT and GMFR, respectively, then back</w:t>
      </w:r>
      <w:r w:rsidR="00036695" w:rsidRPr="00CC7D8B">
        <w:t xml:space="preserve"> </w:t>
      </w:r>
      <w:r w:rsidRPr="00CC7D8B">
        <w:t>transformed to the original scale for presentation.</w:t>
      </w:r>
    </w:p>
    <w:p w14:paraId="426D292E" w14:textId="0D37DAD5" w:rsidR="00AC3115" w:rsidRPr="00CC7D8B" w:rsidRDefault="00AC3115" w:rsidP="008326B1">
      <w:pPr>
        <w:pStyle w:val="TableDescription"/>
      </w:pPr>
      <w:r w:rsidRPr="00CC7D8B">
        <w:t xml:space="preserve">b </w:t>
      </w:r>
      <w:proofErr w:type="gramStart"/>
      <w:r w:rsidRPr="00CC7D8B">
        <w:t>The</w:t>
      </w:r>
      <w:proofErr w:type="gramEnd"/>
      <w:r w:rsidRPr="00CC7D8B">
        <w:t xml:space="preserve"> log</w:t>
      </w:r>
      <w:r w:rsidR="00036695" w:rsidRPr="00CC7D8B">
        <w:t xml:space="preserve"> </w:t>
      </w:r>
      <w:r w:rsidRPr="00CC7D8B">
        <w:t>transformed antibody levels are analy</w:t>
      </w:r>
      <w:r w:rsidR="00C32995" w:rsidRPr="00CC7D8B">
        <w:t>s</w:t>
      </w:r>
      <w:r w:rsidRPr="00CC7D8B">
        <w:t xml:space="preserve">ed using an </w:t>
      </w:r>
      <w:r w:rsidR="00036695" w:rsidRPr="00CC7D8B">
        <w:t>analysis of covariance (</w:t>
      </w:r>
      <w:r w:rsidRPr="00CC7D8B">
        <w:t>ANCOVA</w:t>
      </w:r>
      <w:r w:rsidR="00036695" w:rsidRPr="00CC7D8B">
        <w:t>)</w:t>
      </w:r>
      <w:r w:rsidRPr="00CC7D8B">
        <w:t xml:space="preserve"> model with the group variable (children in </w:t>
      </w:r>
      <w:r w:rsidR="00036695" w:rsidRPr="00CC7D8B">
        <w:t xml:space="preserve">Study </w:t>
      </w:r>
      <w:r w:rsidRPr="00CC7D8B">
        <w:t xml:space="preserve">P204 Part 2 and young adults in </w:t>
      </w:r>
      <w:r w:rsidR="00036695" w:rsidRPr="00CC7D8B">
        <w:t xml:space="preserve">Study </w:t>
      </w:r>
      <w:r w:rsidRPr="00CC7D8B">
        <w:t xml:space="preserve">P301) as fixed effect. The resulted </w:t>
      </w:r>
      <w:r w:rsidR="00675767" w:rsidRPr="00CC7D8B">
        <w:t>least squares (</w:t>
      </w:r>
      <w:r w:rsidRPr="00CC7D8B">
        <w:t>LS</w:t>
      </w:r>
      <w:r w:rsidR="00675767" w:rsidRPr="00CC7D8B">
        <w:t>)</w:t>
      </w:r>
      <w:r w:rsidRPr="00CC7D8B">
        <w:t xml:space="preserve"> </w:t>
      </w:r>
      <w:proofErr w:type="gramStart"/>
      <w:r w:rsidRPr="00CC7D8B">
        <w:t>means</w:t>
      </w:r>
      <w:proofErr w:type="gramEnd"/>
      <w:r w:rsidRPr="00CC7D8B">
        <w:t>, difference of LS means, and 95% CI are back</w:t>
      </w:r>
      <w:r w:rsidR="00036695" w:rsidRPr="00CC7D8B">
        <w:t xml:space="preserve"> </w:t>
      </w:r>
      <w:r w:rsidRPr="00CC7D8B">
        <w:t>transformed to the original scale for presentation.</w:t>
      </w:r>
    </w:p>
    <w:p w14:paraId="3A1B48A5" w14:textId="341206BE" w:rsidR="00AC3115" w:rsidRPr="00CC7D8B" w:rsidRDefault="00AC3115" w:rsidP="008326B1">
      <w:pPr>
        <w:pStyle w:val="TableDescription"/>
      </w:pPr>
      <w:r w:rsidRPr="00CC7D8B">
        <w:t>c Seroresponse at a participant level is defined as a change from below the LLOQ to equal or above 4</w:t>
      </w:r>
      <w:r w:rsidR="0048495F">
        <w:t> </w:t>
      </w:r>
      <w:r w:rsidR="00036695" w:rsidRPr="00CC7D8B">
        <w:t>x</w:t>
      </w:r>
      <w:r w:rsidR="0048495F">
        <w:t> </w:t>
      </w:r>
      <w:r w:rsidRPr="00CC7D8B">
        <w:t xml:space="preserve">LLOQ, or at least a 4-fold rise if </w:t>
      </w:r>
      <w:r w:rsidR="00C32995" w:rsidRPr="00CC7D8B">
        <w:t>Baseline</w:t>
      </w:r>
      <w:r w:rsidRPr="00CC7D8B">
        <w:t xml:space="preserve"> is equal to or above the LLOQ. Percentages are based on the number of participants with non-missing data at </w:t>
      </w:r>
      <w:r w:rsidR="00C32995" w:rsidRPr="00CC7D8B">
        <w:t>Baseline</w:t>
      </w:r>
      <w:r w:rsidRPr="00CC7D8B">
        <w:t xml:space="preserve"> and the corresponding timepoint.</w:t>
      </w:r>
    </w:p>
    <w:p w14:paraId="43BEBD5B" w14:textId="77777777" w:rsidR="00AC3115" w:rsidRPr="00CC7D8B" w:rsidRDefault="00AC3115" w:rsidP="008326B1">
      <w:pPr>
        <w:pStyle w:val="TableDescription"/>
      </w:pPr>
      <w:r w:rsidRPr="00CC7D8B">
        <w:t>d 95% CI is calculated using the Clopper-Pearson method.</w:t>
      </w:r>
    </w:p>
    <w:p w14:paraId="6A4B145A" w14:textId="6FD68BD1" w:rsidR="00E541C4" w:rsidRPr="00CC7D8B" w:rsidRDefault="00AC3115" w:rsidP="008326B1">
      <w:pPr>
        <w:pStyle w:val="TableDescription"/>
      </w:pPr>
      <w:r w:rsidRPr="00CC7D8B">
        <w:t>e 95% CI is calculated using the Miettinen-</w:t>
      </w:r>
      <w:proofErr w:type="spellStart"/>
      <w:r w:rsidRPr="00CC7D8B">
        <w:t>Nurminen</w:t>
      </w:r>
      <w:proofErr w:type="spellEnd"/>
      <w:r w:rsidRPr="00CC7D8B">
        <w:t xml:space="preserve"> (score) confidence limits.</w:t>
      </w:r>
    </w:p>
    <w:p w14:paraId="310CA7CE" w14:textId="3DFA4F80" w:rsidR="00E541C4" w:rsidRPr="00CC7D8B" w:rsidRDefault="00AC3115" w:rsidP="008326B1">
      <w:pPr>
        <w:pStyle w:val="TableTitle"/>
      </w:pPr>
      <w:r w:rsidRPr="00CC7D8B">
        <w:lastRenderedPageBreak/>
        <w:t xml:space="preserve">Table </w:t>
      </w:r>
      <w:fldSimple w:instr=" SEQ Table \* ARABIC ">
        <w:r w:rsidR="00522240">
          <w:rPr>
            <w:noProof/>
          </w:rPr>
          <w:t>6</w:t>
        </w:r>
      </w:fldSimple>
      <w:r w:rsidR="00E541C4" w:rsidRPr="00CC7D8B">
        <w:t>:</w:t>
      </w:r>
      <w:r w:rsidRPr="00CC7D8B">
        <w:t xml:space="preserve"> </w:t>
      </w:r>
      <w:r w:rsidR="00205B1B" w:rsidRPr="00CC7D8B">
        <w:t xml:space="preserve">Study P204 </w:t>
      </w:r>
      <w:r w:rsidR="00E541C4" w:rsidRPr="00CC7D8B">
        <w:t xml:space="preserve">Vaccine </w:t>
      </w:r>
      <w:r w:rsidR="00675767" w:rsidRPr="00CC7D8B">
        <w:t>efficacy</w:t>
      </w:r>
      <w:r w:rsidR="00E541C4" w:rsidRPr="00CC7D8B">
        <w:t xml:space="preserve"> in </w:t>
      </w:r>
      <w:r w:rsidR="0048495F">
        <w:t xml:space="preserve">children </w:t>
      </w:r>
      <w:r w:rsidR="00E35657">
        <w:t>between</w:t>
      </w:r>
      <w:r w:rsidR="0048495F" w:rsidRPr="00CC7D8B">
        <w:t xml:space="preserve"> </w:t>
      </w:r>
      <w:r w:rsidR="00E541C4" w:rsidRPr="00CC7D8B">
        <w:t xml:space="preserve">2 </w:t>
      </w:r>
      <w:r w:rsidR="0048495F">
        <w:t>and</w:t>
      </w:r>
      <w:r w:rsidR="0048495F" w:rsidRPr="00CC7D8B">
        <w:t xml:space="preserve"> </w:t>
      </w:r>
      <w:r w:rsidR="0048495F">
        <w:t>less than</w:t>
      </w:r>
      <w:r w:rsidR="00675767" w:rsidRPr="00CC7D8B">
        <w:t> </w:t>
      </w:r>
      <w:r w:rsidR="00E541C4" w:rsidRPr="00CC7D8B">
        <w:t>6 years of age</w:t>
      </w:r>
      <w:r w:rsidR="00E35657">
        <w:t>,</w:t>
      </w:r>
      <w:r w:rsidR="00E541C4" w:rsidRPr="00CC7D8B">
        <w:t xml:space="preserve"> from 14</w:t>
      </w:r>
      <w:r w:rsidR="00675767" w:rsidRPr="00CC7D8B">
        <w:t> </w:t>
      </w:r>
      <w:r w:rsidR="00E541C4" w:rsidRPr="00CC7D8B">
        <w:t>days after second dose of vaccine</w:t>
      </w:r>
    </w:p>
    <w:p w14:paraId="5352F669" w14:textId="07AAE4AB" w:rsidR="00596201" w:rsidRPr="00CC7D8B" w:rsidRDefault="00596201" w:rsidP="008326B1">
      <w:r w:rsidRPr="00CC7D8B">
        <w:rPr>
          <w:noProof/>
          <w:lang w:val="en-GB" w:eastAsia="en-GB"/>
        </w:rPr>
        <w:drawing>
          <wp:inline distT="0" distB="0" distL="0" distR="0" wp14:anchorId="430AC0C8" wp14:editId="6FBC18F8">
            <wp:extent cx="5400040" cy="2651760"/>
            <wp:effectExtent l="0" t="0" r="0" b="0"/>
            <wp:docPr id="1" name="Picture 1" descr="Table 6: Study P204 Vaccine efficacy in children between 2 and less than 6 years of age, from 14 days after second dose of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6: Study P204 Vaccine efficacy in children between 2 and less than 6 years of age, from 14 days after second dose of vaccine"/>
                    <pic:cNvPicPr/>
                  </pic:nvPicPr>
                  <pic:blipFill>
                    <a:blip r:embed="rId22"/>
                    <a:stretch>
                      <a:fillRect/>
                    </a:stretch>
                  </pic:blipFill>
                  <pic:spPr>
                    <a:xfrm>
                      <a:off x="0" y="0"/>
                      <a:ext cx="5400040" cy="2651760"/>
                    </a:xfrm>
                    <a:prstGeom prst="rect">
                      <a:avLst/>
                    </a:prstGeom>
                  </pic:spPr>
                </pic:pic>
              </a:graphicData>
            </a:graphic>
          </wp:inline>
        </w:drawing>
      </w:r>
    </w:p>
    <w:p w14:paraId="3311D449" w14:textId="21580275" w:rsidR="00596201" w:rsidRPr="00CC7D8B" w:rsidRDefault="0048495F" w:rsidP="008326B1">
      <w:pPr>
        <w:pStyle w:val="TableDescription"/>
      </w:pPr>
      <w:r>
        <w:t xml:space="preserve">Abbreviations: </w:t>
      </w:r>
      <w:r w:rsidR="00596201" w:rsidRPr="00CC7D8B">
        <w:t xml:space="preserve">CDC = </w:t>
      </w:r>
      <w:proofErr w:type="spellStart"/>
      <w:r w:rsidR="00596201" w:rsidRPr="00CC7D8B">
        <w:t>Centers</w:t>
      </w:r>
      <w:proofErr w:type="spellEnd"/>
      <w:r w:rsidR="00596201" w:rsidRPr="00CC7D8B">
        <w:t xml:space="preserve"> for Disease Control and Prevention</w:t>
      </w:r>
      <w:r w:rsidR="00036695" w:rsidRPr="00CC7D8B">
        <w:t xml:space="preserve"> (United States of America)</w:t>
      </w:r>
      <w:r w:rsidR="00596201" w:rsidRPr="00CC7D8B">
        <w:t>; CI</w:t>
      </w:r>
      <w:r>
        <w:t> </w:t>
      </w:r>
      <w:r w:rsidR="00596201" w:rsidRPr="00CC7D8B">
        <w:t>=</w:t>
      </w:r>
      <w:r>
        <w:t> </w:t>
      </w:r>
      <w:r w:rsidR="00596201" w:rsidRPr="00CC7D8B">
        <w:t>confidence interval;</w:t>
      </w:r>
      <w:r w:rsidR="008C58A3" w:rsidRPr="00CC7D8B">
        <w:t xml:space="preserve"> </w:t>
      </w:r>
      <w:r w:rsidR="00596201" w:rsidRPr="00CC7D8B">
        <w:t>COVID-19 = coronavirus disease 2019;</w:t>
      </w:r>
      <w:r w:rsidR="008C58A3" w:rsidRPr="00CC7D8B">
        <w:t xml:space="preserve"> N = number of subjects; n = number of subjects in groups; </w:t>
      </w:r>
      <w:r w:rsidR="00596201" w:rsidRPr="00CC7D8B">
        <w:t xml:space="preserve">N1 = number of participants at risk at 14 days after </w:t>
      </w:r>
      <w:r w:rsidR="00036695" w:rsidRPr="00CC7D8B">
        <w:t>D</w:t>
      </w:r>
      <w:r w:rsidR="00596201" w:rsidRPr="00CC7D8B">
        <w:t>ose 2 for specific efficacy endpoint; SARS-CoV-2 = severe acute respiratory syndrome coronavirus-2; VE = vaccine efficacy.</w:t>
      </w:r>
    </w:p>
    <w:p w14:paraId="6391132D" w14:textId="762F287A" w:rsidR="00596201" w:rsidRPr="00CC7D8B" w:rsidRDefault="00596201" w:rsidP="008326B1">
      <w:pPr>
        <w:pStyle w:val="TableDescription"/>
      </w:pPr>
      <w:r w:rsidRPr="00CC7D8B">
        <w:t>a Person-years is defined as the total years from the randomi</w:t>
      </w:r>
      <w:r w:rsidR="00C32995" w:rsidRPr="00CC7D8B">
        <w:t>s</w:t>
      </w:r>
      <w:r w:rsidRPr="00CC7D8B">
        <w:t xml:space="preserve">ation date for Part 2 to the date of event (CDC case definition of COVID-19, </w:t>
      </w:r>
      <w:r w:rsidR="00036695" w:rsidRPr="00CC7D8B">
        <w:t xml:space="preserve">Study </w:t>
      </w:r>
      <w:r w:rsidRPr="00CC7D8B">
        <w:t>P301 case definition of COVID-19, asymptomatic SARS-CoV-2 infection, or SARS-CoV-2 infection, depending upon endpoint), last date of study participation, or efficacy data snapshot date, whichever is the earliest.</w:t>
      </w:r>
    </w:p>
    <w:p w14:paraId="51C2E2DF" w14:textId="4717DDD8" w:rsidR="00596201" w:rsidRPr="00CC7D8B" w:rsidRDefault="00596201" w:rsidP="008326B1">
      <w:pPr>
        <w:pStyle w:val="TableDescription"/>
      </w:pPr>
      <w:r w:rsidRPr="00CC7D8B">
        <w:t>b Incidence rate is defined as the number of participants with an event divided by the number of participants at risk and adjusted by person</w:t>
      </w:r>
      <w:r w:rsidR="00036695" w:rsidRPr="00CC7D8B">
        <w:t xml:space="preserve"> </w:t>
      </w:r>
      <w:r w:rsidRPr="00CC7D8B">
        <w:t>years (total time at risk) in each treatment group. The 95%</w:t>
      </w:r>
      <w:r w:rsidR="00036695" w:rsidRPr="00CC7D8B">
        <w:t> </w:t>
      </w:r>
      <w:r w:rsidRPr="00CC7D8B">
        <w:t>CI is calculated using the exact method (Poisson distribution) and adjusted by person</w:t>
      </w:r>
      <w:r w:rsidR="00036695" w:rsidRPr="00CC7D8B">
        <w:t xml:space="preserve"> </w:t>
      </w:r>
      <w:r w:rsidRPr="00CC7D8B">
        <w:t>years.</w:t>
      </w:r>
    </w:p>
    <w:p w14:paraId="421321D4" w14:textId="380DB24E" w:rsidR="00596201" w:rsidRPr="00CC7D8B" w:rsidRDefault="00596201" w:rsidP="008326B1">
      <w:pPr>
        <w:pStyle w:val="TableDescription"/>
      </w:pPr>
      <w:r w:rsidRPr="00CC7D8B">
        <w:t xml:space="preserve">c </w:t>
      </w:r>
      <w:r w:rsidR="00A47938" w:rsidRPr="00CC7D8B">
        <w:t>Vaccine efficacy (</w:t>
      </w:r>
      <w:r w:rsidRPr="00CC7D8B">
        <w:t>VE</w:t>
      </w:r>
      <w:r w:rsidR="00A47938" w:rsidRPr="00CC7D8B">
        <w:t>)</w:t>
      </w:r>
      <w:r w:rsidRPr="00CC7D8B">
        <w:t xml:space="preserve"> is defined as 1 </w:t>
      </w:r>
      <w:r w:rsidR="00036695" w:rsidRPr="00CC7D8B">
        <w:t>-</w:t>
      </w:r>
      <w:r w:rsidRPr="00CC7D8B">
        <w:t xml:space="preserve"> ratio of incidence rate (mRNA-1273 </w:t>
      </w:r>
      <w:r w:rsidR="00036695" w:rsidRPr="00CC7D8B">
        <w:t>versus</w:t>
      </w:r>
      <w:r w:rsidRPr="00CC7D8B">
        <w:t xml:space="preserve"> placebo). The 95% CI of the ratio is calculated using the exact method conditional upon the total number of cases, adjusting for person</w:t>
      </w:r>
      <w:r w:rsidR="00036695" w:rsidRPr="00CC7D8B">
        <w:t xml:space="preserve"> </w:t>
      </w:r>
      <w:r w:rsidRPr="00CC7D8B">
        <w:t>years.</w:t>
      </w:r>
    </w:p>
    <w:p w14:paraId="4D8E5C42" w14:textId="0935BCB1" w:rsidR="00E541C4" w:rsidRPr="00CC7D8B" w:rsidRDefault="00596201" w:rsidP="005C5D5D">
      <w:pPr>
        <w:pStyle w:val="TableTitle"/>
      </w:pPr>
      <w:r w:rsidRPr="00CC7D8B">
        <w:t xml:space="preserve">Table </w:t>
      </w:r>
      <w:fldSimple w:instr=" SEQ Table \* ARABIC ">
        <w:r w:rsidR="00522240">
          <w:rPr>
            <w:noProof/>
          </w:rPr>
          <w:t>7</w:t>
        </w:r>
      </w:fldSimple>
      <w:r w:rsidR="00E541C4" w:rsidRPr="00CC7D8B">
        <w:t>:</w:t>
      </w:r>
      <w:r w:rsidRPr="00CC7D8B">
        <w:t xml:space="preserve"> </w:t>
      </w:r>
      <w:r w:rsidR="00205B1B" w:rsidRPr="00CC7D8B">
        <w:t xml:space="preserve">Study P204 </w:t>
      </w:r>
      <w:r w:rsidR="00E541C4" w:rsidRPr="00CC7D8B">
        <w:t xml:space="preserve">Vaccine </w:t>
      </w:r>
      <w:r w:rsidR="00675767" w:rsidRPr="00CC7D8B">
        <w:t>e</w:t>
      </w:r>
      <w:r w:rsidR="00E541C4" w:rsidRPr="00CC7D8B">
        <w:t xml:space="preserve">fficacy in </w:t>
      </w:r>
      <w:r w:rsidR="0048495F">
        <w:t>children</w:t>
      </w:r>
      <w:r w:rsidR="0048495F" w:rsidRPr="00CC7D8B">
        <w:t xml:space="preserve"> </w:t>
      </w:r>
      <w:r w:rsidR="00DF09F0">
        <w:t xml:space="preserve">between </w:t>
      </w:r>
      <w:r w:rsidR="00E541C4" w:rsidRPr="00CC7D8B">
        <w:t xml:space="preserve">6 months </w:t>
      </w:r>
      <w:r w:rsidR="0048495F">
        <w:t>and</w:t>
      </w:r>
      <w:r w:rsidR="0048495F" w:rsidRPr="00CC7D8B">
        <w:t xml:space="preserve"> </w:t>
      </w:r>
      <w:r w:rsidR="0048495F">
        <w:t>less than</w:t>
      </w:r>
      <w:r w:rsidR="00675767" w:rsidRPr="00CC7D8B">
        <w:t> </w:t>
      </w:r>
      <w:r w:rsidR="00DF09F0">
        <w:t>2 </w:t>
      </w:r>
      <w:r w:rsidR="00E541C4" w:rsidRPr="00CC7D8B">
        <w:t>years of age</w:t>
      </w:r>
      <w:r w:rsidR="00DF09F0">
        <w:t>,</w:t>
      </w:r>
      <w:r w:rsidR="00E541C4" w:rsidRPr="00CC7D8B">
        <w:t xml:space="preserve"> from 14</w:t>
      </w:r>
      <w:r w:rsidR="00675767" w:rsidRPr="00CC7D8B">
        <w:t> </w:t>
      </w:r>
      <w:r w:rsidR="00E541C4" w:rsidRPr="00CC7D8B">
        <w:t>days after second dose of vaccine</w:t>
      </w:r>
    </w:p>
    <w:p w14:paraId="06095F32" w14:textId="20AFB2D5" w:rsidR="00596201" w:rsidRPr="00CC7D8B" w:rsidRDefault="00596201" w:rsidP="00700AB2">
      <w:r w:rsidRPr="00CC7D8B">
        <w:rPr>
          <w:noProof/>
          <w:lang w:val="en-GB" w:eastAsia="en-GB"/>
        </w:rPr>
        <w:drawing>
          <wp:inline distT="0" distB="0" distL="0" distR="0" wp14:anchorId="0F6C69E7" wp14:editId="505125AA">
            <wp:extent cx="5400040" cy="2639695"/>
            <wp:effectExtent l="0" t="0" r="0" b="8255"/>
            <wp:docPr id="23" name="Picture 23" descr="Table 7: Study P204 Vaccine efficacy in children between 6 months and less than 2 years of age, from 14 days after second dose of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7: Study P204 Vaccine efficacy in children between 6 months and less than 2 years of age, from 14 days after second dose of vaccine"/>
                    <pic:cNvPicPr/>
                  </pic:nvPicPr>
                  <pic:blipFill>
                    <a:blip r:embed="rId23"/>
                    <a:stretch>
                      <a:fillRect/>
                    </a:stretch>
                  </pic:blipFill>
                  <pic:spPr>
                    <a:xfrm>
                      <a:off x="0" y="0"/>
                      <a:ext cx="5400040" cy="2639695"/>
                    </a:xfrm>
                    <a:prstGeom prst="rect">
                      <a:avLst/>
                    </a:prstGeom>
                  </pic:spPr>
                </pic:pic>
              </a:graphicData>
            </a:graphic>
          </wp:inline>
        </w:drawing>
      </w:r>
    </w:p>
    <w:p w14:paraId="5B153E7C" w14:textId="13E123A7" w:rsidR="00596201" w:rsidRPr="00CC7D8B" w:rsidRDefault="0048495F" w:rsidP="00596201">
      <w:pPr>
        <w:pStyle w:val="TableDescription"/>
      </w:pPr>
      <w:r>
        <w:t xml:space="preserve">Abbreviations: </w:t>
      </w:r>
      <w:r w:rsidR="00596201" w:rsidRPr="00CC7D8B">
        <w:t xml:space="preserve">CDC = </w:t>
      </w:r>
      <w:proofErr w:type="spellStart"/>
      <w:r w:rsidR="00596201" w:rsidRPr="00CC7D8B">
        <w:t>Centers</w:t>
      </w:r>
      <w:proofErr w:type="spellEnd"/>
      <w:r w:rsidR="00596201" w:rsidRPr="00CC7D8B">
        <w:t xml:space="preserve"> for Disease Control and Prevention</w:t>
      </w:r>
      <w:r w:rsidR="00036695" w:rsidRPr="00CC7D8B">
        <w:t xml:space="preserve"> (United States of America)</w:t>
      </w:r>
      <w:r w:rsidR="00596201" w:rsidRPr="00CC7D8B">
        <w:t>; CI</w:t>
      </w:r>
      <w:r>
        <w:t> </w:t>
      </w:r>
      <w:r w:rsidR="00596201" w:rsidRPr="00CC7D8B">
        <w:t>=</w:t>
      </w:r>
      <w:r>
        <w:t> </w:t>
      </w:r>
      <w:r w:rsidR="00596201" w:rsidRPr="00CC7D8B">
        <w:t xml:space="preserve">confidence interval; COVID-19 = coronavirus disease 2019; </w:t>
      </w:r>
      <w:r w:rsidR="008C58A3" w:rsidRPr="00CC7D8B">
        <w:t xml:space="preserve">N = number of subjects; n = number of </w:t>
      </w:r>
      <w:r w:rsidR="008C58A3" w:rsidRPr="00CC7D8B">
        <w:lastRenderedPageBreak/>
        <w:t xml:space="preserve">subjects in groups; </w:t>
      </w:r>
      <w:r w:rsidR="00596201" w:rsidRPr="00CC7D8B">
        <w:t xml:space="preserve">N1 = number of participants at risk at 14 days after </w:t>
      </w:r>
      <w:r w:rsidR="00036695" w:rsidRPr="00CC7D8B">
        <w:t>D</w:t>
      </w:r>
      <w:r w:rsidR="00596201" w:rsidRPr="00CC7D8B">
        <w:t>ose 2 for specific efficacy endpoint; SARS-CoV-2 = severe acute respiratory syndrome coronavirus-2; VE = vaccine efficacy.</w:t>
      </w:r>
    </w:p>
    <w:p w14:paraId="65BD0896" w14:textId="6FA1F22B" w:rsidR="00596201" w:rsidRPr="00CC7D8B" w:rsidRDefault="00596201" w:rsidP="00596201">
      <w:pPr>
        <w:pStyle w:val="TableDescription"/>
      </w:pPr>
      <w:r w:rsidRPr="00CC7D8B">
        <w:t>a Person-years is defined as the total years from the first injection date for Part 1 and the randomi</w:t>
      </w:r>
      <w:r w:rsidR="00C32995" w:rsidRPr="00CC7D8B">
        <w:t>s</w:t>
      </w:r>
      <w:r w:rsidRPr="00CC7D8B">
        <w:t xml:space="preserve">ation date for Part 2 to the date of event (CDC case definition of COVID-19, </w:t>
      </w:r>
      <w:r w:rsidR="00036695" w:rsidRPr="00CC7D8B">
        <w:t xml:space="preserve">Study </w:t>
      </w:r>
      <w:r w:rsidRPr="00CC7D8B">
        <w:t>P301 case definition of COVID-19, asymptomatic SARS-CoV-2 infection, or SARS-CoV-2 infection, depending upon endpoint), last date of study participation, or efficacy data snapshot date, whichever is the earliest.</w:t>
      </w:r>
    </w:p>
    <w:p w14:paraId="366B9FCA" w14:textId="6230D1E4" w:rsidR="00596201" w:rsidRPr="00CC7D8B" w:rsidRDefault="00596201" w:rsidP="00596201">
      <w:pPr>
        <w:pStyle w:val="TableDescription"/>
      </w:pPr>
      <w:r w:rsidRPr="00CC7D8B">
        <w:t>b Incidence rate is defined as the number of participants with an event divided by the number of participants at risk and adjusted by person</w:t>
      </w:r>
      <w:r w:rsidR="00036695" w:rsidRPr="00CC7D8B">
        <w:t xml:space="preserve"> </w:t>
      </w:r>
      <w:r w:rsidRPr="00CC7D8B">
        <w:t>years (total time at risk) in each treatment group. The 95%</w:t>
      </w:r>
      <w:r w:rsidR="00036695" w:rsidRPr="00CC7D8B">
        <w:t> </w:t>
      </w:r>
      <w:r w:rsidRPr="00CC7D8B">
        <w:t>CI is calculated using the exact method (Poisson distribution) and adjusted by person</w:t>
      </w:r>
      <w:r w:rsidR="00036695" w:rsidRPr="00CC7D8B">
        <w:t xml:space="preserve"> </w:t>
      </w:r>
      <w:r w:rsidRPr="00CC7D8B">
        <w:t>years.</w:t>
      </w:r>
    </w:p>
    <w:p w14:paraId="289D4638" w14:textId="6DC75EAD" w:rsidR="00596201" w:rsidRPr="00CC7D8B" w:rsidRDefault="00596201" w:rsidP="00596201">
      <w:pPr>
        <w:pStyle w:val="TableDescription"/>
      </w:pPr>
      <w:r w:rsidRPr="00CC7D8B">
        <w:t xml:space="preserve">c </w:t>
      </w:r>
      <w:r w:rsidR="00A47938" w:rsidRPr="00CC7D8B">
        <w:t>Vaccine efficacy (</w:t>
      </w:r>
      <w:r w:rsidRPr="00CC7D8B">
        <w:t>VE</w:t>
      </w:r>
      <w:r w:rsidR="00A47938" w:rsidRPr="00CC7D8B">
        <w:t>)</w:t>
      </w:r>
      <w:r w:rsidRPr="00CC7D8B">
        <w:t xml:space="preserve"> is defined as 1 - ratio of incidence rate (mRNA-1273 </w:t>
      </w:r>
      <w:r w:rsidR="00036695" w:rsidRPr="00CC7D8B">
        <w:t xml:space="preserve">versus </w:t>
      </w:r>
      <w:r w:rsidRPr="00CC7D8B">
        <w:t>placebo). The 95% CI of the ratio is calculated using the exact method conditional upon the total number of cases, adjusting for person</w:t>
      </w:r>
      <w:r w:rsidR="00036695" w:rsidRPr="00CC7D8B">
        <w:t xml:space="preserve"> </w:t>
      </w:r>
      <w:r w:rsidRPr="00CC7D8B">
        <w:t>years.</w:t>
      </w:r>
    </w:p>
    <w:p w14:paraId="740F9587" w14:textId="03C6F0DA" w:rsidR="00E541C4" w:rsidRPr="00CC7D8B" w:rsidRDefault="00E541C4" w:rsidP="003F277B">
      <w:r w:rsidRPr="00CC7D8B">
        <w:t>Overall</w:t>
      </w:r>
      <w:r w:rsidR="0044440C" w:rsidRPr="00CC7D8B">
        <w:t>,</w:t>
      </w:r>
      <w:r w:rsidRPr="00CC7D8B">
        <w:t xml:space="preserve"> the vaccine demonstrated a low level of protective efficacy against infection, including using the case definition applied in </w:t>
      </w:r>
      <w:r w:rsidR="00C14F80" w:rsidRPr="00CC7D8B">
        <w:t>Study P301</w:t>
      </w:r>
      <w:r w:rsidRPr="00CC7D8B">
        <w:t xml:space="preserve">. The Delegate notes that this assessment is largely is indicative of exposure to Delta </w:t>
      </w:r>
      <w:r w:rsidR="0044440C" w:rsidRPr="00CC7D8B">
        <w:t>variant</w:t>
      </w:r>
      <w:r w:rsidRPr="00CC7D8B">
        <w:t xml:space="preserve"> in 2021</w:t>
      </w:r>
      <w:r w:rsidR="0048495F">
        <w:t>,</w:t>
      </w:r>
      <w:r w:rsidR="0044440C" w:rsidRPr="00CC7D8B">
        <w:t xml:space="preserve"> </w:t>
      </w:r>
      <w:r w:rsidRPr="00CC7D8B">
        <w:t>although contemporaneous with the emergence of Omicron</w:t>
      </w:r>
      <w:r w:rsidR="0044440C" w:rsidRPr="00CC7D8B">
        <w:t xml:space="preserve"> variant</w:t>
      </w:r>
      <w:r w:rsidRPr="00CC7D8B">
        <w:t xml:space="preserve"> in early 2022.</w:t>
      </w:r>
    </w:p>
    <w:p w14:paraId="14E851E8" w14:textId="3C2558AB" w:rsidR="00E541C4" w:rsidRPr="00CC7D8B" w:rsidRDefault="00E541C4" w:rsidP="003F277B">
      <w:r w:rsidRPr="00CC7D8B">
        <w:t xml:space="preserve">The </w:t>
      </w:r>
      <w:r w:rsidR="00C14F80" w:rsidRPr="00CC7D8B">
        <w:t>clinical evaluator</w:t>
      </w:r>
      <w:r w:rsidRPr="00CC7D8B">
        <w:t xml:space="preserve"> has noted that </w:t>
      </w:r>
      <w:r w:rsidR="00A47938" w:rsidRPr="00CC7D8B">
        <w:t>the US Food and Drug Administration (</w:t>
      </w:r>
      <w:r w:rsidRPr="00CC7D8B">
        <w:t>FDA</w:t>
      </w:r>
      <w:r w:rsidR="00A47938" w:rsidRPr="00CC7D8B">
        <w:t>)</w:t>
      </w:r>
      <w:r w:rsidRPr="00CC7D8B">
        <w:t xml:space="preserve"> guidelines</w:t>
      </w:r>
      <w:r w:rsidR="00CC1E2B">
        <w:t>;</w:t>
      </w:r>
      <w:bookmarkStart w:id="46" w:name="_Ref108704470"/>
      <w:r w:rsidR="00CC1E2B">
        <w:rPr>
          <w:rStyle w:val="FootnoteReference"/>
        </w:rPr>
        <w:footnoteReference w:id="19"/>
      </w:r>
      <w:bookmarkEnd w:id="46"/>
      <w:r w:rsidRPr="00CC7D8B">
        <w:t xml:space="preserve"> state that </w:t>
      </w:r>
      <w:r w:rsidR="00FD5408" w:rsidRPr="00CC7D8B">
        <w:t>VE</w:t>
      </w:r>
      <w:r w:rsidR="00D25559" w:rsidRPr="00CC7D8B">
        <w:t xml:space="preserve"> should </w:t>
      </w:r>
      <w:r w:rsidRPr="00CC7D8B">
        <w:t xml:space="preserve">be at least 50%, with a </w:t>
      </w:r>
      <w:r w:rsidR="00FD5408" w:rsidRPr="00CC7D8B">
        <w:t>CI</w:t>
      </w:r>
      <w:r w:rsidRPr="00CC7D8B">
        <w:t xml:space="preserve"> that has a lower bound &gt;</w:t>
      </w:r>
      <w:r w:rsidR="0044440C" w:rsidRPr="00CC7D8B">
        <w:t xml:space="preserve"> </w:t>
      </w:r>
      <w:r w:rsidRPr="00CC7D8B">
        <w:t>30%. Spikevax did not demonstrate this level of efficacy in all analyses.</w:t>
      </w:r>
    </w:p>
    <w:p w14:paraId="2F1D2E6A" w14:textId="094B5A3C" w:rsidR="00E541C4" w:rsidRPr="00CC7D8B" w:rsidRDefault="00E541C4" w:rsidP="003F277B">
      <w:pPr>
        <w:pStyle w:val="Heading5"/>
      </w:pPr>
      <w:r w:rsidRPr="00CC7D8B">
        <w:t xml:space="preserve">Efficacy </w:t>
      </w:r>
      <w:r w:rsidR="0048495F">
        <w:t>against the</w:t>
      </w:r>
      <w:r w:rsidR="0048495F" w:rsidRPr="00CC7D8B">
        <w:t xml:space="preserve"> </w:t>
      </w:r>
      <w:r w:rsidRPr="00CC7D8B">
        <w:t xml:space="preserve">Omicron </w:t>
      </w:r>
      <w:r w:rsidR="00D25559" w:rsidRPr="00CC7D8B">
        <w:t>variant</w:t>
      </w:r>
    </w:p>
    <w:p w14:paraId="0D8A659D" w14:textId="0317040D" w:rsidR="00E541C4" w:rsidRPr="00CC7D8B" w:rsidRDefault="00E541C4" w:rsidP="003F277B">
      <w:r w:rsidRPr="00CC7D8B">
        <w:t xml:space="preserve">The </w:t>
      </w:r>
      <w:r w:rsidR="00C14F80" w:rsidRPr="00CC7D8B">
        <w:t>clinical evaluator</w:t>
      </w:r>
      <w:r w:rsidRPr="00CC7D8B">
        <w:t xml:space="preserve"> requested Omicron </w:t>
      </w:r>
      <w:r w:rsidR="0044440C" w:rsidRPr="00CC7D8B">
        <w:t>variant</w:t>
      </w:r>
      <w:r w:rsidR="00336090">
        <w:t xml:space="preserve"> </w:t>
      </w:r>
      <w:r w:rsidRPr="00CC7D8B">
        <w:t xml:space="preserve">specific immunogenicity data, and the </w:t>
      </w:r>
      <w:r w:rsidR="00C14F80" w:rsidRPr="00CC7D8B">
        <w:t>sponsor</w:t>
      </w:r>
      <w:r w:rsidRPr="00CC7D8B">
        <w:t xml:space="preserve"> has confirmed that there is no neutralising antibody data against this </w:t>
      </w:r>
      <w:r w:rsidR="00D25559" w:rsidRPr="00CC7D8B">
        <w:t>variant</w:t>
      </w:r>
      <w:r w:rsidRPr="00CC7D8B">
        <w:t>.</w:t>
      </w:r>
    </w:p>
    <w:p w14:paraId="1168E7FE" w14:textId="5DE25297" w:rsidR="00E541C4" w:rsidRPr="00CC7D8B" w:rsidRDefault="00E541C4" w:rsidP="003F277B">
      <w:r w:rsidRPr="00CC7D8B">
        <w:t xml:space="preserve">The </w:t>
      </w:r>
      <w:r w:rsidR="00C14F80" w:rsidRPr="00CC7D8B">
        <w:t>sponsor</w:t>
      </w:r>
      <w:r w:rsidRPr="00CC7D8B">
        <w:t xml:space="preserve"> has provided a </w:t>
      </w:r>
      <w:proofErr w:type="spellStart"/>
      <w:r w:rsidRPr="00CC7D8B">
        <w:t>MesoScale</w:t>
      </w:r>
      <w:proofErr w:type="spellEnd"/>
      <w:r w:rsidRPr="00CC7D8B">
        <w:t xml:space="preserve"> </w:t>
      </w:r>
      <w:proofErr w:type="gramStart"/>
      <w:r w:rsidR="0048495F">
        <w:t>a</w:t>
      </w:r>
      <w:r w:rsidRPr="00CC7D8B">
        <w:t>ssay</w:t>
      </w:r>
      <w:r w:rsidR="00336090">
        <w:t xml:space="preserve"> </w:t>
      </w:r>
      <w:r w:rsidR="0048495F">
        <w:t>based</w:t>
      </w:r>
      <w:proofErr w:type="gramEnd"/>
      <w:r w:rsidRPr="00CC7D8B">
        <w:t xml:space="preserve"> study of 20 randomly selected patients from each cohort in </w:t>
      </w:r>
      <w:r w:rsidR="00C14F80" w:rsidRPr="00CC7D8B">
        <w:t>Study P204</w:t>
      </w:r>
      <w:r w:rsidRPr="00CC7D8B">
        <w:t xml:space="preserve"> to detect antibodies against </w:t>
      </w:r>
      <w:r w:rsidR="0044440C" w:rsidRPr="00CC7D8B">
        <w:t>variant of concern</w:t>
      </w:r>
      <w:r w:rsidRPr="00CC7D8B">
        <w:t xml:space="preserve">. The Delegates understanding of the </w:t>
      </w:r>
      <w:proofErr w:type="spellStart"/>
      <w:r w:rsidRPr="00CC7D8B">
        <w:t>MesoScale</w:t>
      </w:r>
      <w:proofErr w:type="spellEnd"/>
      <w:r w:rsidRPr="00CC7D8B">
        <w:t xml:space="preserve"> assay is that it is a</w:t>
      </w:r>
      <w:r w:rsidR="0048495F">
        <w:t>n</w:t>
      </w:r>
      <w:r w:rsidRPr="00CC7D8B">
        <w:t xml:space="preserve"> electro-luminescent assay </w:t>
      </w:r>
      <w:proofErr w:type="gramStart"/>
      <w:r w:rsidRPr="00CC7D8B">
        <w:t>similar to</w:t>
      </w:r>
      <w:proofErr w:type="gramEnd"/>
      <w:r w:rsidRPr="00CC7D8B">
        <w:t xml:space="preserve"> an </w:t>
      </w:r>
      <w:r w:rsidR="0044440C" w:rsidRPr="00CC7D8B">
        <w:t xml:space="preserve">enzyme-linked immunosorbent assay </w:t>
      </w:r>
      <w:r w:rsidRPr="00CC7D8B">
        <w:t>except in its staining technology, which detects antibody binding against a specified antigen but not necessarily neutralising antibodies.</w:t>
      </w:r>
    </w:p>
    <w:p w14:paraId="7DE4BCDD" w14:textId="21034169" w:rsidR="00E541C4" w:rsidRPr="00CC7D8B" w:rsidRDefault="00205B1B" w:rsidP="008326B1">
      <w:pPr>
        <w:pStyle w:val="FigureTitle"/>
      </w:pPr>
      <w:r w:rsidRPr="00CC7D8B">
        <w:lastRenderedPageBreak/>
        <w:t xml:space="preserve">Figure </w:t>
      </w:r>
      <w:fldSimple w:instr=" SEQ Figure \* ARABIC ">
        <w:r w:rsidR="00522240">
          <w:rPr>
            <w:noProof/>
          </w:rPr>
          <w:t>1</w:t>
        </w:r>
      </w:fldSimple>
      <w:r w:rsidRPr="00CC7D8B">
        <w:t xml:space="preserve">: </w:t>
      </w:r>
      <w:r w:rsidR="0048495F">
        <w:t xml:space="preserve">Study P204 </w:t>
      </w:r>
      <w:r w:rsidR="0048495F" w:rsidRPr="00336090">
        <w:rPr>
          <w:i/>
        </w:rPr>
        <w:t>Post-hoc</w:t>
      </w:r>
      <w:r w:rsidR="0048495F">
        <w:t xml:space="preserve"> analysis </w:t>
      </w:r>
      <w:r w:rsidR="00E541C4" w:rsidRPr="00CC7D8B">
        <w:t xml:space="preserve">of </w:t>
      </w:r>
      <w:proofErr w:type="spellStart"/>
      <w:r w:rsidR="00E541C4" w:rsidRPr="00CC7D8B">
        <w:t>MesoScale</w:t>
      </w:r>
      <w:proofErr w:type="spellEnd"/>
      <w:r w:rsidR="00E541C4" w:rsidRPr="00CC7D8B">
        <w:t xml:space="preserve"> assay </w:t>
      </w:r>
      <w:r w:rsidR="0048495F">
        <w:t xml:space="preserve">data </w:t>
      </w:r>
      <w:r w:rsidR="00E541C4" w:rsidRPr="00CC7D8B">
        <w:t xml:space="preserve">against </w:t>
      </w:r>
      <w:r w:rsidR="00336090">
        <w:t>coronavirus disease 2019</w:t>
      </w:r>
      <w:r w:rsidR="0048495F">
        <w:t xml:space="preserve"> </w:t>
      </w:r>
      <w:r w:rsidR="00675767" w:rsidRPr="00CC7D8B">
        <w:t>variant</w:t>
      </w:r>
      <w:r w:rsidR="0048495F">
        <w:t>s</w:t>
      </w:r>
      <w:r w:rsidR="00675767" w:rsidRPr="00CC7D8B">
        <w:t xml:space="preserve"> of concern</w:t>
      </w:r>
      <w:r w:rsidR="00E541C4" w:rsidRPr="00CC7D8B">
        <w:t xml:space="preserve"> </w:t>
      </w:r>
      <w:r w:rsidR="0048495F">
        <w:t>(</w:t>
      </w:r>
      <w:r w:rsidR="00E541C4" w:rsidRPr="00CC7D8B">
        <w:t>randomly selected patients</w:t>
      </w:r>
      <w:r w:rsidR="0048495F">
        <w:t>)</w:t>
      </w:r>
    </w:p>
    <w:p w14:paraId="65ABEF90" w14:textId="60176509" w:rsidR="00205B1B" w:rsidRPr="00CC7D8B" w:rsidRDefault="00205B1B" w:rsidP="008326B1">
      <w:r w:rsidRPr="00CC7D8B">
        <w:rPr>
          <w:noProof/>
          <w:lang w:val="en-GB" w:eastAsia="en-GB"/>
        </w:rPr>
        <w:drawing>
          <wp:inline distT="0" distB="0" distL="0" distR="0" wp14:anchorId="7C8BF0D8" wp14:editId="6DED2AD7">
            <wp:extent cx="5400040" cy="4036060"/>
            <wp:effectExtent l="0" t="0" r="0" b="2540"/>
            <wp:docPr id="27" name="Picture 27" descr="Figure 1: Study P204 Post-hoc analysis of MesoScale assay data against coronavirus disease 2019 variants of concern (randomly selec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 Study P204 Post-hoc analysis of MesoScale assay data against coronavirus disease 2019 variants of concern (randomly selected patients)"/>
                    <pic:cNvPicPr/>
                  </pic:nvPicPr>
                  <pic:blipFill>
                    <a:blip r:embed="rId24"/>
                    <a:stretch>
                      <a:fillRect/>
                    </a:stretch>
                  </pic:blipFill>
                  <pic:spPr>
                    <a:xfrm>
                      <a:off x="0" y="0"/>
                      <a:ext cx="5400040" cy="4036060"/>
                    </a:xfrm>
                    <a:prstGeom prst="rect">
                      <a:avLst/>
                    </a:prstGeom>
                  </pic:spPr>
                </pic:pic>
              </a:graphicData>
            </a:graphic>
          </wp:inline>
        </w:drawing>
      </w:r>
    </w:p>
    <w:p w14:paraId="5629A8F8" w14:textId="48DD330A" w:rsidR="008C58A3" w:rsidRPr="00CC7D8B" w:rsidRDefault="0048495F" w:rsidP="008326B1">
      <w:pPr>
        <w:pStyle w:val="FigureDescription"/>
      </w:pPr>
      <w:r>
        <w:t xml:space="preserve">Abbreviations: </w:t>
      </w:r>
      <w:proofErr w:type="spellStart"/>
      <w:r w:rsidR="008C58A3" w:rsidRPr="00CC7D8B">
        <w:t>bAb</w:t>
      </w:r>
      <w:proofErr w:type="spellEnd"/>
      <w:r w:rsidR="008C58A3" w:rsidRPr="00CC7D8B">
        <w:t xml:space="preserve"> = binding antibody; D1 = Dose 1; mRNA-1273 = Spikevax COVID-19 mRNA-1273 </w:t>
      </w:r>
      <w:r>
        <w:t xml:space="preserve">(elasomeran) </w:t>
      </w:r>
      <w:r w:rsidR="008C58A3" w:rsidRPr="00CC7D8B">
        <w:t>vaccine; n = number of subjects in groups.</w:t>
      </w:r>
    </w:p>
    <w:p w14:paraId="094E4DD6" w14:textId="24FB84C7" w:rsidR="00E541C4" w:rsidRPr="00CC7D8B" w:rsidRDefault="00E541C4" w:rsidP="003F277B">
      <w:r w:rsidRPr="00CC7D8B">
        <w:t xml:space="preserve">This assay suggests that the binding of antibodies generated by Spikevax </w:t>
      </w:r>
      <w:r w:rsidR="0048495F">
        <w:t xml:space="preserve">(elasomeran) </w:t>
      </w:r>
      <w:r w:rsidRPr="00CC7D8B">
        <w:t xml:space="preserve">against </w:t>
      </w:r>
      <w:r w:rsidR="0048495F">
        <w:t xml:space="preserve">the </w:t>
      </w:r>
      <w:r w:rsidRPr="00CC7D8B">
        <w:t xml:space="preserve">Omicron </w:t>
      </w:r>
      <w:r w:rsidR="00F2117B" w:rsidRPr="00CC7D8B">
        <w:t>variant</w:t>
      </w:r>
      <w:r w:rsidRPr="00CC7D8B">
        <w:t xml:space="preserve"> is less than that observed against the Delta </w:t>
      </w:r>
      <w:r w:rsidR="00F2117B" w:rsidRPr="00CC7D8B">
        <w:t>variant</w:t>
      </w:r>
      <w:r w:rsidRPr="00CC7D8B">
        <w:t xml:space="preserve"> that was circulating during the study. The Delegate notes that this pattern of reduced activity of vaccine elicited antibodies against </w:t>
      </w:r>
      <w:r w:rsidR="0048495F">
        <w:t xml:space="preserve">the </w:t>
      </w:r>
      <w:r w:rsidRPr="00CC7D8B">
        <w:t xml:space="preserve">Omicron </w:t>
      </w:r>
      <w:r w:rsidR="00F2117B" w:rsidRPr="00CC7D8B">
        <w:t>variant</w:t>
      </w:r>
      <w:r w:rsidRPr="00CC7D8B">
        <w:t xml:space="preserve"> has been observed in other age groups and vaccines and so is not unexpected.</w:t>
      </w:r>
    </w:p>
    <w:p w14:paraId="2F9C9F82" w14:textId="6B924954" w:rsidR="00E541C4" w:rsidRPr="00CC7D8B" w:rsidRDefault="00E541C4" w:rsidP="003F277B">
      <w:pPr>
        <w:pStyle w:val="Heading4"/>
      </w:pPr>
      <w:r w:rsidRPr="00CC7D8B">
        <w:t>Safety</w:t>
      </w:r>
    </w:p>
    <w:p w14:paraId="26A013CC" w14:textId="58A4D97D" w:rsidR="00E541C4" w:rsidRPr="00CC7D8B" w:rsidRDefault="00E541C4" w:rsidP="003F277B">
      <w:r w:rsidRPr="00CC7D8B">
        <w:t xml:space="preserve">The </w:t>
      </w:r>
      <w:r w:rsidR="00C14F80" w:rsidRPr="00CC7D8B">
        <w:t>clinical evaluat</w:t>
      </w:r>
      <w:r w:rsidR="0048495F">
        <w:t>ion</w:t>
      </w:r>
      <w:r w:rsidRPr="00CC7D8B">
        <w:t xml:space="preserve"> provided a thorough review of the safety data for this vaccine, which follows the division of age cohorts and parts of </w:t>
      </w:r>
      <w:r w:rsidR="00C14F80" w:rsidRPr="00CC7D8B">
        <w:t>Study P204</w:t>
      </w:r>
      <w:r w:rsidRPr="00CC7D8B">
        <w:t xml:space="preserve"> in the efficacy analysis starting on the </w:t>
      </w:r>
      <w:r w:rsidR="00C14F80" w:rsidRPr="00CC7D8B">
        <w:t>clinical evaluation report</w:t>
      </w:r>
      <w:r w:rsidRPr="00CC7D8B">
        <w:t>.</w:t>
      </w:r>
      <w:bookmarkStart w:id="47" w:name="_Ref108687855"/>
      <w:r w:rsidR="00F2117B" w:rsidRPr="00CC7D8B">
        <w:rPr>
          <w:rStyle w:val="FootnoteReference"/>
        </w:rPr>
        <w:footnoteReference w:id="20"/>
      </w:r>
      <w:bookmarkEnd w:id="47"/>
    </w:p>
    <w:p w14:paraId="66243D38" w14:textId="02D0AFA6" w:rsidR="00E541C4" w:rsidRPr="00CC7D8B" w:rsidRDefault="00E541C4" w:rsidP="003F277B">
      <w:r w:rsidRPr="00CC7D8B">
        <w:t xml:space="preserve">The Delegate notes that the assessment provided in the </w:t>
      </w:r>
      <w:r w:rsidR="00C14F80" w:rsidRPr="00CC7D8B">
        <w:t>clinical study report</w:t>
      </w:r>
      <w:r w:rsidRPr="00CC7D8B">
        <w:t xml:space="preserve"> includes additional analysis and information provided in response to questions to the </w:t>
      </w:r>
      <w:r w:rsidR="00C14F80" w:rsidRPr="00CC7D8B">
        <w:t>sponsor</w:t>
      </w:r>
      <w:r w:rsidRPr="00CC7D8B">
        <w:t>.</w:t>
      </w:r>
      <w:r w:rsidR="00F2117B" w:rsidRPr="00CC7D8B">
        <w:rPr>
          <w:vertAlign w:val="superscript"/>
        </w:rPr>
        <w:fldChar w:fldCharType="begin"/>
      </w:r>
      <w:r w:rsidR="00F2117B" w:rsidRPr="00CC7D8B">
        <w:rPr>
          <w:vertAlign w:val="superscript"/>
        </w:rPr>
        <w:instrText xml:space="preserve"> NOTEREF _Ref108687855 \h  \* MERGEFORMAT </w:instrText>
      </w:r>
      <w:r w:rsidR="00F2117B" w:rsidRPr="00CC7D8B">
        <w:rPr>
          <w:vertAlign w:val="superscript"/>
        </w:rPr>
      </w:r>
      <w:r w:rsidR="00F2117B" w:rsidRPr="00CC7D8B">
        <w:rPr>
          <w:vertAlign w:val="superscript"/>
        </w:rPr>
        <w:fldChar w:fldCharType="separate"/>
      </w:r>
      <w:r w:rsidR="00522240">
        <w:rPr>
          <w:vertAlign w:val="superscript"/>
        </w:rPr>
        <w:t>19</w:t>
      </w:r>
      <w:r w:rsidR="00F2117B" w:rsidRPr="00CC7D8B">
        <w:rPr>
          <w:vertAlign w:val="superscript"/>
        </w:rPr>
        <w:fldChar w:fldCharType="end"/>
      </w:r>
    </w:p>
    <w:p w14:paraId="174D6B75" w14:textId="577015F1" w:rsidR="00E541C4" w:rsidRPr="00CC7D8B" w:rsidRDefault="00E541C4" w:rsidP="003F277B">
      <w:r w:rsidRPr="00CC7D8B">
        <w:t xml:space="preserve">The safety data is provided by </w:t>
      </w:r>
      <w:r w:rsidR="00C14F80" w:rsidRPr="00CC7D8B">
        <w:t>Study P204</w:t>
      </w:r>
      <w:r w:rsidRPr="00CC7D8B">
        <w:t>, which constitutes the relevant patient exposure.</w:t>
      </w:r>
    </w:p>
    <w:p w14:paraId="10202061" w14:textId="1EB71132" w:rsidR="00E541C4" w:rsidRPr="00CC7D8B" w:rsidRDefault="00E541C4" w:rsidP="003F277B">
      <w:r w:rsidRPr="00CC7D8B">
        <w:t>Post</w:t>
      </w:r>
      <w:r w:rsidR="00D25559" w:rsidRPr="00CC7D8B">
        <w:t>-</w:t>
      </w:r>
      <w:r w:rsidRPr="00CC7D8B">
        <w:t xml:space="preserve">market summaries were provided for the extensive exposure to Spikevax since 2020, although as the </w:t>
      </w:r>
      <w:r w:rsidR="00C14F80" w:rsidRPr="00CC7D8B">
        <w:t>clinical evaluator</w:t>
      </w:r>
      <w:r w:rsidRPr="00CC7D8B">
        <w:t xml:space="preserve"> has noted there is limited exposure in </w:t>
      </w:r>
      <w:r w:rsidR="0048495F">
        <w:t>children of less than</w:t>
      </w:r>
      <w:r w:rsidR="00F2117B" w:rsidRPr="00CC7D8B">
        <w:t> </w:t>
      </w:r>
      <w:r w:rsidRPr="00CC7D8B">
        <w:t>6 years of age in that data.</w:t>
      </w:r>
    </w:p>
    <w:p w14:paraId="3BD58FE3" w14:textId="1E187F7C" w:rsidR="00205B1B" w:rsidRPr="00CC7D8B" w:rsidRDefault="00205B1B" w:rsidP="008326B1">
      <w:pPr>
        <w:pStyle w:val="TableTitle"/>
      </w:pPr>
      <w:r w:rsidRPr="00CC7D8B">
        <w:lastRenderedPageBreak/>
        <w:t xml:space="preserve">Table </w:t>
      </w:r>
      <w:fldSimple w:instr=" SEQ Table \* ARABIC ">
        <w:r w:rsidR="00522240">
          <w:rPr>
            <w:noProof/>
          </w:rPr>
          <w:t>8</w:t>
        </w:r>
      </w:fldSimple>
      <w:r w:rsidRPr="00CC7D8B">
        <w:t xml:space="preserve">: </w:t>
      </w:r>
      <w:r w:rsidR="0048495F">
        <w:t>Summary of exposure (d</w:t>
      </w:r>
      <w:r w:rsidR="00E541C4" w:rsidRPr="00CC7D8B">
        <w:t>oses</w:t>
      </w:r>
      <w:r w:rsidR="0048495F">
        <w:t>)</w:t>
      </w:r>
      <w:r w:rsidR="00E541C4" w:rsidRPr="00CC7D8B">
        <w:t xml:space="preserve"> of Spikevax </w:t>
      </w:r>
      <w:r w:rsidR="0048495F">
        <w:t xml:space="preserve">(elasomeran) vaccine </w:t>
      </w:r>
      <w:r w:rsidR="00E541C4" w:rsidRPr="00CC7D8B">
        <w:t xml:space="preserve">administered </w:t>
      </w:r>
      <w:r w:rsidR="0048495F">
        <w:t>up until</w:t>
      </w:r>
      <w:r w:rsidR="00E541C4" w:rsidRPr="00CC7D8B">
        <w:t xml:space="preserve"> 15 April 2022 </w:t>
      </w:r>
      <w:r w:rsidR="0048495F">
        <w:t>(</w:t>
      </w:r>
      <w:r w:rsidR="00E541C4" w:rsidRPr="00CC7D8B">
        <w:t>by age group</w:t>
      </w:r>
      <w:r w:rsidR="0048495F">
        <w:t>)</w:t>
      </w:r>
    </w:p>
    <w:p w14:paraId="42A1B98E" w14:textId="01B40F5B" w:rsidR="00205B1B" w:rsidRPr="00CC7D8B" w:rsidRDefault="00205B1B" w:rsidP="008326B1">
      <w:pPr>
        <w:rPr>
          <w:b/>
          <w:bCs/>
        </w:rPr>
      </w:pPr>
      <w:r w:rsidRPr="00CC7D8B">
        <w:rPr>
          <w:noProof/>
          <w:lang w:val="en-GB" w:eastAsia="en-GB"/>
        </w:rPr>
        <w:drawing>
          <wp:inline distT="0" distB="0" distL="0" distR="0" wp14:anchorId="73BDCACE" wp14:editId="441EC72F">
            <wp:extent cx="4536980" cy="647149"/>
            <wp:effectExtent l="0" t="0" r="0" b="635"/>
            <wp:docPr id="26" name="Picture 26" descr="Table 8: Summary of exposure (doses) of Spikevax (elasomeran) vaccine administered up until 15 April 2022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8: Summary of exposure (doses) of Spikevax (elasomeran) vaccine administered up until 15 April 2022 (by age group)"/>
                    <pic:cNvPicPr/>
                  </pic:nvPicPr>
                  <pic:blipFill>
                    <a:blip r:embed="rId25"/>
                    <a:stretch>
                      <a:fillRect/>
                    </a:stretch>
                  </pic:blipFill>
                  <pic:spPr>
                    <a:xfrm>
                      <a:off x="0" y="0"/>
                      <a:ext cx="4669984" cy="666120"/>
                    </a:xfrm>
                    <a:prstGeom prst="rect">
                      <a:avLst/>
                    </a:prstGeom>
                  </pic:spPr>
                </pic:pic>
              </a:graphicData>
            </a:graphic>
          </wp:inline>
        </w:drawing>
      </w:r>
    </w:p>
    <w:p w14:paraId="7B1EA606" w14:textId="372E4607" w:rsidR="00E541C4" w:rsidRPr="00CC7D8B" w:rsidRDefault="00596201" w:rsidP="008326B1">
      <w:pPr>
        <w:pStyle w:val="TableTitle"/>
      </w:pPr>
      <w:r w:rsidRPr="00CC7D8B">
        <w:t xml:space="preserve">Table </w:t>
      </w:r>
      <w:fldSimple w:instr=" SEQ Table \* ARABIC ">
        <w:r w:rsidR="00522240">
          <w:rPr>
            <w:noProof/>
          </w:rPr>
          <w:t>9</w:t>
        </w:r>
      </w:fldSimple>
      <w:r w:rsidRPr="00CC7D8B">
        <w:t xml:space="preserve">: </w:t>
      </w:r>
      <w:r w:rsidR="00205B1B" w:rsidRPr="00CC7D8B">
        <w:t xml:space="preserve">Study P204 </w:t>
      </w:r>
      <w:r w:rsidR="00E541C4" w:rsidRPr="00CC7D8B">
        <w:t xml:space="preserve">Summary of solicited adverse events in </w:t>
      </w:r>
      <w:r w:rsidR="005C5D5D">
        <w:t>children</w:t>
      </w:r>
      <w:r w:rsidR="005C5D5D" w:rsidRPr="00CC7D8B">
        <w:t xml:space="preserve"> </w:t>
      </w:r>
      <w:r w:rsidR="005C5D5D">
        <w:t xml:space="preserve">between </w:t>
      </w:r>
      <w:r w:rsidR="00E541C4" w:rsidRPr="00CC7D8B">
        <w:t>2</w:t>
      </w:r>
      <w:r w:rsidR="005C5D5D">
        <w:t>4 and 36 months of age;</w:t>
      </w:r>
      <w:r w:rsidR="00675767" w:rsidRPr="00CC7D8B">
        <w:t xml:space="preserve"> </w:t>
      </w:r>
      <w:r w:rsidR="005C5D5D">
        <w:t>and</w:t>
      </w:r>
      <w:r w:rsidR="00675767" w:rsidRPr="00CC7D8B">
        <w:t xml:space="preserve"> </w:t>
      </w:r>
      <w:r w:rsidR="005C5D5D">
        <w:t>between 37 months and less than</w:t>
      </w:r>
      <w:r w:rsidR="00675767" w:rsidRPr="00CC7D8B">
        <w:t xml:space="preserve"> </w:t>
      </w:r>
      <w:r w:rsidR="00E541C4" w:rsidRPr="00CC7D8B">
        <w:t>6</w:t>
      </w:r>
      <w:r w:rsidR="005C5D5D">
        <w:t> </w:t>
      </w:r>
      <w:r w:rsidR="00E541C4" w:rsidRPr="00CC7D8B">
        <w:t>years of age</w:t>
      </w:r>
    </w:p>
    <w:p w14:paraId="193B2433" w14:textId="6A055982" w:rsidR="00596201" w:rsidRPr="00CC7D8B" w:rsidRDefault="00596201" w:rsidP="008326B1">
      <w:r w:rsidRPr="00CC7D8B">
        <w:rPr>
          <w:noProof/>
          <w:lang w:val="en-GB" w:eastAsia="en-GB"/>
        </w:rPr>
        <w:drawing>
          <wp:inline distT="0" distB="0" distL="0" distR="0" wp14:anchorId="51F65991" wp14:editId="0CFFFDD4">
            <wp:extent cx="5400040" cy="4838065"/>
            <wp:effectExtent l="0" t="0" r="0" b="635"/>
            <wp:docPr id="24" name="Picture 24" descr="Table 9: Study P204 Summary of solicited adverse events in children between 24 and 36 months of age; and between 37 months and less than 6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9: Study P204 Summary of solicited adverse events in children between 24 and 36 months of age; and between 37 months and less than 6 years of age"/>
                    <pic:cNvPicPr/>
                  </pic:nvPicPr>
                  <pic:blipFill>
                    <a:blip r:embed="rId26"/>
                    <a:stretch>
                      <a:fillRect/>
                    </a:stretch>
                  </pic:blipFill>
                  <pic:spPr>
                    <a:xfrm>
                      <a:off x="0" y="0"/>
                      <a:ext cx="5400040" cy="4838065"/>
                    </a:xfrm>
                    <a:prstGeom prst="rect">
                      <a:avLst/>
                    </a:prstGeom>
                  </pic:spPr>
                </pic:pic>
              </a:graphicData>
            </a:graphic>
          </wp:inline>
        </w:drawing>
      </w:r>
    </w:p>
    <w:p w14:paraId="49A1189F" w14:textId="5DD8C3B6" w:rsidR="00596201" w:rsidRPr="00CC7D8B" w:rsidRDefault="005C5D5D" w:rsidP="008326B1">
      <w:pPr>
        <w:pStyle w:val="TableDescription"/>
      </w:pPr>
      <w:r>
        <w:t xml:space="preserve">Abbreviations: </w:t>
      </w:r>
      <w:r w:rsidR="008C58A3" w:rsidRPr="00CC7D8B">
        <w:t xml:space="preserve">Any = </w:t>
      </w:r>
      <w:r w:rsidR="00E177B8">
        <w:t>a</w:t>
      </w:r>
      <w:r>
        <w:t xml:space="preserve">ny solicited </w:t>
      </w:r>
      <w:r w:rsidR="00036695" w:rsidRPr="00CC7D8B">
        <w:t>G</w:t>
      </w:r>
      <w:r w:rsidR="008C58A3" w:rsidRPr="00CC7D8B">
        <w:t>rade 1</w:t>
      </w:r>
      <w:r>
        <w:t xml:space="preserve"> or higher systemic adverse reaction</w:t>
      </w:r>
      <w:r w:rsidR="008C58A3" w:rsidRPr="00CC7D8B">
        <w:t xml:space="preserve">; mRNA-1273 = Spikevax COVID-19 mRNA-1273 </w:t>
      </w:r>
      <w:r>
        <w:t xml:space="preserve">(elasomeran) </w:t>
      </w:r>
      <w:r w:rsidR="008C58A3" w:rsidRPr="00CC7D8B">
        <w:t xml:space="preserve">vaccine; N = number of subjects; n = number of subjects in groups; </w:t>
      </w:r>
      <w:r w:rsidR="00596201" w:rsidRPr="00CC7D8B">
        <w:t>N1 = number of participants who submitted any data for the event.</w:t>
      </w:r>
    </w:p>
    <w:p w14:paraId="443A5EEF" w14:textId="3EFEDB30" w:rsidR="00596201" w:rsidRPr="00CC7D8B" w:rsidRDefault="00596201" w:rsidP="008326B1">
      <w:pPr>
        <w:pStyle w:val="TableDescription"/>
      </w:pPr>
      <w:r w:rsidRPr="00CC7D8B">
        <w:t>(-) indicates that this assessment is not applicable to participants in this age group.</w:t>
      </w:r>
    </w:p>
    <w:p w14:paraId="6A47CFAD" w14:textId="09AE4BDD" w:rsidR="00596201" w:rsidRPr="00CC7D8B" w:rsidRDefault="00596201" w:rsidP="008326B1">
      <w:pPr>
        <w:pStyle w:val="TableDescription"/>
      </w:pPr>
      <w:r w:rsidRPr="00CC7D8B">
        <w:t xml:space="preserve">Toxicity grade for solicited systemic adverse reactions other than fever is defined as: </w:t>
      </w:r>
      <w:r w:rsidR="00036695" w:rsidRPr="00CC7D8B">
        <w:t>G</w:t>
      </w:r>
      <w:r w:rsidRPr="00CC7D8B">
        <w:t>rade 1 = no interference with activity (or, for nausea/vomiting:</w:t>
      </w:r>
      <w:r w:rsidR="00036695" w:rsidRPr="00CC7D8B">
        <w:t xml:space="preserve"> </w:t>
      </w:r>
      <w:r w:rsidRPr="00CC7D8B">
        <w:t>1</w:t>
      </w:r>
      <w:r w:rsidR="00036695" w:rsidRPr="00CC7D8B">
        <w:t xml:space="preserve"> to </w:t>
      </w:r>
      <w:r w:rsidRPr="00CC7D8B">
        <w:t xml:space="preserve">2 episodes/24 hours); </w:t>
      </w:r>
      <w:r w:rsidR="00036695" w:rsidRPr="00CC7D8B">
        <w:t>G</w:t>
      </w:r>
      <w:r w:rsidRPr="00CC7D8B">
        <w:t xml:space="preserve">rade 2 = some interference with activity (or, for nausea/vomiting: &gt; 2 episodes/24 hours); </w:t>
      </w:r>
      <w:r w:rsidR="00036695" w:rsidRPr="00CC7D8B">
        <w:t>Grade</w:t>
      </w:r>
      <w:r w:rsidRPr="00CC7D8B">
        <w:t xml:space="preserve"> 3 = prevents daily activity; </w:t>
      </w:r>
      <w:r w:rsidR="00036695" w:rsidRPr="00CC7D8B">
        <w:t>Grade</w:t>
      </w:r>
      <w:r w:rsidR="00205B1B" w:rsidRPr="00CC7D8B">
        <w:t xml:space="preserve"> </w:t>
      </w:r>
      <w:r w:rsidRPr="00CC7D8B">
        <w:t>4 = emergency room visit or hospitali</w:t>
      </w:r>
      <w:r w:rsidR="00C32995" w:rsidRPr="00CC7D8B">
        <w:t>s</w:t>
      </w:r>
      <w:r w:rsidRPr="00CC7D8B">
        <w:t>ation. Toxicity grades for fever based on age group (2 years to ≤ 36 months or 37 months to &lt; 6 years). Protocol</w:t>
      </w:r>
      <w:r w:rsidR="00036695" w:rsidRPr="00CC7D8B">
        <w:t xml:space="preserve"> </w:t>
      </w:r>
      <w:r w:rsidRPr="00CC7D8B">
        <w:t>defined</w:t>
      </w:r>
      <w:r w:rsidR="00205B1B" w:rsidRPr="00CC7D8B">
        <w:t xml:space="preserve"> </w:t>
      </w:r>
      <w:r w:rsidRPr="00CC7D8B">
        <w:t>fever grades in participants aged 37</w:t>
      </w:r>
      <w:r w:rsidR="00036695" w:rsidRPr="00CC7D8B">
        <w:t> </w:t>
      </w:r>
      <w:r w:rsidRPr="00CC7D8B">
        <w:t xml:space="preserve">months to &lt; 6 years were the following: </w:t>
      </w:r>
      <w:r w:rsidR="00036695" w:rsidRPr="00CC7D8B">
        <w:t>Grade</w:t>
      </w:r>
      <w:r w:rsidRPr="00CC7D8B">
        <w:t xml:space="preserve"> 1 = 38°C to 38.4°C, </w:t>
      </w:r>
      <w:r w:rsidR="00036695" w:rsidRPr="00CC7D8B">
        <w:t>Grade</w:t>
      </w:r>
      <w:r w:rsidRPr="00CC7D8B">
        <w:t xml:space="preserve"> 2 = 38.5°C to 38.9°C, </w:t>
      </w:r>
      <w:r w:rsidR="00036695" w:rsidRPr="00CC7D8B">
        <w:t>Grade</w:t>
      </w:r>
      <w:r w:rsidR="005C5D5D">
        <w:t> </w:t>
      </w:r>
      <w:r w:rsidRPr="00CC7D8B">
        <w:t>3</w:t>
      </w:r>
      <w:r w:rsidR="005C5D5D">
        <w:t> </w:t>
      </w:r>
      <w:r w:rsidRPr="00CC7D8B">
        <w:t>= 39°C to 40°C,</w:t>
      </w:r>
      <w:r w:rsidR="00205B1B" w:rsidRPr="00CC7D8B">
        <w:t xml:space="preserve"> </w:t>
      </w:r>
      <w:r w:rsidRPr="00CC7D8B">
        <w:t xml:space="preserve">and </w:t>
      </w:r>
      <w:r w:rsidR="00036695" w:rsidRPr="00CC7D8B">
        <w:t>Grade</w:t>
      </w:r>
      <w:r w:rsidRPr="00CC7D8B">
        <w:t xml:space="preserve"> 4 &gt; 40°C. Protocol-defined fever grades in participants 2 years to ≤</w:t>
      </w:r>
      <w:r w:rsidR="005C5D5D">
        <w:t> </w:t>
      </w:r>
      <w:r w:rsidRPr="00CC7D8B">
        <w:t>36</w:t>
      </w:r>
      <w:r w:rsidR="005C5D5D">
        <w:t> </w:t>
      </w:r>
      <w:r w:rsidRPr="00CC7D8B">
        <w:t xml:space="preserve">months were the following: </w:t>
      </w:r>
      <w:r w:rsidR="00036695" w:rsidRPr="00CC7D8B">
        <w:t>Grade</w:t>
      </w:r>
      <w:r w:rsidRPr="00CC7D8B">
        <w:t xml:space="preserve"> 1 = 38°C to 38.5°C, </w:t>
      </w:r>
      <w:r w:rsidR="00036695" w:rsidRPr="00CC7D8B">
        <w:t>Grade</w:t>
      </w:r>
      <w:r w:rsidRPr="00CC7D8B">
        <w:t xml:space="preserve"> 2 = 38.6°C to</w:t>
      </w:r>
      <w:r w:rsidR="00205B1B" w:rsidRPr="00CC7D8B">
        <w:t xml:space="preserve"> </w:t>
      </w:r>
      <w:r w:rsidRPr="00CC7D8B">
        <w:t xml:space="preserve">39.5°C, </w:t>
      </w:r>
      <w:r w:rsidR="00036695" w:rsidRPr="00CC7D8B">
        <w:t>Grade</w:t>
      </w:r>
      <w:r w:rsidRPr="00CC7D8B">
        <w:t xml:space="preserve"> 3 = 39.6°C to 40°C, and </w:t>
      </w:r>
      <w:r w:rsidR="00036695" w:rsidRPr="00CC7D8B">
        <w:t>Grade</w:t>
      </w:r>
      <w:r w:rsidRPr="00CC7D8B">
        <w:t xml:space="preserve"> 4 &gt; 40.0°C.</w:t>
      </w:r>
    </w:p>
    <w:p w14:paraId="25EFF9A8" w14:textId="5318614D" w:rsidR="00E541C4" w:rsidRPr="003133DE" w:rsidRDefault="00205B1B" w:rsidP="003133DE">
      <w:pPr>
        <w:pStyle w:val="TableTitle"/>
      </w:pPr>
      <w:r w:rsidRPr="003133DE">
        <w:lastRenderedPageBreak/>
        <w:t xml:space="preserve">Table </w:t>
      </w:r>
      <w:fldSimple w:instr=" SEQ Table \* ARABIC ">
        <w:r w:rsidR="00522240">
          <w:rPr>
            <w:noProof/>
          </w:rPr>
          <w:t>10</w:t>
        </w:r>
      </w:fldSimple>
      <w:r w:rsidRPr="003133DE">
        <w:t xml:space="preserve">: Study P204 </w:t>
      </w:r>
      <w:r w:rsidR="00E541C4" w:rsidRPr="003133DE">
        <w:t xml:space="preserve">Summary of solicited adverse events in </w:t>
      </w:r>
      <w:r w:rsidR="003D4134">
        <w:t>children</w:t>
      </w:r>
      <w:r w:rsidR="005C5D5D" w:rsidRPr="003133DE">
        <w:t xml:space="preserve"> between</w:t>
      </w:r>
      <w:r w:rsidR="00E541C4" w:rsidRPr="003133DE">
        <w:t xml:space="preserve"> 6</w:t>
      </w:r>
      <w:r w:rsidR="005C5D5D" w:rsidRPr="003133DE">
        <w:t> </w:t>
      </w:r>
      <w:r w:rsidR="00E541C4" w:rsidRPr="003133DE">
        <w:t>months</w:t>
      </w:r>
      <w:r w:rsidR="00675767" w:rsidRPr="003133DE">
        <w:t xml:space="preserve"> </w:t>
      </w:r>
      <w:r w:rsidR="005C5D5D" w:rsidRPr="003133DE">
        <w:t>and less than</w:t>
      </w:r>
      <w:r w:rsidR="00675767" w:rsidRPr="003133DE">
        <w:t> </w:t>
      </w:r>
      <w:r w:rsidR="00E541C4" w:rsidRPr="003133DE">
        <w:t>2</w:t>
      </w:r>
      <w:r w:rsidR="00675767" w:rsidRPr="003133DE">
        <w:t> </w:t>
      </w:r>
      <w:r w:rsidR="00E541C4" w:rsidRPr="003133DE">
        <w:t>years</w:t>
      </w:r>
      <w:r w:rsidR="00675767" w:rsidRPr="003133DE">
        <w:t xml:space="preserve"> of age</w:t>
      </w:r>
    </w:p>
    <w:p w14:paraId="737E92C0" w14:textId="56510B77" w:rsidR="00205B1B" w:rsidRPr="00CC7D8B" w:rsidRDefault="00205B1B" w:rsidP="008326B1">
      <w:r w:rsidRPr="00CC7D8B">
        <w:rPr>
          <w:noProof/>
          <w:lang w:val="en-GB" w:eastAsia="en-GB"/>
        </w:rPr>
        <w:drawing>
          <wp:inline distT="0" distB="0" distL="0" distR="0" wp14:anchorId="2DEE1764" wp14:editId="225E1ECE">
            <wp:extent cx="5400040" cy="3738245"/>
            <wp:effectExtent l="0" t="0" r="0" b="0"/>
            <wp:docPr id="25" name="Picture 25" descr="Table 10: Study P204 Summary of solicited adverse events in patients between 6 months and less than 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10: Study P204 Summary of solicited adverse events in patients between 6 months and less than 2 years of age"/>
                    <pic:cNvPicPr/>
                  </pic:nvPicPr>
                  <pic:blipFill>
                    <a:blip r:embed="rId27"/>
                    <a:stretch>
                      <a:fillRect/>
                    </a:stretch>
                  </pic:blipFill>
                  <pic:spPr>
                    <a:xfrm>
                      <a:off x="0" y="0"/>
                      <a:ext cx="5400040" cy="3738245"/>
                    </a:xfrm>
                    <a:prstGeom prst="rect">
                      <a:avLst/>
                    </a:prstGeom>
                  </pic:spPr>
                </pic:pic>
              </a:graphicData>
            </a:graphic>
          </wp:inline>
        </w:drawing>
      </w:r>
    </w:p>
    <w:p w14:paraId="5B96AC28" w14:textId="6A0AF231" w:rsidR="00205B1B" w:rsidRPr="00CC7D8B" w:rsidRDefault="00672162" w:rsidP="008326B1">
      <w:pPr>
        <w:pStyle w:val="TableDescription"/>
      </w:pPr>
      <w:r>
        <w:t xml:space="preserve">Abbreviations: </w:t>
      </w:r>
      <w:r w:rsidR="008C58A3" w:rsidRPr="00CC7D8B">
        <w:t xml:space="preserve">Any = </w:t>
      </w:r>
      <w:r w:rsidR="00E177B8">
        <w:t>a</w:t>
      </w:r>
      <w:r w:rsidR="005C5D5D">
        <w:t xml:space="preserve">ny solicited </w:t>
      </w:r>
      <w:r w:rsidR="005C5D5D" w:rsidRPr="00CC7D8B">
        <w:t>Grade 1</w:t>
      </w:r>
      <w:r w:rsidR="005C5D5D">
        <w:t xml:space="preserve"> or higher systemic adverse reaction</w:t>
      </w:r>
      <w:r w:rsidR="008C58A3" w:rsidRPr="00CC7D8B">
        <w:t xml:space="preserve">; mRNA-1273 = Spikevax COVID-19 mRNA-1273 </w:t>
      </w:r>
      <w:r w:rsidR="005C5D5D">
        <w:t xml:space="preserve">(elasomeran) </w:t>
      </w:r>
      <w:r w:rsidR="008C58A3" w:rsidRPr="00CC7D8B">
        <w:t xml:space="preserve">vaccine; N = number of subjects; n = number of subjects in groups; </w:t>
      </w:r>
      <w:r w:rsidR="00205B1B" w:rsidRPr="00CC7D8B">
        <w:t>N1</w:t>
      </w:r>
      <w:r w:rsidR="005C5D5D">
        <w:t> </w:t>
      </w:r>
      <w:r w:rsidR="00205B1B" w:rsidRPr="00CC7D8B">
        <w:t>=</w:t>
      </w:r>
      <w:r w:rsidR="005C5D5D">
        <w:t> </w:t>
      </w:r>
      <w:r w:rsidR="00205B1B" w:rsidRPr="00CC7D8B">
        <w:t>number of participants who submitted any data for the event.</w:t>
      </w:r>
    </w:p>
    <w:p w14:paraId="3E57592B" w14:textId="3DB75FC6" w:rsidR="00205B1B" w:rsidRPr="00CC7D8B" w:rsidRDefault="00205B1B" w:rsidP="008326B1">
      <w:pPr>
        <w:pStyle w:val="TableDescription"/>
      </w:pPr>
      <w:r w:rsidRPr="00CC7D8B">
        <w:t>Percentages are based on the number of exposed participants who submitted any data for the event (N1).</w:t>
      </w:r>
    </w:p>
    <w:p w14:paraId="7E31AF91" w14:textId="6B494E00" w:rsidR="00205B1B" w:rsidRPr="00CC7D8B" w:rsidRDefault="00205B1B" w:rsidP="008326B1">
      <w:pPr>
        <w:pStyle w:val="TableDescription"/>
      </w:pPr>
      <w:r w:rsidRPr="00CC7D8B">
        <w:t xml:space="preserve">Toxicity grade for solicited systemic adverse reactions other than fever is defined as: </w:t>
      </w:r>
      <w:r w:rsidR="00036695" w:rsidRPr="00CC7D8B">
        <w:t>Grade</w:t>
      </w:r>
      <w:r w:rsidRPr="00CC7D8B">
        <w:t xml:space="preserve"> 1 = no interference with activity (or, for nausea/vomiting: 1</w:t>
      </w:r>
      <w:r w:rsidR="00036695" w:rsidRPr="00CC7D8B">
        <w:t xml:space="preserve"> to </w:t>
      </w:r>
      <w:r w:rsidRPr="00CC7D8B">
        <w:t xml:space="preserve">2 episodes/24 hours); </w:t>
      </w:r>
      <w:r w:rsidR="00036695" w:rsidRPr="00CC7D8B">
        <w:t>Grade</w:t>
      </w:r>
      <w:r w:rsidRPr="00CC7D8B">
        <w:t xml:space="preserve"> 2 = some interference with activity (or, for nausea/vomiting: &gt; 2 episodes/24 hours); </w:t>
      </w:r>
      <w:r w:rsidR="00036695" w:rsidRPr="00CC7D8B">
        <w:t>Grade</w:t>
      </w:r>
      <w:r w:rsidRPr="00CC7D8B">
        <w:t xml:space="preserve"> 3 = prevents daily activity; </w:t>
      </w:r>
      <w:r w:rsidR="00036695" w:rsidRPr="00CC7D8B">
        <w:t>Grade</w:t>
      </w:r>
      <w:r w:rsidRPr="00CC7D8B">
        <w:t xml:space="preserve"> 4 = emergency room visit or hospitali</w:t>
      </w:r>
      <w:r w:rsidR="00C32995" w:rsidRPr="00CC7D8B">
        <w:t>s</w:t>
      </w:r>
      <w:r w:rsidRPr="00CC7D8B">
        <w:t>ation.</w:t>
      </w:r>
    </w:p>
    <w:p w14:paraId="4BC05192" w14:textId="191CA120" w:rsidR="00F2117B" w:rsidRPr="00CC7D8B" w:rsidRDefault="00E541C4" w:rsidP="00F2117B">
      <w:r w:rsidRPr="00CC7D8B">
        <w:t xml:space="preserve">The </w:t>
      </w:r>
      <w:r w:rsidR="00C14F80" w:rsidRPr="00CC7D8B">
        <w:t>clinical evaluat</w:t>
      </w:r>
      <w:r w:rsidR="005C5D5D">
        <w:t>ion</w:t>
      </w:r>
      <w:r w:rsidRPr="00CC7D8B">
        <w:t xml:space="preserve"> concluded that solicited adverse events were more common after </w:t>
      </w:r>
      <w:r w:rsidR="00036695" w:rsidRPr="00CC7D8B">
        <w:t>Dose</w:t>
      </w:r>
      <w:r w:rsidR="00F2117B" w:rsidRPr="00CC7D8B">
        <w:t> </w:t>
      </w:r>
      <w:r w:rsidR="00036695" w:rsidRPr="00CC7D8B">
        <w:t>2</w:t>
      </w:r>
      <w:r w:rsidRPr="00CC7D8B">
        <w:t xml:space="preserve"> than </w:t>
      </w:r>
      <w:r w:rsidR="00036695" w:rsidRPr="00CC7D8B">
        <w:t>Dose</w:t>
      </w:r>
      <w:r w:rsidR="00F2117B" w:rsidRPr="00CC7D8B">
        <w:t> </w:t>
      </w:r>
      <w:r w:rsidR="00036695" w:rsidRPr="00CC7D8B">
        <w:t>1</w:t>
      </w:r>
      <w:r w:rsidRPr="00CC7D8B">
        <w:t xml:space="preserve"> of the vaccine</w:t>
      </w:r>
      <w:r w:rsidR="00F2117B" w:rsidRPr="00CC7D8B">
        <w:t>.</w:t>
      </w:r>
    </w:p>
    <w:p w14:paraId="2EABAFB2" w14:textId="0298F538" w:rsidR="00E541C4" w:rsidRPr="00CC7D8B" w:rsidRDefault="00E541C4" w:rsidP="00F2117B">
      <w:r w:rsidRPr="00CC7D8B">
        <w:t xml:space="preserve">The </w:t>
      </w:r>
      <w:r w:rsidR="005C5D5D">
        <w:t>clinical evaluation</w:t>
      </w:r>
      <w:r w:rsidR="003F277B" w:rsidRPr="00CC7D8B">
        <w:t xml:space="preserve"> </w:t>
      </w:r>
      <w:r w:rsidR="005C5D5D">
        <w:t>noted</w:t>
      </w:r>
      <w:r w:rsidRPr="00CC7D8B">
        <w:t xml:space="preserve"> that fever was common (with a </w:t>
      </w:r>
      <w:r w:rsidR="00F2117B" w:rsidRPr="00CC7D8B">
        <w:t>number needed to vaccinate</w:t>
      </w:r>
      <w:r w:rsidRPr="00CC7D8B">
        <w:t xml:space="preserve"> of 9 </w:t>
      </w:r>
      <w:proofErr w:type="gramStart"/>
      <w:r w:rsidRPr="00CC7D8B">
        <w:t>overall</w:t>
      </w:r>
      <w:proofErr w:type="gramEnd"/>
      <w:r w:rsidRPr="00CC7D8B">
        <w:t xml:space="preserve">, and 43 to produce a </w:t>
      </w:r>
      <w:r w:rsidR="00036695" w:rsidRPr="00CC7D8B">
        <w:t>Grade</w:t>
      </w:r>
      <w:r w:rsidRPr="00CC7D8B">
        <w:t xml:space="preserve"> 3 fever).</w:t>
      </w:r>
    </w:p>
    <w:p w14:paraId="0B7FF9F6" w14:textId="1BE5BD1D" w:rsidR="00E541C4" w:rsidRPr="00CC7D8B" w:rsidRDefault="00E541C4" w:rsidP="003F277B">
      <w:r w:rsidRPr="00CC7D8B">
        <w:t xml:space="preserve">The </w:t>
      </w:r>
      <w:r w:rsidR="00C14F80" w:rsidRPr="00CC7D8B">
        <w:t>cli</w:t>
      </w:r>
      <w:r w:rsidR="005C5D5D">
        <w:t xml:space="preserve">nical evaluation </w:t>
      </w:r>
      <w:r w:rsidRPr="00CC7D8B">
        <w:t xml:space="preserve">noted a case of possible febrile convulsion which the </w:t>
      </w:r>
      <w:r w:rsidR="00C14F80" w:rsidRPr="00CC7D8B">
        <w:t>sponsor</w:t>
      </w:r>
      <w:r w:rsidRPr="00CC7D8B">
        <w:t xml:space="preserve"> has considered unrelated to treatment </w:t>
      </w:r>
      <w:r w:rsidR="002E1875" w:rsidRPr="00CC7D8B">
        <w:t xml:space="preserve">[subjects identification redacted] </w:t>
      </w:r>
      <w:r w:rsidRPr="00CC7D8B">
        <w:t xml:space="preserve">but has concluded this is possibly related to treatment. The Delegate notes that the </w:t>
      </w:r>
      <w:r w:rsidR="00C14F80" w:rsidRPr="00CC7D8B">
        <w:t>sponsor</w:t>
      </w:r>
      <w:r w:rsidRPr="00CC7D8B">
        <w:t xml:space="preserve"> has proposed potential alternative causes of fever in this </w:t>
      </w:r>
      <w:r w:rsidR="00F2117B" w:rsidRPr="00CC7D8B">
        <w:t>patient,</w:t>
      </w:r>
      <w:r w:rsidRPr="00CC7D8B">
        <w:t xml:space="preserve"> but none were definitively established. That the patient received Spikevax, they developed a fever, and had a seizure is established by the narrative provided.</w:t>
      </w:r>
    </w:p>
    <w:p w14:paraId="47A511FB" w14:textId="731D3ADF" w:rsidR="00E541C4" w:rsidRPr="00CC7D8B" w:rsidRDefault="00E541C4" w:rsidP="003F277B">
      <w:r w:rsidRPr="00CC7D8B">
        <w:t xml:space="preserve">The </w:t>
      </w:r>
      <w:r w:rsidR="00C14F80" w:rsidRPr="00CC7D8B">
        <w:t>clinical evaluator</w:t>
      </w:r>
      <w:r w:rsidRPr="00CC7D8B">
        <w:t xml:space="preserve"> has recommended the </w:t>
      </w:r>
      <w:r w:rsidR="00F2117B" w:rsidRPr="00CC7D8B">
        <w:t xml:space="preserve">inclusion of erythema multiforme and febrile convulsion in the tabulated summary of potential adverse </w:t>
      </w:r>
      <w:r w:rsidRPr="00CC7D8B">
        <w:t>events in the P</w:t>
      </w:r>
      <w:r w:rsidR="00F2117B" w:rsidRPr="00CC7D8B">
        <w:t>I</w:t>
      </w:r>
      <w:r w:rsidRPr="00CC7D8B">
        <w:t>.</w:t>
      </w:r>
    </w:p>
    <w:p w14:paraId="6C34AA13" w14:textId="77777777" w:rsidR="008E7846" w:rsidRPr="00CC7D8B" w:rsidRDefault="00386150" w:rsidP="007B6132">
      <w:pPr>
        <w:pStyle w:val="Heading3"/>
        <w:rPr>
          <w:lang w:eastAsia="en-AU"/>
        </w:rPr>
      </w:pPr>
      <w:bookmarkStart w:id="48" w:name="_Toc109817296"/>
      <w:r w:rsidRPr="00CC7D8B">
        <w:rPr>
          <w:lang w:eastAsia="en-AU"/>
        </w:rPr>
        <w:t>Risk m</w:t>
      </w:r>
      <w:r w:rsidR="008E7846" w:rsidRPr="00CC7D8B">
        <w:rPr>
          <w:lang w:eastAsia="en-AU"/>
        </w:rPr>
        <w:t xml:space="preserve">anagement </w:t>
      </w:r>
      <w:r w:rsidRPr="00CC7D8B">
        <w:rPr>
          <w:lang w:eastAsia="en-AU"/>
        </w:rPr>
        <w:t>p</w:t>
      </w:r>
      <w:r w:rsidR="008E7846" w:rsidRPr="00CC7D8B">
        <w:rPr>
          <w:lang w:eastAsia="en-AU"/>
        </w:rPr>
        <w:t>lan</w:t>
      </w:r>
      <w:bookmarkEnd w:id="45"/>
      <w:bookmarkEnd w:id="48"/>
    </w:p>
    <w:p w14:paraId="741B4CA0" w14:textId="48420C49" w:rsidR="0074163C" w:rsidRPr="00CC7D8B" w:rsidRDefault="00157F6C" w:rsidP="0074163C">
      <w:bookmarkStart w:id="49" w:name="_Toc247691531"/>
      <w:bookmarkStart w:id="50" w:name="_Toc314842515"/>
      <w:bookmarkStart w:id="51" w:name="_Toc196046505"/>
      <w:bookmarkStart w:id="52" w:name="_Toc196046949"/>
      <w:r w:rsidRPr="00507D4B">
        <w:t>In support of the extended indications, the sponsor provided EU-</w:t>
      </w:r>
      <w:r w:rsidR="00507D4B">
        <w:t>r</w:t>
      </w:r>
      <w:r w:rsidR="00507D4B" w:rsidRPr="00507D4B">
        <w:t>isk management plan</w:t>
      </w:r>
      <w:r w:rsidR="00507D4B">
        <w:t xml:space="preserve"> (</w:t>
      </w:r>
      <w:r w:rsidRPr="00507D4B">
        <w:t>RMP</w:t>
      </w:r>
      <w:r w:rsidR="00507D4B">
        <w:t>)</w:t>
      </w:r>
      <w:r w:rsidRPr="00507D4B">
        <w:t xml:space="preserve"> version 4.1 (dated 22 April 2022; </w:t>
      </w:r>
      <w:r w:rsidR="00507D4B">
        <w:t>data lock point (</w:t>
      </w:r>
      <w:r w:rsidRPr="00507D4B">
        <w:t>DLP</w:t>
      </w:r>
      <w:r w:rsidR="00507D4B">
        <w:t>)</w:t>
      </w:r>
      <w:r w:rsidRPr="00507D4B">
        <w:t xml:space="preserve"> </w:t>
      </w:r>
      <w:r w:rsidR="005C5D5D">
        <w:t xml:space="preserve">of </w:t>
      </w:r>
      <w:r w:rsidRPr="00507D4B">
        <w:t>21</w:t>
      </w:r>
      <w:r w:rsidR="005C5D5D">
        <w:t> </w:t>
      </w:r>
      <w:r w:rsidRPr="00507D4B">
        <w:t xml:space="preserve">February 2022 and </w:t>
      </w:r>
      <w:r w:rsidR="00507D4B">
        <w:lastRenderedPageBreak/>
        <w:t>Australia specific annex (</w:t>
      </w:r>
      <w:r w:rsidRPr="00507D4B">
        <w:t>ASA</w:t>
      </w:r>
      <w:r w:rsidR="00507D4B">
        <w:t>)</w:t>
      </w:r>
      <w:r w:rsidRPr="00507D4B">
        <w:t xml:space="preserve"> v</w:t>
      </w:r>
      <w:r w:rsidR="00507D4B">
        <w:t xml:space="preserve">ersion </w:t>
      </w:r>
      <w:r w:rsidRPr="00507D4B">
        <w:t xml:space="preserve">2.1 (dated 2 May 2022) for this </w:t>
      </w:r>
      <w:proofErr w:type="spellStart"/>
      <w:proofErr w:type="gramStart"/>
      <w:r w:rsidRPr="00507D4B">
        <w:t>submission.</w:t>
      </w:r>
      <w:r w:rsidR="0074163C" w:rsidRPr="00CC7D8B">
        <w:t>The</w:t>
      </w:r>
      <w:proofErr w:type="spellEnd"/>
      <w:proofErr w:type="gramEnd"/>
      <w:r w:rsidR="0074163C" w:rsidRPr="00CC7D8B">
        <w:t xml:space="preserve"> summary of safety concerns and their associated risk monitoring and mitigation strategies are summarised in </w:t>
      </w:r>
      <w:r w:rsidR="00990FFE" w:rsidRPr="00CC7D8B">
        <w:fldChar w:fldCharType="begin"/>
      </w:r>
      <w:r w:rsidR="00990FFE" w:rsidRPr="00CC7D8B">
        <w:instrText xml:space="preserve"> REF _Ref97629131 \h </w:instrText>
      </w:r>
      <w:r w:rsidR="00CC7D8B">
        <w:instrText xml:space="preserve"> \* MERGEFORMAT </w:instrText>
      </w:r>
      <w:r w:rsidR="00990FFE" w:rsidRPr="00CC7D8B">
        <w:fldChar w:fldCharType="separate"/>
      </w:r>
      <w:r w:rsidR="00522240" w:rsidRPr="003133DE">
        <w:t xml:space="preserve">Table </w:t>
      </w:r>
      <w:r w:rsidR="00522240">
        <w:rPr>
          <w:noProof/>
        </w:rPr>
        <w:t>11</w:t>
      </w:r>
      <w:r w:rsidR="00990FFE" w:rsidRPr="00CC7D8B">
        <w:fldChar w:fldCharType="end"/>
      </w:r>
      <w:r w:rsidR="0074163C" w:rsidRPr="00CC7D8B">
        <w:t xml:space="preserve">. Further information regarding </w:t>
      </w:r>
      <w:r w:rsidR="00CC5044" w:rsidRPr="00CC7D8B">
        <w:t>the TGA</w:t>
      </w:r>
      <w:r w:rsidR="00BF7063" w:rsidRPr="00CC7D8B">
        <w:t>’</w:t>
      </w:r>
      <w:r w:rsidR="00CC5044" w:rsidRPr="00CC7D8B">
        <w:t>s r</w:t>
      </w:r>
      <w:r w:rsidR="0074163C" w:rsidRPr="00CC7D8B">
        <w:t xml:space="preserve">isk management approach can be found in </w:t>
      </w:r>
      <w:hyperlink r:id="rId28" w:history="1">
        <w:r w:rsidR="0074163C" w:rsidRPr="00CC7D8B">
          <w:rPr>
            <w:rStyle w:val="Hyperlink"/>
          </w:rPr>
          <w:t>risk management plans for medicines and biologicals</w:t>
        </w:r>
      </w:hyperlink>
      <w:r w:rsidR="0074163C" w:rsidRPr="00CC7D8B">
        <w:t xml:space="preserve"> and </w:t>
      </w:r>
      <w:hyperlink r:id="rId29" w:history="1">
        <w:r w:rsidR="0074163C" w:rsidRPr="00CC7D8B">
          <w:rPr>
            <w:rStyle w:val="Hyperlink"/>
          </w:rPr>
          <w:t>the TGA's risk management approach</w:t>
        </w:r>
      </w:hyperlink>
      <w:r w:rsidR="0074163C" w:rsidRPr="00CC7D8B">
        <w:t>.</w:t>
      </w:r>
    </w:p>
    <w:p w14:paraId="3C9D1210" w14:textId="34AA34FD" w:rsidR="00157F6C" w:rsidRPr="003133DE" w:rsidRDefault="0074163C" w:rsidP="003133DE">
      <w:pPr>
        <w:pStyle w:val="TableTitle"/>
      </w:pPr>
      <w:bookmarkStart w:id="53" w:name="_Ref97629131"/>
      <w:r w:rsidRPr="003133DE">
        <w:t xml:space="preserve">Table </w:t>
      </w:r>
      <w:fldSimple w:instr=" SEQ Table \* ARABIC ">
        <w:r w:rsidR="00522240">
          <w:rPr>
            <w:noProof/>
          </w:rPr>
          <w:t>11</w:t>
        </w:r>
      </w:fldSimple>
      <w:bookmarkEnd w:id="53"/>
      <w:r w:rsidRPr="003133DE">
        <w:t>: Summary of safety concerns</w:t>
      </w:r>
    </w:p>
    <w:tbl>
      <w:tblPr>
        <w:tblStyle w:val="TableTGAblue"/>
        <w:tblW w:w="8815" w:type="dxa"/>
        <w:tblLayout w:type="fixed"/>
        <w:tblLook w:val="04A0" w:firstRow="1" w:lastRow="0" w:firstColumn="1" w:lastColumn="0" w:noHBand="0" w:noVBand="1"/>
      </w:tblPr>
      <w:tblGrid>
        <w:gridCol w:w="1373"/>
        <w:gridCol w:w="2875"/>
        <w:gridCol w:w="992"/>
        <w:gridCol w:w="1276"/>
        <w:gridCol w:w="992"/>
        <w:gridCol w:w="1307"/>
      </w:tblGrid>
      <w:tr w:rsidR="00157F6C" w:rsidRPr="00BF52F4" w14:paraId="272AE756" w14:textId="77777777" w:rsidTr="003133DE">
        <w:trPr>
          <w:cnfStyle w:val="100000000000" w:firstRow="1" w:lastRow="0" w:firstColumn="0" w:lastColumn="0" w:oddVBand="0" w:evenVBand="0" w:oddHBand="0" w:evenHBand="0" w:firstRowFirstColumn="0" w:firstRowLastColumn="0" w:lastRowFirstColumn="0" w:lastRowLastColumn="0"/>
          <w:trHeight w:val="131"/>
        </w:trPr>
        <w:tc>
          <w:tcPr>
            <w:tcW w:w="4248" w:type="dxa"/>
            <w:gridSpan w:val="2"/>
            <w:vMerge w:val="restart"/>
            <w:tcBorders>
              <w:top w:val="single" w:sz="4" w:space="0" w:color="auto"/>
              <w:left w:val="single" w:sz="4" w:space="0" w:color="auto"/>
              <w:bottom w:val="single" w:sz="4" w:space="0" w:color="auto"/>
              <w:right w:val="single" w:sz="4" w:space="0" w:color="auto"/>
            </w:tcBorders>
          </w:tcPr>
          <w:p w14:paraId="67D5A777" w14:textId="77777777" w:rsidR="00157F6C" w:rsidRPr="00672162" w:rsidRDefault="00157F6C" w:rsidP="00672162">
            <w:pPr>
              <w:pStyle w:val="Tabletext"/>
              <w:ind w:left="0" w:right="0"/>
              <w:rPr>
                <w:sz w:val="20"/>
                <w:szCs w:val="20"/>
              </w:rPr>
            </w:pPr>
            <w:r w:rsidRPr="00672162">
              <w:rPr>
                <w:sz w:val="20"/>
                <w:szCs w:val="20"/>
              </w:rPr>
              <w:t>Summary of safety concerns</w:t>
            </w:r>
          </w:p>
        </w:tc>
        <w:tc>
          <w:tcPr>
            <w:tcW w:w="2268" w:type="dxa"/>
            <w:gridSpan w:val="2"/>
            <w:tcBorders>
              <w:top w:val="single" w:sz="4" w:space="0" w:color="auto"/>
              <w:left w:val="single" w:sz="4" w:space="0" w:color="auto"/>
              <w:bottom w:val="single" w:sz="4" w:space="0" w:color="auto"/>
              <w:right w:val="single" w:sz="4" w:space="0" w:color="auto"/>
            </w:tcBorders>
          </w:tcPr>
          <w:p w14:paraId="0A867ABE" w14:textId="77777777" w:rsidR="00157F6C" w:rsidRPr="00672162" w:rsidRDefault="00157F6C" w:rsidP="00672162">
            <w:pPr>
              <w:pStyle w:val="Tabletext"/>
              <w:ind w:left="0" w:right="0"/>
              <w:rPr>
                <w:sz w:val="20"/>
                <w:szCs w:val="20"/>
              </w:rPr>
            </w:pPr>
            <w:r w:rsidRPr="00672162">
              <w:rPr>
                <w:sz w:val="20"/>
                <w:szCs w:val="20"/>
              </w:rPr>
              <w:t>Pharmacovigilance</w:t>
            </w:r>
          </w:p>
        </w:tc>
        <w:tc>
          <w:tcPr>
            <w:tcW w:w="2299" w:type="dxa"/>
            <w:gridSpan w:val="2"/>
            <w:tcBorders>
              <w:top w:val="single" w:sz="4" w:space="0" w:color="auto"/>
              <w:left w:val="single" w:sz="4" w:space="0" w:color="auto"/>
              <w:bottom w:val="single" w:sz="4" w:space="0" w:color="auto"/>
              <w:right w:val="single" w:sz="4" w:space="0" w:color="auto"/>
            </w:tcBorders>
          </w:tcPr>
          <w:p w14:paraId="641F7DD3" w14:textId="7A64A364" w:rsidR="00157F6C" w:rsidRPr="00672162" w:rsidRDefault="00157F6C" w:rsidP="00672162">
            <w:pPr>
              <w:pStyle w:val="Tabletext"/>
              <w:ind w:left="0" w:right="0"/>
              <w:rPr>
                <w:sz w:val="20"/>
                <w:szCs w:val="20"/>
              </w:rPr>
            </w:pPr>
            <w:r w:rsidRPr="00672162">
              <w:rPr>
                <w:sz w:val="20"/>
                <w:szCs w:val="20"/>
              </w:rPr>
              <w:t>Risk minimisation</w:t>
            </w:r>
          </w:p>
        </w:tc>
      </w:tr>
      <w:tr w:rsidR="00157F6C" w:rsidRPr="00BF52F4" w14:paraId="6501F999" w14:textId="77777777" w:rsidTr="003133DE">
        <w:trPr>
          <w:trHeight w:val="150"/>
        </w:trPr>
        <w:tc>
          <w:tcPr>
            <w:tcW w:w="4248" w:type="dxa"/>
            <w:gridSpan w:val="2"/>
            <w:vMerge/>
            <w:tcBorders>
              <w:top w:val="single" w:sz="4" w:space="0" w:color="auto"/>
              <w:left w:val="single" w:sz="4" w:space="0" w:color="auto"/>
              <w:bottom w:val="single" w:sz="4" w:space="0" w:color="auto"/>
              <w:right w:val="single" w:sz="4" w:space="0" w:color="auto"/>
            </w:tcBorders>
            <w:shd w:val="clear" w:color="auto" w:fill="006DA7"/>
          </w:tcPr>
          <w:p w14:paraId="33F9A65C" w14:textId="77777777" w:rsidR="00157F6C" w:rsidRPr="00672162" w:rsidRDefault="00157F6C" w:rsidP="00672162">
            <w:pPr>
              <w:pStyle w:val="Tabletext"/>
              <w:ind w:left="0" w:right="0"/>
              <w:rPr>
                <w:b/>
                <w:color w:val="FFFFFF" w:themeColor="background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0B6FE247" w14:textId="77777777" w:rsidR="00157F6C" w:rsidRPr="00672162" w:rsidRDefault="00157F6C" w:rsidP="00672162">
            <w:pPr>
              <w:pStyle w:val="Tabletext"/>
              <w:ind w:left="0" w:right="0"/>
              <w:rPr>
                <w:b/>
                <w:color w:val="FFFFFF" w:themeColor="background1"/>
                <w:sz w:val="20"/>
                <w:szCs w:val="20"/>
              </w:rPr>
            </w:pPr>
            <w:r w:rsidRPr="00672162">
              <w:rPr>
                <w:b/>
                <w:color w:val="FFFFFF" w:themeColor="background1"/>
                <w:sz w:val="20"/>
                <w:szCs w:val="20"/>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5E4882E0" w14:textId="77777777" w:rsidR="00157F6C" w:rsidRPr="00672162" w:rsidRDefault="00157F6C" w:rsidP="00672162">
            <w:pPr>
              <w:pStyle w:val="Tabletext"/>
              <w:ind w:left="0" w:right="0"/>
              <w:rPr>
                <w:b/>
                <w:color w:val="FFFFFF" w:themeColor="background1"/>
                <w:sz w:val="20"/>
                <w:szCs w:val="20"/>
              </w:rPr>
            </w:pPr>
            <w:r w:rsidRPr="00672162">
              <w:rPr>
                <w:b/>
                <w:color w:val="FFFFFF" w:themeColor="background1"/>
                <w:sz w:val="20"/>
                <w:szCs w:val="20"/>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1ED1B759" w14:textId="77777777" w:rsidR="00157F6C" w:rsidRPr="00672162" w:rsidRDefault="00157F6C" w:rsidP="00672162">
            <w:pPr>
              <w:pStyle w:val="Tabletext"/>
              <w:ind w:left="0" w:right="0"/>
              <w:rPr>
                <w:b/>
                <w:color w:val="FFFFFF" w:themeColor="background1"/>
                <w:sz w:val="20"/>
                <w:szCs w:val="20"/>
              </w:rPr>
            </w:pPr>
            <w:r w:rsidRPr="00672162">
              <w:rPr>
                <w:b/>
                <w:color w:val="FFFFFF" w:themeColor="background1"/>
                <w:sz w:val="20"/>
                <w:szCs w:val="20"/>
              </w:rPr>
              <w:t>Routine</w:t>
            </w:r>
          </w:p>
        </w:tc>
        <w:tc>
          <w:tcPr>
            <w:tcW w:w="1307" w:type="dxa"/>
            <w:tcBorders>
              <w:top w:val="single" w:sz="4" w:space="0" w:color="auto"/>
              <w:left w:val="single" w:sz="4" w:space="0" w:color="auto"/>
              <w:bottom w:val="single" w:sz="4" w:space="0" w:color="auto"/>
              <w:right w:val="single" w:sz="4" w:space="0" w:color="auto"/>
            </w:tcBorders>
            <w:shd w:val="clear" w:color="auto" w:fill="006DA7"/>
          </w:tcPr>
          <w:p w14:paraId="6E73A15A" w14:textId="77777777" w:rsidR="00157F6C" w:rsidRPr="00672162" w:rsidRDefault="00157F6C" w:rsidP="00672162">
            <w:pPr>
              <w:pStyle w:val="Tabletext"/>
              <w:ind w:left="0" w:right="0"/>
              <w:rPr>
                <w:b/>
                <w:color w:val="FFFFFF" w:themeColor="background1"/>
                <w:sz w:val="20"/>
                <w:szCs w:val="20"/>
              </w:rPr>
            </w:pPr>
            <w:r w:rsidRPr="00672162">
              <w:rPr>
                <w:b/>
                <w:color w:val="FFFFFF" w:themeColor="background1"/>
                <w:sz w:val="20"/>
                <w:szCs w:val="20"/>
              </w:rPr>
              <w:t>Additional</w:t>
            </w:r>
          </w:p>
        </w:tc>
      </w:tr>
      <w:tr w:rsidR="00157F6C" w:rsidRPr="00BF52F4" w14:paraId="570DB3E2" w14:textId="77777777" w:rsidTr="003133DE">
        <w:trPr>
          <w:trHeight w:val="137"/>
        </w:trPr>
        <w:tc>
          <w:tcPr>
            <w:tcW w:w="1373" w:type="dxa"/>
            <w:vMerge w:val="restart"/>
            <w:tcBorders>
              <w:top w:val="single" w:sz="4" w:space="0" w:color="auto"/>
            </w:tcBorders>
          </w:tcPr>
          <w:p w14:paraId="17D13ED2" w14:textId="77777777" w:rsidR="00157F6C" w:rsidRPr="00672162" w:rsidRDefault="00157F6C" w:rsidP="00672162">
            <w:pPr>
              <w:pStyle w:val="Tabletext"/>
              <w:ind w:left="0" w:right="0"/>
              <w:rPr>
                <w:b/>
                <w:sz w:val="20"/>
                <w:szCs w:val="20"/>
              </w:rPr>
            </w:pPr>
            <w:r w:rsidRPr="00672162">
              <w:rPr>
                <w:b/>
                <w:sz w:val="20"/>
                <w:szCs w:val="20"/>
              </w:rPr>
              <w:t>Important identified risks</w:t>
            </w:r>
          </w:p>
        </w:tc>
        <w:tc>
          <w:tcPr>
            <w:tcW w:w="2875" w:type="dxa"/>
            <w:tcBorders>
              <w:top w:val="single" w:sz="4" w:space="0" w:color="auto"/>
            </w:tcBorders>
          </w:tcPr>
          <w:p w14:paraId="5163C8C4" w14:textId="77777777" w:rsidR="00157F6C" w:rsidRPr="00672162" w:rsidRDefault="00157F6C" w:rsidP="00672162">
            <w:pPr>
              <w:pStyle w:val="Tabletext"/>
              <w:ind w:left="0" w:right="0"/>
              <w:rPr>
                <w:sz w:val="20"/>
                <w:szCs w:val="20"/>
              </w:rPr>
            </w:pPr>
            <w:r w:rsidRPr="00672162">
              <w:rPr>
                <w:sz w:val="20"/>
                <w:szCs w:val="20"/>
              </w:rPr>
              <w:t>Anaphylaxis</w:t>
            </w:r>
          </w:p>
        </w:tc>
        <w:tc>
          <w:tcPr>
            <w:tcW w:w="992" w:type="dxa"/>
            <w:tcBorders>
              <w:top w:val="single" w:sz="4" w:space="0" w:color="auto"/>
            </w:tcBorders>
          </w:tcPr>
          <w:p w14:paraId="7C19F62B"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rPr>
              <w:t>*</w:t>
            </w:r>
          </w:p>
        </w:tc>
        <w:tc>
          <w:tcPr>
            <w:tcW w:w="1276" w:type="dxa"/>
            <w:tcBorders>
              <w:top w:val="single" w:sz="4" w:space="0" w:color="auto"/>
            </w:tcBorders>
          </w:tcPr>
          <w:p w14:paraId="0B05D034"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Borders>
              <w:top w:val="single" w:sz="4" w:space="0" w:color="auto"/>
            </w:tcBorders>
          </w:tcPr>
          <w:p w14:paraId="791102AD"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307" w:type="dxa"/>
            <w:tcBorders>
              <w:top w:val="single" w:sz="4" w:space="0" w:color="auto"/>
            </w:tcBorders>
          </w:tcPr>
          <w:p w14:paraId="1CA091FF"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7E25608D" w14:textId="77777777" w:rsidTr="003133DE">
        <w:trPr>
          <w:trHeight w:val="94"/>
        </w:trPr>
        <w:tc>
          <w:tcPr>
            <w:tcW w:w="1373" w:type="dxa"/>
            <w:vMerge/>
          </w:tcPr>
          <w:p w14:paraId="43BAD38C" w14:textId="77777777" w:rsidR="00157F6C" w:rsidRPr="00672162" w:rsidRDefault="00157F6C" w:rsidP="00672162">
            <w:pPr>
              <w:pStyle w:val="Tabletext"/>
              <w:ind w:left="0" w:right="0"/>
              <w:rPr>
                <w:b/>
                <w:sz w:val="20"/>
                <w:szCs w:val="20"/>
              </w:rPr>
            </w:pPr>
          </w:p>
        </w:tc>
        <w:tc>
          <w:tcPr>
            <w:tcW w:w="2875" w:type="dxa"/>
          </w:tcPr>
          <w:p w14:paraId="715271A8" w14:textId="77777777" w:rsidR="00157F6C" w:rsidRPr="00672162" w:rsidRDefault="00157F6C" w:rsidP="00672162">
            <w:pPr>
              <w:pStyle w:val="Tabletext"/>
              <w:ind w:left="0" w:right="0"/>
              <w:rPr>
                <w:sz w:val="20"/>
                <w:szCs w:val="20"/>
              </w:rPr>
            </w:pPr>
            <w:r w:rsidRPr="00672162">
              <w:rPr>
                <w:sz w:val="20"/>
                <w:szCs w:val="20"/>
              </w:rPr>
              <w:t xml:space="preserve">Myocarditis </w:t>
            </w:r>
          </w:p>
        </w:tc>
        <w:tc>
          <w:tcPr>
            <w:tcW w:w="992" w:type="dxa"/>
          </w:tcPr>
          <w:p w14:paraId="02DF2508"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rPr>
              <w:t>*</w:t>
            </w:r>
          </w:p>
        </w:tc>
        <w:tc>
          <w:tcPr>
            <w:tcW w:w="1276" w:type="dxa"/>
          </w:tcPr>
          <w:p w14:paraId="459C6611"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Pr>
          <w:p w14:paraId="1C0482EE"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307" w:type="dxa"/>
          </w:tcPr>
          <w:p w14:paraId="741FAC64"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45BB9B78" w14:textId="77777777" w:rsidTr="003133DE">
        <w:trPr>
          <w:trHeight w:val="187"/>
        </w:trPr>
        <w:tc>
          <w:tcPr>
            <w:tcW w:w="1373" w:type="dxa"/>
            <w:vMerge/>
          </w:tcPr>
          <w:p w14:paraId="7AF5F489" w14:textId="77777777" w:rsidR="00157F6C" w:rsidRPr="00672162" w:rsidRDefault="00157F6C" w:rsidP="00672162">
            <w:pPr>
              <w:pStyle w:val="Tabletext"/>
              <w:ind w:left="0" w:right="0"/>
              <w:rPr>
                <w:b/>
                <w:sz w:val="20"/>
                <w:szCs w:val="20"/>
              </w:rPr>
            </w:pPr>
          </w:p>
        </w:tc>
        <w:tc>
          <w:tcPr>
            <w:tcW w:w="2875" w:type="dxa"/>
          </w:tcPr>
          <w:p w14:paraId="48B31A97" w14:textId="77777777" w:rsidR="00157F6C" w:rsidRPr="00672162" w:rsidRDefault="00157F6C" w:rsidP="00672162">
            <w:pPr>
              <w:pStyle w:val="Tabletext"/>
              <w:ind w:left="0" w:right="0"/>
              <w:rPr>
                <w:sz w:val="20"/>
                <w:szCs w:val="20"/>
              </w:rPr>
            </w:pPr>
            <w:r w:rsidRPr="00672162">
              <w:rPr>
                <w:sz w:val="20"/>
                <w:szCs w:val="20"/>
              </w:rPr>
              <w:t>Pericarditis</w:t>
            </w:r>
          </w:p>
        </w:tc>
        <w:tc>
          <w:tcPr>
            <w:tcW w:w="992" w:type="dxa"/>
          </w:tcPr>
          <w:p w14:paraId="1A0FDF36"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rPr>
              <w:t>*</w:t>
            </w:r>
          </w:p>
        </w:tc>
        <w:tc>
          <w:tcPr>
            <w:tcW w:w="1276" w:type="dxa"/>
          </w:tcPr>
          <w:p w14:paraId="6DF2D19D"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Pr>
          <w:p w14:paraId="17605A51"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307" w:type="dxa"/>
          </w:tcPr>
          <w:p w14:paraId="667586A7"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46A3A06B" w14:textId="77777777" w:rsidTr="003133DE">
        <w:trPr>
          <w:trHeight w:val="159"/>
        </w:trPr>
        <w:tc>
          <w:tcPr>
            <w:tcW w:w="1373" w:type="dxa"/>
          </w:tcPr>
          <w:p w14:paraId="49482C86" w14:textId="77777777" w:rsidR="00157F6C" w:rsidRPr="00672162" w:rsidRDefault="00157F6C" w:rsidP="00672162">
            <w:pPr>
              <w:pStyle w:val="Tabletext"/>
              <w:ind w:left="0" w:right="0"/>
              <w:rPr>
                <w:b/>
                <w:sz w:val="20"/>
                <w:szCs w:val="20"/>
              </w:rPr>
            </w:pPr>
            <w:r w:rsidRPr="00672162">
              <w:rPr>
                <w:b/>
                <w:sz w:val="20"/>
                <w:szCs w:val="20"/>
              </w:rPr>
              <w:t>Important potential risks</w:t>
            </w:r>
          </w:p>
        </w:tc>
        <w:tc>
          <w:tcPr>
            <w:tcW w:w="2875" w:type="dxa"/>
          </w:tcPr>
          <w:p w14:paraId="70E0FA07" w14:textId="77777777" w:rsidR="00157F6C" w:rsidRPr="00672162" w:rsidRDefault="00157F6C" w:rsidP="00672162">
            <w:pPr>
              <w:pStyle w:val="Tabletext"/>
              <w:ind w:left="0" w:right="0"/>
              <w:rPr>
                <w:sz w:val="20"/>
                <w:szCs w:val="20"/>
              </w:rPr>
            </w:pPr>
            <w:r w:rsidRPr="00672162">
              <w:rPr>
                <w:sz w:val="20"/>
                <w:szCs w:val="20"/>
              </w:rPr>
              <w:t>Vaccine-associated enhanced disease (VAED) including vaccine-associated enhanced respiratory disease (VAERD)</w:t>
            </w:r>
          </w:p>
        </w:tc>
        <w:tc>
          <w:tcPr>
            <w:tcW w:w="992" w:type="dxa"/>
          </w:tcPr>
          <w:p w14:paraId="01E4C739"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rPr>
              <w:t>*</w:t>
            </w:r>
          </w:p>
        </w:tc>
        <w:tc>
          <w:tcPr>
            <w:tcW w:w="1276" w:type="dxa"/>
          </w:tcPr>
          <w:p w14:paraId="40BB7FBE"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Pr>
          <w:p w14:paraId="7420720A" w14:textId="77777777" w:rsidR="00157F6C" w:rsidRPr="00672162" w:rsidRDefault="00157F6C" w:rsidP="00672162">
            <w:pPr>
              <w:pStyle w:val="Tabletext"/>
              <w:ind w:left="0" w:right="0"/>
              <w:jc w:val="center"/>
              <w:rPr>
                <w:sz w:val="20"/>
                <w:szCs w:val="20"/>
              </w:rPr>
            </w:pPr>
            <w:r w:rsidRPr="00672162">
              <w:rPr>
                <w:sz w:val="20"/>
                <w:szCs w:val="20"/>
              </w:rPr>
              <w:t>–</w:t>
            </w:r>
          </w:p>
        </w:tc>
        <w:tc>
          <w:tcPr>
            <w:tcW w:w="1307" w:type="dxa"/>
          </w:tcPr>
          <w:p w14:paraId="1BC3EE8F"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6A35B528" w14:textId="77777777" w:rsidTr="003133DE">
        <w:trPr>
          <w:trHeight w:val="178"/>
        </w:trPr>
        <w:tc>
          <w:tcPr>
            <w:tcW w:w="1373" w:type="dxa"/>
            <w:vMerge w:val="restart"/>
          </w:tcPr>
          <w:p w14:paraId="0E4DF2C1" w14:textId="77777777" w:rsidR="00157F6C" w:rsidRPr="00672162" w:rsidRDefault="00157F6C" w:rsidP="00672162">
            <w:pPr>
              <w:pStyle w:val="Tabletext"/>
              <w:ind w:left="0" w:right="0"/>
              <w:rPr>
                <w:b/>
                <w:sz w:val="20"/>
                <w:szCs w:val="20"/>
              </w:rPr>
            </w:pPr>
            <w:r w:rsidRPr="00672162">
              <w:rPr>
                <w:b/>
                <w:sz w:val="20"/>
                <w:szCs w:val="20"/>
              </w:rPr>
              <w:t>Missing information</w:t>
            </w:r>
          </w:p>
        </w:tc>
        <w:tc>
          <w:tcPr>
            <w:tcW w:w="2875" w:type="dxa"/>
          </w:tcPr>
          <w:p w14:paraId="5F668D55" w14:textId="77777777" w:rsidR="00157F6C" w:rsidRPr="00672162" w:rsidRDefault="00157F6C" w:rsidP="00672162">
            <w:pPr>
              <w:pStyle w:val="Tabletext"/>
              <w:ind w:left="0" w:right="0"/>
              <w:rPr>
                <w:sz w:val="20"/>
                <w:szCs w:val="20"/>
              </w:rPr>
            </w:pPr>
            <w:r w:rsidRPr="00672162">
              <w:rPr>
                <w:sz w:val="20"/>
                <w:szCs w:val="20"/>
              </w:rPr>
              <w:t>Use in pregnancy and while breast-feeding</w:t>
            </w:r>
          </w:p>
        </w:tc>
        <w:tc>
          <w:tcPr>
            <w:tcW w:w="992" w:type="dxa"/>
          </w:tcPr>
          <w:p w14:paraId="7C48F10F"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276" w:type="dxa"/>
          </w:tcPr>
          <w:p w14:paraId="1554BDF8"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µ</w:t>
            </w:r>
          </w:p>
        </w:tc>
        <w:tc>
          <w:tcPr>
            <w:tcW w:w="992" w:type="dxa"/>
          </w:tcPr>
          <w:p w14:paraId="6F088DC3"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307" w:type="dxa"/>
          </w:tcPr>
          <w:p w14:paraId="3633544C"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3580C187" w14:textId="77777777" w:rsidTr="003133DE">
        <w:trPr>
          <w:trHeight w:val="103"/>
        </w:trPr>
        <w:tc>
          <w:tcPr>
            <w:tcW w:w="1373" w:type="dxa"/>
            <w:vMerge/>
          </w:tcPr>
          <w:p w14:paraId="2973BFA9" w14:textId="77777777" w:rsidR="00157F6C" w:rsidRPr="00672162" w:rsidRDefault="00157F6C" w:rsidP="00672162">
            <w:pPr>
              <w:pStyle w:val="Tabletext"/>
              <w:ind w:left="0" w:right="0"/>
              <w:rPr>
                <w:sz w:val="20"/>
                <w:szCs w:val="20"/>
              </w:rPr>
            </w:pPr>
          </w:p>
        </w:tc>
        <w:tc>
          <w:tcPr>
            <w:tcW w:w="2875" w:type="dxa"/>
          </w:tcPr>
          <w:p w14:paraId="588C8119" w14:textId="77777777" w:rsidR="00157F6C" w:rsidRPr="00672162" w:rsidRDefault="00157F6C" w:rsidP="00672162">
            <w:pPr>
              <w:pStyle w:val="Tabletext"/>
              <w:ind w:left="0" w:right="0"/>
              <w:rPr>
                <w:sz w:val="20"/>
                <w:szCs w:val="20"/>
              </w:rPr>
            </w:pPr>
            <w:r w:rsidRPr="00672162">
              <w:rPr>
                <w:sz w:val="20"/>
                <w:szCs w:val="20"/>
              </w:rPr>
              <w:t>Long-term safety</w:t>
            </w:r>
          </w:p>
        </w:tc>
        <w:tc>
          <w:tcPr>
            <w:tcW w:w="992" w:type="dxa"/>
          </w:tcPr>
          <w:p w14:paraId="21417998"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276" w:type="dxa"/>
          </w:tcPr>
          <w:p w14:paraId="67E28A11"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Pr>
          <w:p w14:paraId="78D7A3CF" w14:textId="77777777" w:rsidR="00157F6C" w:rsidRPr="00672162" w:rsidRDefault="00157F6C" w:rsidP="00672162">
            <w:pPr>
              <w:pStyle w:val="Tabletext"/>
              <w:ind w:left="0" w:right="0"/>
              <w:jc w:val="center"/>
              <w:rPr>
                <w:sz w:val="20"/>
                <w:szCs w:val="20"/>
              </w:rPr>
            </w:pPr>
            <w:r w:rsidRPr="00672162">
              <w:rPr>
                <w:sz w:val="20"/>
                <w:szCs w:val="20"/>
              </w:rPr>
              <w:t>–</w:t>
            </w:r>
          </w:p>
        </w:tc>
        <w:tc>
          <w:tcPr>
            <w:tcW w:w="1307" w:type="dxa"/>
          </w:tcPr>
          <w:p w14:paraId="03B44326"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1EC22A61" w14:textId="77777777" w:rsidTr="003133DE">
        <w:trPr>
          <w:trHeight w:val="103"/>
        </w:trPr>
        <w:tc>
          <w:tcPr>
            <w:tcW w:w="1373" w:type="dxa"/>
            <w:vMerge/>
          </w:tcPr>
          <w:p w14:paraId="278D1EC7" w14:textId="77777777" w:rsidR="00157F6C" w:rsidRPr="00672162" w:rsidRDefault="00157F6C" w:rsidP="00672162">
            <w:pPr>
              <w:pStyle w:val="Tabletext"/>
              <w:ind w:left="0" w:right="0"/>
              <w:rPr>
                <w:sz w:val="20"/>
                <w:szCs w:val="20"/>
              </w:rPr>
            </w:pPr>
          </w:p>
        </w:tc>
        <w:tc>
          <w:tcPr>
            <w:tcW w:w="2875" w:type="dxa"/>
          </w:tcPr>
          <w:p w14:paraId="6BE27DC0" w14:textId="77777777" w:rsidR="00157F6C" w:rsidRPr="00672162" w:rsidRDefault="00157F6C" w:rsidP="00672162">
            <w:pPr>
              <w:pStyle w:val="Tabletext"/>
              <w:ind w:left="0" w:right="0"/>
              <w:rPr>
                <w:sz w:val="20"/>
                <w:szCs w:val="20"/>
              </w:rPr>
            </w:pPr>
            <w:r w:rsidRPr="00672162">
              <w:rPr>
                <w:sz w:val="20"/>
                <w:szCs w:val="20"/>
              </w:rPr>
              <w:t>Use in immunocompromised subjects</w:t>
            </w:r>
          </w:p>
        </w:tc>
        <w:tc>
          <w:tcPr>
            <w:tcW w:w="992" w:type="dxa"/>
          </w:tcPr>
          <w:p w14:paraId="6AFF1733"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276" w:type="dxa"/>
          </w:tcPr>
          <w:p w14:paraId="5729E175"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Pr>
          <w:p w14:paraId="7CBB2EED"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307" w:type="dxa"/>
          </w:tcPr>
          <w:p w14:paraId="340429BE"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5B965F60" w14:textId="77777777" w:rsidTr="003133DE">
        <w:trPr>
          <w:trHeight w:val="103"/>
        </w:trPr>
        <w:tc>
          <w:tcPr>
            <w:tcW w:w="1373" w:type="dxa"/>
            <w:vMerge/>
          </w:tcPr>
          <w:p w14:paraId="19E0823D" w14:textId="77777777" w:rsidR="00157F6C" w:rsidRPr="00672162" w:rsidRDefault="00157F6C" w:rsidP="00672162">
            <w:pPr>
              <w:pStyle w:val="Tabletext"/>
              <w:ind w:left="0" w:right="0"/>
              <w:rPr>
                <w:sz w:val="20"/>
                <w:szCs w:val="20"/>
              </w:rPr>
            </w:pPr>
          </w:p>
        </w:tc>
        <w:tc>
          <w:tcPr>
            <w:tcW w:w="2875" w:type="dxa"/>
          </w:tcPr>
          <w:p w14:paraId="54F11E13" w14:textId="77777777" w:rsidR="00157F6C" w:rsidRPr="00672162" w:rsidRDefault="00157F6C" w:rsidP="00672162">
            <w:pPr>
              <w:pStyle w:val="Tabletext"/>
              <w:ind w:left="0" w:right="0"/>
              <w:rPr>
                <w:sz w:val="20"/>
                <w:szCs w:val="20"/>
              </w:rPr>
            </w:pPr>
            <w:r w:rsidRPr="00672162">
              <w:rPr>
                <w:sz w:val="20"/>
                <w:szCs w:val="20"/>
              </w:rPr>
              <w:t>Interaction with other vaccines</w:t>
            </w:r>
          </w:p>
        </w:tc>
        <w:tc>
          <w:tcPr>
            <w:tcW w:w="992" w:type="dxa"/>
          </w:tcPr>
          <w:p w14:paraId="411B966B"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276" w:type="dxa"/>
          </w:tcPr>
          <w:p w14:paraId="5A6666B4"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Pr>
          <w:p w14:paraId="257EED72"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307" w:type="dxa"/>
          </w:tcPr>
          <w:p w14:paraId="1167F107"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64898820" w14:textId="77777777" w:rsidTr="003133DE">
        <w:trPr>
          <w:trHeight w:val="103"/>
        </w:trPr>
        <w:tc>
          <w:tcPr>
            <w:tcW w:w="1373" w:type="dxa"/>
            <w:vMerge/>
          </w:tcPr>
          <w:p w14:paraId="32D5CACE" w14:textId="77777777" w:rsidR="00157F6C" w:rsidRPr="00672162" w:rsidRDefault="00157F6C" w:rsidP="00672162">
            <w:pPr>
              <w:pStyle w:val="Tabletext"/>
              <w:ind w:left="0" w:right="0"/>
              <w:rPr>
                <w:sz w:val="20"/>
                <w:szCs w:val="20"/>
              </w:rPr>
            </w:pPr>
          </w:p>
        </w:tc>
        <w:tc>
          <w:tcPr>
            <w:tcW w:w="2875" w:type="dxa"/>
          </w:tcPr>
          <w:p w14:paraId="4ED20E03" w14:textId="392F5B0F" w:rsidR="00157F6C" w:rsidRPr="00672162" w:rsidRDefault="00157F6C" w:rsidP="00672162">
            <w:pPr>
              <w:pStyle w:val="Tabletext"/>
              <w:ind w:left="0" w:right="0"/>
              <w:rPr>
                <w:sz w:val="20"/>
                <w:szCs w:val="20"/>
              </w:rPr>
            </w:pPr>
            <w:r w:rsidRPr="00672162">
              <w:rPr>
                <w:sz w:val="20"/>
                <w:szCs w:val="20"/>
              </w:rPr>
              <w:t>Use in frail subjects with unstable health conditions and co</w:t>
            </w:r>
            <w:r w:rsidR="005C5D5D">
              <w:rPr>
                <w:sz w:val="20"/>
                <w:szCs w:val="20"/>
              </w:rPr>
              <w:noBreakHyphen/>
            </w:r>
            <w:r w:rsidRPr="00672162">
              <w:rPr>
                <w:sz w:val="20"/>
                <w:szCs w:val="20"/>
              </w:rPr>
              <w:t>morbidities (for example, chronic obstructive pulmonary disease (COPD), diabetes, chronic neurological disease, cardiovascular disorders)</w:t>
            </w:r>
          </w:p>
        </w:tc>
        <w:tc>
          <w:tcPr>
            <w:tcW w:w="992" w:type="dxa"/>
          </w:tcPr>
          <w:p w14:paraId="6B706660"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276" w:type="dxa"/>
          </w:tcPr>
          <w:p w14:paraId="5214502F"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Pr>
          <w:p w14:paraId="7054F6B5"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307" w:type="dxa"/>
          </w:tcPr>
          <w:p w14:paraId="06898394" w14:textId="77777777" w:rsidR="00157F6C" w:rsidRPr="00672162" w:rsidRDefault="00157F6C" w:rsidP="00672162">
            <w:pPr>
              <w:pStyle w:val="Tabletext"/>
              <w:ind w:left="0" w:right="0"/>
              <w:jc w:val="center"/>
              <w:rPr>
                <w:sz w:val="20"/>
                <w:szCs w:val="20"/>
              </w:rPr>
            </w:pPr>
            <w:r w:rsidRPr="00672162">
              <w:rPr>
                <w:sz w:val="20"/>
                <w:szCs w:val="20"/>
              </w:rPr>
              <w:t>–</w:t>
            </w:r>
          </w:p>
        </w:tc>
      </w:tr>
      <w:tr w:rsidR="00157F6C" w:rsidRPr="00BF52F4" w14:paraId="79C13C7E" w14:textId="77777777" w:rsidTr="003133DE">
        <w:trPr>
          <w:trHeight w:val="140"/>
        </w:trPr>
        <w:tc>
          <w:tcPr>
            <w:tcW w:w="1373" w:type="dxa"/>
            <w:vMerge/>
          </w:tcPr>
          <w:p w14:paraId="0B3818C8" w14:textId="77777777" w:rsidR="00157F6C" w:rsidRPr="00672162" w:rsidRDefault="00157F6C" w:rsidP="00672162">
            <w:pPr>
              <w:pStyle w:val="Tabletext"/>
              <w:ind w:left="0" w:right="0"/>
              <w:rPr>
                <w:sz w:val="20"/>
                <w:szCs w:val="20"/>
              </w:rPr>
            </w:pPr>
          </w:p>
        </w:tc>
        <w:tc>
          <w:tcPr>
            <w:tcW w:w="2875" w:type="dxa"/>
          </w:tcPr>
          <w:p w14:paraId="021B6C61" w14:textId="77777777" w:rsidR="00157F6C" w:rsidRPr="00672162" w:rsidRDefault="00157F6C" w:rsidP="00672162">
            <w:pPr>
              <w:pStyle w:val="Tabletext"/>
              <w:ind w:left="0" w:right="0"/>
              <w:rPr>
                <w:sz w:val="20"/>
                <w:szCs w:val="20"/>
              </w:rPr>
            </w:pPr>
            <w:r w:rsidRPr="00672162">
              <w:rPr>
                <w:sz w:val="20"/>
                <w:szCs w:val="20"/>
              </w:rPr>
              <w:t>Use in subjects with autoimmune or inflammatory disorders</w:t>
            </w:r>
          </w:p>
        </w:tc>
        <w:tc>
          <w:tcPr>
            <w:tcW w:w="992" w:type="dxa"/>
          </w:tcPr>
          <w:p w14:paraId="71196FCB"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276" w:type="dxa"/>
          </w:tcPr>
          <w:p w14:paraId="77E2C58B" w14:textId="77777777" w:rsidR="00157F6C" w:rsidRPr="00672162" w:rsidRDefault="00157F6C" w:rsidP="00672162">
            <w:pPr>
              <w:pStyle w:val="Tabletext"/>
              <w:ind w:left="0" w:right="0"/>
              <w:jc w:val="center"/>
              <w:rPr>
                <w:sz w:val="20"/>
                <w:szCs w:val="20"/>
              </w:rPr>
            </w:pPr>
            <w:r w:rsidRPr="00672162">
              <w:rPr>
                <w:sz w:val="20"/>
                <w:szCs w:val="20"/>
              </w:rPr>
              <w:sym w:font="Wingdings" w:char="F0FC"/>
            </w:r>
            <w:r w:rsidRPr="00672162">
              <w:rPr>
                <w:rFonts w:asciiTheme="majorHAnsi" w:hAnsiTheme="majorHAnsi"/>
                <w:sz w:val="20"/>
                <w:szCs w:val="20"/>
                <w:vertAlign w:val="superscript"/>
              </w:rPr>
              <w:t>†</w:t>
            </w:r>
          </w:p>
        </w:tc>
        <w:tc>
          <w:tcPr>
            <w:tcW w:w="992" w:type="dxa"/>
          </w:tcPr>
          <w:p w14:paraId="51C14D92" w14:textId="77777777" w:rsidR="00157F6C" w:rsidRPr="00672162" w:rsidRDefault="00157F6C" w:rsidP="00672162">
            <w:pPr>
              <w:pStyle w:val="Tabletext"/>
              <w:ind w:left="0" w:right="0"/>
              <w:jc w:val="center"/>
              <w:rPr>
                <w:sz w:val="20"/>
                <w:szCs w:val="20"/>
              </w:rPr>
            </w:pPr>
            <w:r w:rsidRPr="00672162">
              <w:rPr>
                <w:sz w:val="20"/>
                <w:szCs w:val="20"/>
              </w:rPr>
              <w:sym w:font="Wingdings" w:char="F0FC"/>
            </w:r>
          </w:p>
        </w:tc>
        <w:tc>
          <w:tcPr>
            <w:tcW w:w="1307" w:type="dxa"/>
          </w:tcPr>
          <w:p w14:paraId="7FC9BF6A" w14:textId="77777777" w:rsidR="00157F6C" w:rsidRPr="00672162" w:rsidRDefault="00157F6C" w:rsidP="00672162">
            <w:pPr>
              <w:pStyle w:val="Tabletext"/>
              <w:ind w:left="0" w:right="0"/>
              <w:jc w:val="center"/>
              <w:rPr>
                <w:sz w:val="20"/>
                <w:szCs w:val="20"/>
              </w:rPr>
            </w:pPr>
            <w:r w:rsidRPr="00672162">
              <w:rPr>
                <w:sz w:val="20"/>
                <w:szCs w:val="20"/>
              </w:rPr>
              <w:t>–</w:t>
            </w:r>
          </w:p>
        </w:tc>
      </w:tr>
    </w:tbl>
    <w:p w14:paraId="1E539B93" w14:textId="2394826B" w:rsidR="00157F6C" w:rsidRDefault="00157F6C" w:rsidP="00157F6C">
      <w:pPr>
        <w:pStyle w:val="TableDescription"/>
      </w:pPr>
      <w:r w:rsidRPr="00507D4B">
        <w:t>*</w:t>
      </w:r>
      <w:r>
        <w:t xml:space="preserve"> </w:t>
      </w:r>
      <w:r w:rsidRPr="00507D4B">
        <w:t>Follow-up questionnaires</w:t>
      </w:r>
    </w:p>
    <w:p w14:paraId="3DFCD67D" w14:textId="27BD4889" w:rsidR="00157F6C" w:rsidRDefault="00157F6C" w:rsidP="00157F6C">
      <w:pPr>
        <w:pStyle w:val="TableDescription"/>
      </w:pPr>
      <w:r w:rsidRPr="00672162">
        <w:t>†</w:t>
      </w:r>
      <w:r>
        <w:t xml:space="preserve"> </w:t>
      </w:r>
      <w:r w:rsidRPr="00507D4B">
        <w:t>Clinical studies</w:t>
      </w:r>
    </w:p>
    <w:p w14:paraId="053A98B3" w14:textId="6DF20826" w:rsidR="00157F6C" w:rsidRPr="00672162" w:rsidRDefault="00157F6C" w:rsidP="00672162">
      <w:pPr>
        <w:pStyle w:val="TableDescription"/>
      </w:pPr>
      <w:r w:rsidRPr="00672162">
        <w:t>µ</w:t>
      </w:r>
      <w:r>
        <w:t xml:space="preserve"> </w:t>
      </w:r>
      <w:r w:rsidRPr="00507D4B">
        <w:t>Observational pregnancy outcome study</w:t>
      </w:r>
    </w:p>
    <w:p w14:paraId="1CC41F16" w14:textId="671DD2BF" w:rsidR="00157F6C" w:rsidRPr="00507D4B" w:rsidRDefault="00157F6C" w:rsidP="00672162">
      <w:pPr>
        <w:pStyle w:val="ListBullet"/>
      </w:pPr>
      <w:r w:rsidRPr="00507D4B">
        <w:t>This summary of safety concerns is the same as the summary that has been evaluated and currently considered to be acceptable. The sponsor should address any concerns regarding the safety specification raised by the clinical evaluat</w:t>
      </w:r>
      <w:r w:rsidR="00E177B8">
        <w:t>or</w:t>
      </w:r>
      <w:r w:rsidRPr="00507D4B">
        <w:t xml:space="preserve">, the </w:t>
      </w:r>
      <w:r w:rsidR="005C5D5D">
        <w:t>D</w:t>
      </w:r>
      <w:r w:rsidRPr="00507D4B">
        <w:t xml:space="preserve">elegate and/or the </w:t>
      </w:r>
      <w:r w:rsidR="005C5D5D">
        <w:t>Advisory Committee on Vaccines</w:t>
      </w:r>
      <w:r w:rsidRPr="00507D4B">
        <w:t>.</w:t>
      </w:r>
    </w:p>
    <w:p w14:paraId="2AE961CA" w14:textId="045053DB" w:rsidR="00157F6C" w:rsidRPr="00507D4B" w:rsidRDefault="00157F6C" w:rsidP="00672162">
      <w:pPr>
        <w:pStyle w:val="ListBullet"/>
      </w:pPr>
      <w:r w:rsidRPr="00507D4B">
        <w:lastRenderedPageBreak/>
        <w:t xml:space="preserve">The pharmacovigilance plan was deemed acceptable during the previous evaluations and continues to be acceptable for the current submission. The acceptability of the clinical study plan will be assessed by the </w:t>
      </w:r>
      <w:r w:rsidR="00507D4B">
        <w:t>D</w:t>
      </w:r>
      <w:r w:rsidRPr="00507D4B">
        <w:t>elegate.</w:t>
      </w:r>
    </w:p>
    <w:p w14:paraId="209F6B27" w14:textId="79DE1D73" w:rsidR="00157F6C" w:rsidRPr="00507D4B" w:rsidRDefault="00157F6C" w:rsidP="00672162">
      <w:pPr>
        <w:pStyle w:val="ListBullet"/>
      </w:pPr>
      <w:r w:rsidRPr="00507D4B">
        <w:t>Only routine risk minimisation measures are proposed by the sponsor. This approach was deemed acceptable during the previous evaluations as there are risk minimisation measures are implemented by the Australian Government Department of Health. The changes proposed by the current submission are not expected to require additional risk minimisation measures as part of the RMP.</w:t>
      </w:r>
    </w:p>
    <w:p w14:paraId="337E9AA2" w14:textId="77777777" w:rsidR="008E7846" w:rsidRPr="00CC7D8B" w:rsidRDefault="00AA0ED0" w:rsidP="008E7846">
      <w:pPr>
        <w:pStyle w:val="Heading3"/>
      </w:pPr>
      <w:bookmarkStart w:id="54" w:name="_Toc109817297"/>
      <w:r w:rsidRPr="00CC7D8B">
        <w:t>Risk-benefit a</w:t>
      </w:r>
      <w:r w:rsidR="008E7846" w:rsidRPr="00CC7D8B">
        <w:t>nalysis</w:t>
      </w:r>
      <w:bookmarkEnd w:id="49"/>
      <w:bookmarkEnd w:id="50"/>
      <w:bookmarkEnd w:id="54"/>
    </w:p>
    <w:p w14:paraId="1AFEF95E" w14:textId="77777777" w:rsidR="0074163C" w:rsidRPr="00CC7D8B" w:rsidRDefault="0074163C" w:rsidP="0074163C">
      <w:pPr>
        <w:pStyle w:val="Heading4"/>
      </w:pPr>
      <w:bookmarkStart w:id="55" w:name="_Toc98931932"/>
      <w:r w:rsidRPr="00CC7D8B">
        <w:t>Delegate’s considerations</w:t>
      </w:r>
      <w:bookmarkEnd w:id="55"/>
    </w:p>
    <w:p w14:paraId="28F97305" w14:textId="1C6D875E" w:rsidR="00E541C4" w:rsidRPr="00CC7D8B" w:rsidRDefault="00E541C4" w:rsidP="003F277B">
      <w:r w:rsidRPr="00CC7D8B">
        <w:t xml:space="preserve">Study </w:t>
      </w:r>
      <w:r w:rsidR="00C14F80" w:rsidRPr="00CC7D8B">
        <w:t>P204</w:t>
      </w:r>
      <w:r w:rsidRPr="00CC7D8B">
        <w:t xml:space="preserve"> provides evidence that Spikevax produces a similar level of neutralising antibody response in the 6 month</w:t>
      </w:r>
      <w:r w:rsidR="005C5D5D">
        <w:t>s</w:t>
      </w:r>
      <w:r w:rsidRPr="00CC7D8B">
        <w:t xml:space="preserve"> to</w:t>
      </w:r>
      <w:r w:rsidR="005C5D5D">
        <w:t xml:space="preserve"> less than</w:t>
      </w:r>
      <w:r w:rsidRPr="00CC7D8B">
        <w:t xml:space="preserve"> 6 year</w:t>
      </w:r>
      <w:r w:rsidR="005C5D5D">
        <w:t>s</w:t>
      </w:r>
      <w:r w:rsidRPr="00CC7D8B">
        <w:t xml:space="preserve"> </w:t>
      </w:r>
      <w:r w:rsidR="005C5D5D">
        <w:t>of</w:t>
      </w:r>
      <w:r w:rsidRPr="00CC7D8B">
        <w:t xml:space="preserve"> age group </w:t>
      </w:r>
      <w:r w:rsidR="005C5D5D">
        <w:t xml:space="preserve">to the response </w:t>
      </w:r>
      <w:r w:rsidRPr="00CC7D8B">
        <w:t>it</w:t>
      </w:r>
      <w:r w:rsidR="005C5D5D">
        <w:t xml:space="preserve"> produces</w:t>
      </w:r>
      <w:r w:rsidRPr="00CC7D8B">
        <w:t xml:space="preserve"> in older children and adults. The likely efficacy of the product in the proposed young age group is largely based on an extrapolation of equivalence between these age cohorts. The Delegate notes that this extrapolation is not simple because the COVID</w:t>
      </w:r>
      <w:r w:rsidR="00FD5408" w:rsidRPr="00CC7D8B">
        <w:t>-19</w:t>
      </w:r>
      <w:r w:rsidRPr="00CC7D8B">
        <w:t xml:space="preserve"> experienced by young children differs somewhat from that which occurs in older children and adults.</w:t>
      </w:r>
    </w:p>
    <w:p w14:paraId="04BE4A55" w14:textId="0C83A6F2" w:rsidR="00E541C4" w:rsidRPr="00CC7D8B" w:rsidRDefault="00E541C4" w:rsidP="003F277B">
      <w:r w:rsidRPr="00CC7D8B">
        <w:t xml:space="preserve">The </w:t>
      </w:r>
      <w:r w:rsidR="00EE53F2">
        <w:t>vaccine efficacy (</w:t>
      </w:r>
      <w:r w:rsidR="00FD5408" w:rsidRPr="00CC7D8B">
        <w:t>VE</w:t>
      </w:r>
      <w:r w:rsidR="00EE53F2">
        <w:t>)</w:t>
      </w:r>
      <w:r w:rsidR="00D25559" w:rsidRPr="00CC7D8B">
        <w:t xml:space="preserve"> </w:t>
      </w:r>
      <w:r w:rsidRPr="00CC7D8B">
        <w:t xml:space="preserve">data in </w:t>
      </w:r>
      <w:r w:rsidR="00C14F80" w:rsidRPr="00CC7D8B">
        <w:t>Study P204</w:t>
      </w:r>
      <w:r w:rsidRPr="00CC7D8B">
        <w:t xml:space="preserve"> demonstrates a low level of protective effect against symptomatic infection. The </w:t>
      </w:r>
      <w:r w:rsidR="00FD5408" w:rsidRPr="00CC7D8B">
        <w:t>VE</w:t>
      </w:r>
      <w:r w:rsidRPr="00CC7D8B">
        <w:t xml:space="preserve"> against Omicron </w:t>
      </w:r>
      <w:r w:rsidR="00FD5408" w:rsidRPr="00CC7D8B">
        <w:t xml:space="preserve">variant </w:t>
      </w:r>
      <w:r w:rsidRPr="00CC7D8B">
        <w:t xml:space="preserve">is likely to be lower than that reported in </w:t>
      </w:r>
      <w:r w:rsidR="00C14F80" w:rsidRPr="00CC7D8B">
        <w:t>Study P204</w:t>
      </w:r>
      <w:r w:rsidRPr="00CC7D8B">
        <w:t xml:space="preserve">. The duration over which cases were acquired following </w:t>
      </w:r>
      <w:r w:rsidR="00D25559" w:rsidRPr="00CC7D8B">
        <w:t>Dose 2</w:t>
      </w:r>
      <w:r w:rsidRPr="00CC7D8B">
        <w:t xml:space="preserve"> of vaccine was not </w:t>
      </w:r>
      <w:proofErr w:type="gramStart"/>
      <w:r w:rsidRPr="00CC7D8B">
        <w:t>reported, but</w:t>
      </w:r>
      <w:proofErr w:type="gramEnd"/>
      <w:r w:rsidRPr="00CC7D8B">
        <w:t xml:space="preserve"> given the </w:t>
      </w:r>
      <w:r w:rsidR="00C14F80" w:rsidRPr="00CC7D8B">
        <w:t>Study P204</w:t>
      </w:r>
      <w:r w:rsidRPr="00CC7D8B">
        <w:t xml:space="preserve"> data was locked in February</w:t>
      </w:r>
      <w:r w:rsidR="00EE53F2">
        <w:t> </w:t>
      </w:r>
      <w:r w:rsidRPr="00CC7D8B">
        <w:t>2022</w:t>
      </w:r>
      <w:r w:rsidR="00EE53F2">
        <w:t>,</w:t>
      </w:r>
      <w:r w:rsidRPr="00CC7D8B">
        <w:t xml:space="preserve"> it is no longer than about 3 months. Therefore</w:t>
      </w:r>
      <w:r w:rsidR="00D25559" w:rsidRPr="00CC7D8B">
        <w:t>,</w:t>
      </w:r>
      <w:r w:rsidRPr="00CC7D8B">
        <w:t xml:space="preserve"> </w:t>
      </w:r>
      <w:r w:rsidR="00EE53F2" w:rsidRPr="00CC7D8B">
        <w:t>longer</w:t>
      </w:r>
      <w:r w:rsidR="00672162">
        <w:t xml:space="preserve"> </w:t>
      </w:r>
      <w:r w:rsidR="00EE53F2" w:rsidRPr="00CC7D8B">
        <w:t>term</w:t>
      </w:r>
      <w:r w:rsidRPr="00CC7D8B">
        <w:t xml:space="preserve"> protective efficacy provided by </w:t>
      </w:r>
      <w:r w:rsidR="00EE53F2">
        <w:t xml:space="preserve">the </w:t>
      </w:r>
      <w:r w:rsidRPr="00CC7D8B">
        <w:t>Spikevax</w:t>
      </w:r>
      <w:r w:rsidR="00EE53F2">
        <w:t xml:space="preserve"> vaccine</w:t>
      </w:r>
      <w:r w:rsidRPr="00CC7D8B">
        <w:t xml:space="preserve"> in children </w:t>
      </w:r>
      <w:r w:rsidR="00EE53F2">
        <w:t>aged less than</w:t>
      </w:r>
      <w:r w:rsidR="00D25559" w:rsidRPr="00CC7D8B">
        <w:t xml:space="preserve"> </w:t>
      </w:r>
      <w:r w:rsidRPr="00CC7D8B">
        <w:t>6 months has not been established.</w:t>
      </w:r>
    </w:p>
    <w:p w14:paraId="1336453F" w14:textId="060DBCA0" w:rsidR="00E541C4" w:rsidRPr="00CC7D8B" w:rsidRDefault="00E541C4" w:rsidP="003F277B">
      <w:r w:rsidRPr="00CC7D8B">
        <w:t xml:space="preserve">The </w:t>
      </w:r>
      <w:r w:rsidR="00C14F80" w:rsidRPr="00CC7D8B">
        <w:t>sponsor</w:t>
      </w:r>
      <w:r w:rsidRPr="00CC7D8B">
        <w:t xml:space="preserve"> has reported an overall VE of between 31% and 46% in its draft PI. Using the </w:t>
      </w:r>
      <w:r w:rsidR="00C14F80" w:rsidRPr="00CC7D8B">
        <w:t>Study P301</w:t>
      </w:r>
      <w:r w:rsidRPr="00CC7D8B">
        <w:t xml:space="preserve"> case definition (the comparative adult trial) the VE is 31% in the 6 </w:t>
      </w:r>
      <w:proofErr w:type="gramStart"/>
      <w:r w:rsidRPr="00CC7D8B">
        <w:t>month</w:t>
      </w:r>
      <w:proofErr w:type="gramEnd"/>
      <w:r w:rsidRPr="00CC7D8B">
        <w:t xml:space="preserve"> to </w:t>
      </w:r>
      <w:r w:rsidR="00EE53F2">
        <w:t>less than</w:t>
      </w:r>
      <w:r w:rsidR="00C14F80" w:rsidRPr="00CC7D8B">
        <w:t> </w:t>
      </w:r>
      <w:r w:rsidRPr="00CC7D8B">
        <w:t>2 year</w:t>
      </w:r>
      <w:r w:rsidR="00EE53F2">
        <w:t>s of age</w:t>
      </w:r>
      <w:r w:rsidRPr="00CC7D8B">
        <w:t xml:space="preserve"> cohort, and 46% in the 2 to </w:t>
      </w:r>
      <w:r w:rsidR="00EE53F2">
        <w:t>less than</w:t>
      </w:r>
      <w:r w:rsidR="00D25559" w:rsidRPr="00CC7D8B">
        <w:t xml:space="preserve"> </w:t>
      </w:r>
      <w:r w:rsidRPr="00CC7D8B">
        <w:t>6 year</w:t>
      </w:r>
      <w:r w:rsidR="00EE53F2">
        <w:t>s of age</w:t>
      </w:r>
      <w:r w:rsidRPr="00CC7D8B">
        <w:t xml:space="preserve"> cohort. The Delegate considers the </w:t>
      </w:r>
      <w:r w:rsidR="00C14F80" w:rsidRPr="00CC7D8B">
        <w:t>Study</w:t>
      </w:r>
      <w:r w:rsidR="00FD5408" w:rsidRPr="00CC7D8B">
        <w:t> </w:t>
      </w:r>
      <w:r w:rsidR="00C14F80" w:rsidRPr="00CC7D8B">
        <w:t>P301</w:t>
      </w:r>
      <w:r w:rsidRPr="00CC7D8B">
        <w:t xml:space="preserve"> case definition to be the most relevant as the paediatric data has been presented in comparison to the clinical efficacy demonstrated using this case definition in the larger adult trials.</w:t>
      </w:r>
    </w:p>
    <w:p w14:paraId="240B355D" w14:textId="04293353" w:rsidR="00E541C4" w:rsidRPr="00CC7D8B" w:rsidRDefault="00E541C4" w:rsidP="003F277B">
      <w:r w:rsidRPr="00CC7D8B">
        <w:t xml:space="preserve">The low protective efficacy suggests that the main use of Spikevax in the </w:t>
      </w:r>
      <w:r w:rsidR="00EE53F2">
        <w:t>population of less than</w:t>
      </w:r>
      <w:r w:rsidR="00FD5408" w:rsidRPr="00CC7D8B">
        <w:t> </w:t>
      </w:r>
      <w:r w:rsidRPr="00CC7D8B">
        <w:t>6 year</w:t>
      </w:r>
      <w:r w:rsidR="00EE53F2">
        <w:t>s</w:t>
      </w:r>
      <w:r w:rsidRPr="00CC7D8B">
        <w:t xml:space="preserve"> </w:t>
      </w:r>
      <w:r w:rsidR="00EE53F2">
        <w:t>of age</w:t>
      </w:r>
      <w:r w:rsidRPr="00CC7D8B">
        <w:t xml:space="preserve"> is likely to be to prevent severe disease, rather than infection per se, but there is no clinical data on severe disease endpoints in this age group. However, Delegate concludes that VE against severe disease is likely to be higher than that against symptomatic infection given the generally more positive correlation between neutralising antibody titres and severe COVID</w:t>
      </w:r>
      <w:r w:rsidR="00FD5408" w:rsidRPr="00CC7D8B">
        <w:t>-19</w:t>
      </w:r>
      <w:r w:rsidRPr="00CC7D8B">
        <w:t xml:space="preserve"> outcomes.</w:t>
      </w:r>
    </w:p>
    <w:p w14:paraId="5D0B0275" w14:textId="2D2DBD05" w:rsidR="00E541C4" w:rsidRPr="00CC7D8B" w:rsidRDefault="00E541C4" w:rsidP="003F277B">
      <w:r w:rsidRPr="00CC7D8B">
        <w:t xml:space="preserve">The </w:t>
      </w:r>
      <w:r w:rsidR="00C14F80" w:rsidRPr="00CC7D8B">
        <w:t>clinical evaluat</w:t>
      </w:r>
      <w:r w:rsidR="00E177B8">
        <w:t>or</w:t>
      </w:r>
      <w:r w:rsidRPr="00CC7D8B">
        <w:t xml:space="preserve"> has noted that FDA guidelines</w:t>
      </w:r>
      <w:r w:rsidR="00CC1E2B">
        <w:t>;</w:t>
      </w:r>
      <w:r w:rsidR="00CC1E2B" w:rsidRPr="00CC1E2B">
        <w:rPr>
          <w:vertAlign w:val="superscript"/>
        </w:rPr>
        <w:fldChar w:fldCharType="begin"/>
      </w:r>
      <w:r w:rsidR="00CC1E2B" w:rsidRPr="00CC1E2B">
        <w:rPr>
          <w:vertAlign w:val="superscript"/>
        </w:rPr>
        <w:instrText xml:space="preserve"> NOTEREF _Ref108704470 \h </w:instrText>
      </w:r>
      <w:r w:rsidR="00CC1E2B">
        <w:rPr>
          <w:vertAlign w:val="superscript"/>
        </w:rPr>
        <w:instrText xml:space="preserve"> \* MERGEFORMAT </w:instrText>
      </w:r>
      <w:r w:rsidR="00CC1E2B" w:rsidRPr="00CC1E2B">
        <w:rPr>
          <w:vertAlign w:val="superscript"/>
        </w:rPr>
      </w:r>
      <w:r w:rsidR="00CC1E2B" w:rsidRPr="00CC1E2B">
        <w:rPr>
          <w:vertAlign w:val="superscript"/>
        </w:rPr>
        <w:fldChar w:fldCharType="separate"/>
      </w:r>
      <w:r w:rsidR="00522240">
        <w:rPr>
          <w:vertAlign w:val="superscript"/>
        </w:rPr>
        <w:t>18</w:t>
      </w:r>
      <w:r w:rsidR="00CC1E2B" w:rsidRPr="00CC1E2B">
        <w:rPr>
          <w:vertAlign w:val="superscript"/>
        </w:rPr>
        <w:fldChar w:fldCharType="end"/>
      </w:r>
      <w:r w:rsidRPr="00CC7D8B">
        <w:t xml:space="preserve"> state that </w:t>
      </w:r>
      <w:r w:rsidR="00FD5408" w:rsidRPr="00CC7D8B">
        <w:t>VE</w:t>
      </w:r>
      <w:r w:rsidR="00D25559" w:rsidRPr="00CC7D8B">
        <w:t xml:space="preserve"> sh</w:t>
      </w:r>
      <w:r w:rsidRPr="00CC7D8B">
        <w:t xml:space="preserve">ould be at least 50%, with a </w:t>
      </w:r>
      <w:r w:rsidR="00EE53F2">
        <w:t>confidence interval (</w:t>
      </w:r>
      <w:r w:rsidR="00FD5408" w:rsidRPr="00CC7D8B">
        <w:t>CI</w:t>
      </w:r>
      <w:r w:rsidR="00EE53F2">
        <w:t>)</w:t>
      </w:r>
      <w:r w:rsidRPr="00CC7D8B">
        <w:t xml:space="preserve"> that has a lower bound &gt;</w:t>
      </w:r>
      <w:r w:rsidR="00D25559" w:rsidRPr="00CC7D8B">
        <w:t xml:space="preserve"> </w:t>
      </w:r>
      <w:r w:rsidRPr="00CC7D8B">
        <w:t xml:space="preserve">30%. Spikevax did not demonstrate this level of efficacy in all analyses. The Delegate notes that this </w:t>
      </w:r>
      <w:r w:rsidR="00FD5408" w:rsidRPr="00CC7D8B">
        <w:t>g</w:t>
      </w:r>
      <w:r w:rsidRPr="00CC7D8B">
        <w:t xml:space="preserve">uideline is not formally adopted by TGA although it would be expected to be known to the </w:t>
      </w:r>
      <w:r w:rsidR="00C14F80" w:rsidRPr="00CC7D8B">
        <w:t>sponsor</w:t>
      </w:r>
      <w:r w:rsidRPr="00CC7D8B">
        <w:t xml:space="preserve"> as a publicly available regulatory document from a major international agency.</w:t>
      </w:r>
    </w:p>
    <w:p w14:paraId="0A6A1BE6" w14:textId="3192D77C" w:rsidR="00E541C4" w:rsidRPr="00CC7D8B" w:rsidRDefault="00E541C4" w:rsidP="003F277B">
      <w:r w:rsidRPr="00CC7D8B">
        <w:t xml:space="preserve">The Delegate notes that VE against infection is only relevant if the primary use of the vaccine is to prevent infection. This does not preclude the use of Spikevax as protection against severe manifestations of infection. The Delegate has not concluded that this </w:t>
      </w:r>
      <w:r w:rsidR="00FD5408" w:rsidRPr="00CC7D8B">
        <w:t>g</w:t>
      </w:r>
      <w:r w:rsidRPr="00CC7D8B">
        <w:t xml:space="preserve">uideline is determinative in the decision whether to approve the use of Spikevax in children </w:t>
      </w:r>
      <w:r w:rsidR="00EE53F2">
        <w:t>from</w:t>
      </w:r>
      <w:r w:rsidR="00990FFE" w:rsidRPr="00CC7D8B">
        <w:t> </w:t>
      </w:r>
      <w:r w:rsidRPr="00CC7D8B">
        <w:t xml:space="preserve">6 months to </w:t>
      </w:r>
      <w:r w:rsidR="00EE53F2">
        <w:t>less than</w:t>
      </w:r>
      <w:r w:rsidR="00D25559" w:rsidRPr="00CC7D8B">
        <w:t xml:space="preserve"> </w:t>
      </w:r>
      <w:r w:rsidRPr="00CC7D8B">
        <w:t>6 years of age. However, the Delegate considers the FDA guideline</w:t>
      </w:r>
      <w:r w:rsidR="00CC1E2B">
        <w:t>;</w:t>
      </w:r>
      <w:r w:rsidR="00CC1E2B" w:rsidRPr="00CC1E2B">
        <w:rPr>
          <w:vertAlign w:val="superscript"/>
        </w:rPr>
        <w:fldChar w:fldCharType="begin"/>
      </w:r>
      <w:r w:rsidR="00CC1E2B" w:rsidRPr="00CC1E2B">
        <w:rPr>
          <w:vertAlign w:val="superscript"/>
        </w:rPr>
        <w:instrText xml:space="preserve"> NOTEREF _Ref108704470 \h </w:instrText>
      </w:r>
      <w:r w:rsidR="00CC1E2B">
        <w:rPr>
          <w:vertAlign w:val="superscript"/>
        </w:rPr>
        <w:instrText xml:space="preserve"> \* MERGEFORMAT </w:instrText>
      </w:r>
      <w:r w:rsidR="00CC1E2B" w:rsidRPr="00CC1E2B">
        <w:rPr>
          <w:vertAlign w:val="superscript"/>
        </w:rPr>
      </w:r>
      <w:r w:rsidR="00CC1E2B" w:rsidRPr="00CC1E2B">
        <w:rPr>
          <w:vertAlign w:val="superscript"/>
        </w:rPr>
        <w:fldChar w:fldCharType="separate"/>
      </w:r>
      <w:r w:rsidR="00522240">
        <w:rPr>
          <w:vertAlign w:val="superscript"/>
        </w:rPr>
        <w:t>18</w:t>
      </w:r>
      <w:r w:rsidR="00CC1E2B" w:rsidRPr="00CC1E2B">
        <w:rPr>
          <w:vertAlign w:val="superscript"/>
        </w:rPr>
        <w:fldChar w:fldCharType="end"/>
      </w:r>
      <w:r w:rsidRPr="00CC7D8B">
        <w:t xml:space="preserve"> to be a relevant regulatory benchmark of VE against infection that could become materially relevant to the decision if VE against infection was the major clinical </w:t>
      </w:r>
      <w:r w:rsidRPr="00CC7D8B">
        <w:lastRenderedPageBreak/>
        <w:t>use of Spikevax in this age group</w:t>
      </w:r>
      <w:r w:rsidR="00FD5408" w:rsidRPr="00CC7D8B">
        <w:t>;</w:t>
      </w:r>
      <w:r w:rsidRPr="00CC7D8B">
        <w:t xml:space="preserve"> and the </w:t>
      </w:r>
      <w:r w:rsidR="00A47938" w:rsidRPr="00CC7D8B">
        <w:t>Advisory Committee on Vaccines (</w:t>
      </w:r>
      <w:r w:rsidRPr="00CC7D8B">
        <w:t>ACV</w:t>
      </w:r>
      <w:r w:rsidR="00A47938" w:rsidRPr="00CC7D8B">
        <w:t>)</w:t>
      </w:r>
      <w:r w:rsidRPr="00CC7D8B">
        <w:t xml:space="preserve"> advised that the level of protective efficacy demonstrated was insufficient to support this use in Australia.</w:t>
      </w:r>
    </w:p>
    <w:p w14:paraId="23BCEE6B" w14:textId="4D5F67D8" w:rsidR="00E541C4" w:rsidRPr="00CC7D8B" w:rsidRDefault="00E541C4" w:rsidP="003F277B">
      <w:r w:rsidRPr="00CC7D8B">
        <w:t xml:space="preserve">The </w:t>
      </w:r>
      <w:r w:rsidR="00C14F80" w:rsidRPr="00CC7D8B">
        <w:t>clinical evaluat</w:t>
      </w:r>
      <w:r w:rsidR="00EE53F2">
        <w:t>ion</w:t>
      </w:r>
      <w:r w:rsidRPr="00CC7D8B">
        <w:t xml:space="preserve"> has noted that the level of immune response appears to be higher in the 6 </w:t>
      </w:r>
      <w:proofErr w:type="gramStart"/>
      <w:r w:rsidRPr="00CC7D8B">
        <w:t>month</w:t>
      </w:r>
      <w:proofErr w:type="gramEnd"/>
      <w:r w:rsidRPr="00CC7D8B">
        <w:t xml:space="preserve"> to </w:t>
      </w:r>
      <w:r w:rsidR="00EE53F2">
        <w:t>less than</w:t>
      </w:r>
      <w:r w:rsidR="00C14F80" w:rsidRPr="00CC7D8B">
        <w:t> </w:t>
      </w:r>
      <w:r w:rsidRPr="00CC7D8B">
        <w:t>2 year</w:t>
      </w:r>
      <w:r w:rsidR="00EE53F2">
        <w:t>s of age</w:t>
      </w:r>
      <w:r w:rsidRPr="00CC7D8B">
        <w:t xml:space="preserve"> cohort than in the 2 year</w:t>
      </w:r>
      <w:r w:rsidR="00EE53F2">
        <w:t>s</w:t>
      </w:r>
      <w:r w:rsidRPr="00CC7D8B">
        <w:t xml:space="preserve"> to </w:t>
      </w:r>
      <w:r w:rsidR="00EE53F2">
        <w:t>less than</w:t>
      </w:r>
      <w:r w:rsidR="00D25559" w:rsidRPr="00CC7D8B">
        <w:t xml:space="preserve"> </w:t>
      </w:r>
      <w:r w:rsidRPr="00CC7D8B">
        <w:t>6 year</w:t>
      </w:r>
      <w:r w:rsidR="00EE53F2">
        <w:t>s of age</w:t>
      </w:r>
      <w:r w:rsidRPr="00CC7D8B">
        <w:t xml:space="preserve"> cohort. The older </w:t>
      </w:r>
      <w:proofErr w:type="gramStart"/>
      <w:r w:rsidRPr="00CC7D8B">
        <w:t>cohorts</w:t>
      </w:r>
      <w:proofErr w:type="gramEnd"/>
      <w:r w:rsidRPr="00CC7D8B">
        <w:t xml:space="preserve"> response is comparable to that observed in previously evaluated data in the 6</w:t>
      </w:r>
      <w:r w:rsidR="00D25559" w:rsidRPr="00CC7D8B">
        <w:t xml:space="preserve"> to </w:t>
      </w:r>
      <w:r w:rsidRPr="00CC7D8B">
        <w:t>12 year</w:t>
      </w:r>
      <w:r w:rsidR="00EE53F2">
        <w:t xml:space="preserve">s of </w:t>
      </w:r>
      <w:r w:rsidRPr="00CC7D8B">
        <w:t xml:space="preserve">age </w:t>
      </w:r>
      <w:r w:rsidR="00EE53F2">
        <w:t>population</w:t>
      </w:r>
      <w:r w:rsidRPr="00CC7D8B">
        <w:t xml:space="preserve">, noting that this group received a higher dose of vaccine. The </w:t>
      </w:r>
      <w:r w:rsidR="00C14F80" w:rsidRPr="00CC7D8B">
        <w:t>clinical evaluator</w:t>
      </w:r>
      <w:r w:rsidRPr="00CC7D8B">
        <w:t xml:space="preserve"> has noted that it is possible that immune response to the vaccine is related to age, and that a lower dose of vaccine could have been examined in the 6 </w:t>
      </w:r>
      <w:proofErr w:type="gramStart"/>
      <w:r w:rsidRPr="00CC7D8B">
        <w:t>month</w:t>
      </w:r>
      <w:proofErr w:type="gramEnd"/>
      <w:r w:rsidRPr="00CC7D8B">
        <w:t xml:space="preserve"> to </w:t>
      </w:r>
      <w:r w:rsidR="00EE53F2">
        <w:t>less than</w:t>
      </w:r>
      <w:r w:rsidR="00C14F80" w:rsidRPr="00CC7D8B">
        <w:t> </w:t>
      </w:r>
      <w:r w:rsidRPr="00CC7D8B">
        <w:t>2 year</w:t>
      </w:r>
      <w:r w:rsidR="00EE53F2">
        <w:t>s</w:t>
      </w:r>
      <w:r w:rsidRPr="00CC7D8B">
        <w:t xml:space="preserve"> old cohort. The Delegate agrees that this data on 12.5</w:t>
      </w:r>
      <w:r w:rsidR="00D25559" w:rsidRPr="00CC7D8B">
        <w:t xml:space="preserve"> </w:t>
      </w:r>
      <w:r w:rsidRPr="00CC7D8B">
        <w:t>µg doses</w:t>
      </w:r>
      <w:r w:rsidR="00EE53F2">
        <w:t xml:space="preserve"> of Spikevax vaccine (elasomeran)</w:t>
      </w:r>
      <w:r w:rsidRPr="00CC7D8B">
        <w:t xml:space="preserve"> may be useful in the youngest </w:t>
      </w:r>
      <w:proofErr w:type="gramStart"/>
      <w:r w:rsidRPr="00CC7D8B">
        <w:t>cohort, but</w:t>
      </w:r>
      <w:proofErr w:type="gramEnd"/>
      <w:r w:rsidRPr="00CC7D8B">
        <w:t xml:space="preserve"> has concluded that it is not necessary to resolve this </w:t>
      </w:r>
      <w:r w:rsidR="002E1875" w:rsidRPr="00CC7D8B">
        <w:t>submission</w:t>
      </w:r>
      <w:r w:rsidRPr="00CC7D8B">
        <w:t>.</w:t>
      </w:r>
    </w:p>
    <w:p w14:paraId="22134AA0" w14:textId="693A57AD" w:rsidR="00E541C4" w:rsidRPr="00CC7D8B" w:rsidRDefault="00E541C4" w:rsidP="003F277B">
      <w:r w:rsidRPr="00CC7D8B">
        <w:t xml:space="preserve">The </w:t>
      </w:r>
      <w:r w:rsidR="00FD5408" w:rsidRPr="00CC7D8B">
        <w:t>clinical evaluat</w:t>
      </w:r>
      <w:r w:rsidR="00EE53F2">
        <w:t>ion</w:t>
      </w:r>
      <w:r w:rsidR="00FD5408" w:rsidRPr="00CC7D8B">
        <w:t xml:space="preserve"> </w:t>
      </w:r>
      <w:r w:rsidRPr="00CC7D8B">
        <w:t xml:space="preserve">has disagreed with the </w:t>
      </w:r>
      <w:r w:rsidR="00C14F80" w:rsidRPr="00CC7D8B">
        <w:t>sponsor</w:t>
      </w:r>
      <w:r w:rsidRPr="00CC7D8B">
        <w:t xml:space="preserve"> on the attribution of case of </w:t>
      </w:r>
      <w:r w:rsidR="00FD5408" w:rsidRPr="00CC7D8B">
        <w:t>febrile convulsion</w:t>
      </w:r>
      <w:r w:rsidR="002E1875" w:rsidRPr="00CC7D8B">
        <w:t xml:space="preserve"> [subject identification redacted]</w:t>
      </w:r>
      <w:r w:rsidRPr="00CC7D8B">
        <w:t xml:space="preserve">. The Delegate’s understanding is that most causes a high fever will increase the propensity to febrile convulsion in a population of healthy </w:t>
      </w:r>
      <w:r w:rsidR="00EE53F2">
        <w:t xml:space="preserve">children aged from </w:t>
      </w:r>
      <w:r w:rsidRPr="00CC7D8B">
        <w:t xml:space="preserve">6 month to </w:t>
      </w:r>
      <w:r w:rsidR="00EE53F2">
        <w:t>less than</w:t>
      </w:r>
      <w:r w:rsidR="00D25559" w:rsidRPr="00CC7D8B">
        <w:t> </w:t>
      </w:r>
      <w:r w:rsidRPr="00CC7D8B">
        <w:t>6</w:t>
      </w:r>
      <w:r w:rsidR="00D25559" w:rsidRPr="00CC7D8B">
        <w:t> </w:t>
      </w:r>
      <w:r w:rsidRPr="00CC7D8B">
        <w:t>year, with a relatively greater increase in those with pro</w:t>
      </w:r>
      <w:r w:rsidR="002E1875" w:rsidRPr="00CC7D8B">
        <w:noBreakHyphen/>
      </w:r>
      <w:r w:rsidRPr="00CC7D8B">
        <w:t>seizure conditions</w:t>
      </w:r>
      <w:r w:rsidR="00C32995" w:rsidRPr="00CC7D8B">
        <w:t>,</w:t>
      </w:r>
      <w:r w:rsidRPr="00CC7D8B">
        <w:t xml:space="preserve"> </w:t>
      </w:r>
      <w:r w:rsidR="00C32995" w:rsidRPr="00CC7D8B">
        <w:t>for example,</w:t>
      </w:r>
      <w:r w:rsidRPr="00CC7D8B">
        <w:t xml:space="preserve"> </w:t>
      </w:r>
      <w:proofErr w:type="spellStart"/>
      <w:r w:rsidRPr="00CC7D8B">
        <w:t>Dravet</w:t>
      </w:r>
      <w:proofErr w:type="spellEnd"/>
      <w:r w:rsidRPr="00CC7D8B">
        <w:t xml:space="preserve"> syndrome. Since </w:t>
      </w:r>
      <w:r w:rsidR="00C14F80" w:rsidRPr="00CC7D8B">
        <w:t>Study P204</w:t>
      </w:r>
      <w:r w:rsidRPr="00CC7D8B">
        <w:t xml:space="preserve"> demonstrates that Spikevax causes fevers in a proportion of recipients, the residual safety issue is whether it causes a higher proportion of severe fevers than acceptable</w:t>
      </w:r>
      <w:r w:rsidR="002E1875" w:rsidRPr="00CC7D8B">
        <w:t>;</w:t>
      </w:r>
      <w:r w:rsidRPr="00CC7D8B">
        <w:t xml:space="preserve"> or has another pro-convulsant action which is not represented in the trial population. The </w:t>
      </w:r>
      <w:r w:rsidR="00C14F80" w:rsidRPr="00CC7D8B">
        <w:t>clinical evaluator</w:t>
      </w:r>
      <w:r w:rsidRPr="00CC7D8B">
        <w:t xml:space="preserve"> has noted that </w:t>
      </w:r>
      <w:r w:rsidR="00C14F80" w:rsidRPr="00CC7D8B">
        <w:t>Study P204</w:t>
      </w:r>
      <w:r w:rsidRPr="00CC7D8B">
        <w:t xml:space="preserve"> excluded children with a prior history of </w:t>
      </w:r>
      <w:r w:rsidR="002E1875" w:rsidRPr="00CC7D8B">
        <w:t>febrile convulsion</w:t>
      </w:r>
      <w:r w:rsidRPr="00CC7D8B">
        <w:t xml:space="preserve">. However, the </w:t>
      </w:r>
      <w:r w:rsidR="00C14F80" w:rsidRPr="00CC7D8B">
        <w:t>clinical evaluator</w:t>
      </w:r>
      <w:r w:rsidRPr="00CC7D8B">
        <w:t xml:space="preserve"> has also noted that Spikevax </w:t>
      </w:r>
      <w:r w:rsidR="00EE53F2">
        <w:t xml:space="preserve">vaccine </w:t>
      </w:r>
      <w:r w:rsidRPr="00CC7D8B">
        <w:t>does not produce a high level of high fevers overall and the Delegate concurs that the reactogenicity data is unremarkable.</w:t>
      </w:r>
    </w:p>
    <w:p w14:paraId="11CF2B68" w14:textId="494BC102" w:rsidR="00E541C4" w:rsidRPr="00CC7D8B" w:rsidRDefault="00E541C4" w:rsidP="003F277B">
      <w:r w:rsidRPr="00CC7D8B">
        <w:t xml:space="preserve">The Delegate is of the view that </w:t>
      </w:r>
      <w:r w:rsidR="002E1875" w:rsidRPr="00CC7D8B">
        <w:t>[subject identification redacted]</w:t>
      </w:r>
      <w:r w:rsidRPr="00CC7D8B">
        <w:t xml:space="preserve"> was a normal stochastic event given the known propensity of </w:t>
      </w:r>
      <w:r w:rsidR="00EE53F2">
        <w:t xml:space="preserve">the </w:t>
      </w:r>
      <w:r w:rsidRPr="00CC7D8B">
        <w:t xml:space="preserve">Spikevax </w:t>
      </w:r>
      <w:r w:rsidR="00EE53F2">
        <w:t xml:space="preserve">vaccine </w:t>
      </w:r>
      <w:r w:rsidRPr="00CC7D8B">
        <w:t xml:space="preserve">to induce fevers. That being so, the Delegate has also concluded that the event reported in patient </w:t>
      </w:r>
      <w:bookmarkStart w:id="56" w:name="_Hlk106538191"/>
      <w:r w:rsidR="002E1875" w:rsidRPr="00CC7D8B">
        <w:t>[subject identification redacted]</w:t>
      </w:r>
      <w:bookmarkEnd w:id="56"/>
      <w:r w:rsidRPr="00CC7D8B">
        <w:t xml:space="preserve"> was a </w:t>
      </w:r>
      <w:r w:rsidR="002E1875" w:rsidRPr="00CC7D8B">
        <w:t>febrile convulsion</w:t>
      </w:r>
      <w:r w:rsidRPr="00CC7D8B">
        <w:t>. This is based on the Delegate</w:t>
      </w:r>
      <w:r w:rsidR="00EE53F2">
        <w:t>’</w:t>
      </w:r>
      <w:r w:rsidRPr="00CC7D8B">
        <w:t xml:space="preserve">s understanding that this a clinical diagnosis of exclusion. Therefore, the Delegate agrees with the </w:t>
      </w:r>
      <w:r w:rsidR="00C14F80" w:rsidRPr="00CC7D8B">
        <w:t>clinical evaluat</w:t>
      </w:r>
      <w:r w:rsidR="00EE53F2">
        <w:t>ion</w:t>
      </w:r>
      <w:r w:rsidRPr="00CC7D8B">
        <w:t xml:space="preserve"> that this adverse event should be listed in the PI. Regardless of case </w:t>
      </w:r>
      <w:r w:rsidR="002E1875" w:rsidRPr="00CC7D8B">
        <w:t>[subject identification redacted]</w:t>
      </w:r>
      <w:r w:rsidRPr="00CC7D8B">
        <w:t xml:space="preserve"> there would be very little reason not to alert patients, parents</w:t>
      </w:r>
      <w:r w:rsidR="002E1875" w:rsidRPr="00CC7D8B">
        <w:t>,</w:t>
      </w:r>
      <w:r w:rsidRPr="00CC7D8B">
        <w:t xml:space="preserve"> and clinicians that this is a recognised possibility with the use of vaccine in young children.</w:t>
      </w:r>
    </w:p>
    <w:p w14:paraId="26FE17CE" w14:textId="77777777" w:rsidR="0074163C" w:rsidRPr="00CC7D8B" w:rsidRDefault="0074163C" w:rsidP="0074163C">
      <w:pPr>
        <w:pStyle w:val="Heading4"/>
      </w:pPr>
      <w:bookmarkStart w:id="57" w:name="_Toc98931933"/>
      <w:r w:rsidRPr="00CC7D8B">
        <w:t>Proposed action</w:t>
      </w:r>
      <w:bookmarkEnd w:id="57"/>
    </w:p>
    <w:p w14:paraId="3FA75FD3" w14:textId="59327342" w:rsidR="00E541C4" w:rsidRPr="00CC7D8B" w:rsidRDefault="00E541C4" w:rsidP="003F277B">
      <w:r w:rsidRPr="00CC7D8B">
        <w:t xml:space="preserve">The Delegate is currently minded </w:t>
      </w:r>
      <w:proofErr w:type="gramStart"/>
      <w:r w:rsidRPr="00CC7D8B">
        <w:t>to approve</w:t>
      </w:r>
      <w:proofErr w:type="gramEnd"/>
      <w:r w:rsidRPr="00CC7D8B">
        <w:t xml:space="preserve"> the extension of </w:t>
      </w:r>
      <w:r w:rsidR="002E1875" w:rsidRPr="00CC7D8B">
        <w:t>i</w:t>
      </w:r>
      <w:r w:rsidRPr="00CC7D8B">
        <w:t xml:space="preserve">ndications of Spikevax to include children </w:t>
      </w:r>
      <w:r w:rsidR="00EE53F2">
        <w:t>from</w:t>
      </w:r>
      <w:r w:rsidR="00D25559" w:rsidRPr="00CC7D8B">
        <w:t> </w:t>
      </w:r>
      <w:r w:rsidRPr="00CC7D8B">
        <w:t>6</w:t>
      </w:r>
      <w:r w:rsidR="00D25559" w:rsidRPr="00CC7D8B">
        <w:t> </w:t>
      </w:r>
      <w:r w:rsidRPr="00CC7D8B">
        <w:t xml:space="preserve">months to </w:t>
      </w:r>
      <w:r w:rsidR="00EE53F2">
        <w:t>less than</w:t>
      </w:r>
      <w:r w:rsidR="00D25559" w:rsidRPr="00CC7D8B">
        <w:t xml:space="preserve"> </w:t>
      </w:r>
      <w:r w:rsidRPr="00CC7D8B">
        <w:t xml:space="preserve">6 years of age, having the effect that Spikevax will be indicated for </w:t>
      </w:r>
      <w:r w:rsidR="00EE53F2">
        <w:t>children aged</w:t>
      </w:r>
      <w:r w:rsidRPr="00CC7D8B">
        <w:t xml:space="preserve"> 6 months </w:t>
      </w:r>
      <w:r w:rsidR="00EE53F2">
        <w:t>and older</w:t>
      </w:r>
      <w:r w:rsidRPr="00CC7D8B">
        <w:t>.</w:t>
      </w:r>
    </w:p>
    <w:p w14:paraId="1313F25A" w14:textId="03774376" w:rsidR="00E541C4" w:rsidRPr="00CC7D8B" w:rsidRDefault="00E541C4" w:rsidP="003F277B">
      <w:r w:rsidRPr="00CC7D8B">
        <w:t xml:space="preserve">The Delegate notes that this </w:t>
      </w:r>
      <w:r w:rsidR="002E1875" w:rsidRPr="00CC7D8B">
        <w:t xml:space="preserve">extension of indication </w:t>
      </w:r>
      <w:r w:rsidRPr="00CC7D8B">
        <w:t xml:space="preserve">will only be approved concurrently with </w:t>
      </w:r>
      <w:r w:rsidR="002E1875" w:rsidRPr="00CC7D8B">
        <w:t>Submission</w:t>
      </w:r>
      <w:r w:rsidRPr="00CC7D8B">
        <w:t xml:space="preserve"> PM-2022-01792-1-2 </w:t>
      </w:r>
      <w:r w:rsidR="00126FF9">
        <w:t xml:space="preserve">[also covered by this AusPAR] </w:t>
      </w:r>
      <w:r w:rsidRPr="00CC7D8B">
        <w:t xml:space="preserve">which relates to the dose presentation that will give effect to the proposed new </w:t>
      </w:r>
      <w:r w:rsidR="002E1875" w:rsidRPr="00CC7D8B">
        <w:t>i</w:t>
      </w:r>
      <w:r w:rsidRPr="00CC7D8B">
        <w:t>ndication.</w:t>
      </w:r>
    </w:p>
    <w:p w14:paraId="7F453238" w14:textId="05FDA30B" w:rsidR="00E541C4" w:rsidRPr="00CC7D8B" w:rsidRDefault="00E541C4" w:rsidP="003F277B">
      <w:r w:rsidRPr="00CC7D8B">
        <w:t xml:space="preserve">The Delegate will amend the PI from that provided by the </w:t>
      </w:r>
      <w:r w:rsidR="00C14F80" w:rsidRPr="00CC7D8B">
        <w:t>sponsor</w:t>
      </w:r>
      <w:r w:rsidRPr="00CC7D8B">
        <w:t xml:space="preserve"> in its submission subject to the advice of the ACV and including:</w:t>
      </w:r>
    </w:p>
    <w:p w14:paraId="1CA49225" w14:textId="044B75C3" w:rsidR="00E541C4" w:rsidRPr="00CC7D8B" w:rsidRDefault="00AA25FD" w:rsidP="003F277B">
      <w:pPr>
        <w:pStyle w:val="ListBullet"/>
      </w:pPr>
      <w:r w:rsidRPr="00CC7D8B">
        <w:t>a</w:t>
      </w:r>
      <w:r w:rsidR="00E541C4" w:rsidRPr="00CC7D8B">
        <w:t xml:space="preserve">mendments as proposed </w:t>
      </w:r>
      <w:r w:rsidR="00126FF9">
        <w:t>in</w:t>
      </w:r>
      <w:r w:rsidR="00E541C4" w:rsidRPr="00CC7D8B">
        <w:t xml:space="preserve"> the </w:t>
      </w:r>
      <w:r w:rsidR="00C14F80" w:rsidRPr="00CC7D8B">
        <w:t xml:space="preserve">clinical </w:t>
      </w:r>
      <w:proofErr w:type="gramStart"/>
      <w:r w:rsidR="00C14F80" w:rsidRPr="00CC7D8B">
        <w:t>evalua</w:t>
      </w:r>
      <w:r w:rsidR="00126FF9">
        <w:t>tion</w:t>
      </w:r>
      <w:r w:rsidRPr="00CC7D8B">
        <w:t>;</w:t>
      </w:r>
      <w:proofErr w:type="gramEnd"/>
    </w:p>
    <w:p w14:paraId="70875C65" w14:textId="3E8E34F7" w:rsidR="00E541C4" w:rsidRPr="00CC7D8B" w:rsidRDefault="00AA25FD" w:rsidP="003F277B">
      <w:pPr>
        <w:pStyle w:val="ListBullet"/>
      </w:pPr>
      <w:r w:rsidRPr="00CC7D8B">
        <w:t>t</w:t>
      </w:r>
      <w:r w:rsidR="00E541C4" w:rsidRPr="00CC7D8B">
        <w:t xml:space="preserve">he </w:t>
      </w:r>
      <w:r w:rsidRPr="00CC7D8B">
        <w:t xml:space="preserve">clinical trials </w:t>
      </w:r>
      <w:r w:rsidR="00E541C4" w:rsidRPr="00CC7D8B">
        <w:t xml:space="preserve">description of </w:t>
      </w:r>
      <w:r w:rsidR="00C14F80" w:rsidRPr="00CC7D8B">
        <w:t>Study P204</w:t>
      </w:r>
      <w:r w:rsidR="00E541C4" w:rsidRPr="00CC7D8B">
        <w:t xml:space="preserve"> will state as a separate sentence that </w:t>
      </w:r>
      <w:r w:rsidR="00D25559" w:rsidRPr="00CC7D8B">
        <w:t>‘</w:t>
      </w:r>
      <w:r w:rsidR="00E541C4" w:rsidRPr="00CC7D8B">
        <w:rPr>
          <w:i/>
          <w:iCs/>
        </w:rPr>
        <w:t xml:space="preserve">No clinical data for efficacy against the Omicron </w:t>
      </w:r>
      <w:r w:rsidR="00D25559" w:rsidRPr="00CC7D8B">
        <w:rPr>
          <w:i/>
          <w:iCs/>
        </w:rPr>
        <w:t>variant</w:t>
      </w:r>
      <w:r w:rsidR="00E541C4" w:rsidRPr="00CC7D8B">
        <w:rPr>
          <w:i/>
          <w:iCs/>
        </w:rPr>
        <w:t xml:space="preserve"> has been assessed</w:t>
      </w:r>
      <w:proofErr w:type="gramStart"/>
      <w:r w:rsidR="00D25559" w:rsidRPr="00CC7D8B">
        <w:t>’</w:t>
      </w:r>
      <w:r w:rsidRPr="00CC7D8B">
        <w:t>;</w:t>
      </w:r>
      <w:proofErr w:type="gramEnd"/>
    </w:p>
    <w:p w14:paraId="13F08F6C" w14:textId="165B1054" w:rsidR="00E541C4" w:rsidRPr="00CC7D8B" w:rsidRDefault="00AA25FD" w:rsidP="003F277B">
      <w:pPr>
        <w:pStyle w:val="ListBullet"/>
      </w:pPr>
      <w:r w:rsidRPr="00CC7D8B">
        <w:t>t</w:t>
      </w:r>
      <w:r w:rsidR="00E541C4" w:rsidRPr="00CC7D8B">
        <w:t xml:space="preserve">he tabulated summary of </w:t>
      </w:r>
      <w:r w:rsidR="00FD5408" w:rsidRPr="00CC7D8B">
        <w:t>VE</w:t>
      </w:r>
      <w:r w:rsidR="00E541C4" w:rsidRPr="00CC7D8B">
        <w:t xml:space="preserve"> will only include the data relevant to the </w:t>
      </w:r>
      <w:r w:rsidR="00C14F80" w:rsidRPr="00CC7D8B">
        <w:t>Study P301</w:t>
      </w:r>
      <w:r w:rsidR="00E541C4" w:rsidRPr="00CC7D8B">
        <w:t xml:space="preserve"> case definition.</w:t>
      </w:r>
    </w:p>
    <w:p w14:paraId="472D7CDA" w14:textId="77777777" w:rsidR="0074163C" w:rsidRPr="00CC7D8B" w:rsidRDefault="0074163C" w:rsidP="0074163C">
      <w:pPr>
        <w:pStyle w:val="Heading4"/>
      </w:pPr>
      <w:bookmarkStart w:id="58" w:name="_Toc98931936"/>
      <w:bookmarkStart w:id="59" w:name="_Toc247691532"/>
      <w:bookmarkStart w:id="60" w:name="_Toc314842516"/>
      <w:bookmarkEnd w:id="35"/>
      <w:bookmarkEnd w:id="51"/>
      <w:bookmarkEnd w:id="52"/>
      <w:r w:rsidRPr="00CC7D8B">
        <w:lastRenderedPageBreak/>
        <w:t>Advisory Committee considerations</w:t>
      </w:r>
      <w:bookmarkEnd w:id="58"/>
    </w:p>
    <w:p w14:paraId="371B862C" w14:textId="696178CD" w:rsidR="0074163C" w:rsidRPr="00CC7D8B" w:rsidRDefault="0074163C" w:rsidP="0074163C">
      <w:pPr>
        <w:rPr>
          <w:bCs/>
        </w:rPr>
      </w:pPr>
      <w:r w:rsidRPr="00CC7D8B">
        <w:rPr>
          <w:bCs/>
        </w:rPr>
        <w:t xml:space="preserve">The </w:t>
      </w:r>
      <w:hyperlink r:id="rId30" w:history="1">
        <w:r w:rsidRPr="00CC7D8B">
          <w:rPr>
            <w:rStyle w:val="Hyperlink"/>
            <w:szCs w:val="21"/>
          </w:rPr>
          <w:t>Advisory Committee on Vaccines (ACV)</w:t>
        </w:r>
      </w:hyperlink>
      <w:r w:rsidRPr="00CC7D8B">
        <w:rPr>
          <w:szCs w:val="21"/>
        </w:rPr>
        <w:t>,</w:t>
      </w:r>
      <w:r w:rsidRPr="00CC7D8B">
        <w:rPr>
          <w:bCs/>
        </w:rPr>
        <w:t xml:space="preserve"> having considered the evaluations and the Delegate’s overview, as well as the sponsor’s response to these documents, advised the following.</w:t>
      </w:r>
    </w:p>
    <w:p w14:paraId="35F70AB2" w14:textId="758C7216" w:rsidR="0074163C" w:rsidRPr="00CC7D8B" w:rsidRDefault="0074163C" w:rsidP="0074163C">
      <w:pPr>
        <w:pStyle w:val="Heading5"/>
      </w:pPr>
      <w:r w:rsidRPr="00CC7D8B">
        <w:t>Specific advice to the Delegate</w:t>
      </w:r>
    </w:p>
    <w:p w14:paraId="6601FF1C" w14:textId="1CAA3497" w:rsidR="00E541C4" w:rsidRPr="00CC7D8B" w:rsidRDefault="00E541C4" w:rsidP="00E541C4">
      <w:pPr>
        <w:pStyle w:val="Numberbullet0"/>
        <w:rPr>
          <w:b/>
          <w:bCs/>
          <w:i/>
          <w:iCs/>
        </w:rPr>
      </w:pPr>
      <w:r w:rsidRPr="00CC7D8B">
        <w:rPr>
          <w:b/>
          <w:bCs/>
          <w:i/>
          <w:iCs/>
        </w:rPr>
        <w:t xml:space="preserve">Whether the quality, </w:t>
      </w:r>
      <w:proofErr w:type="gramStart"/>
      <w:r w:rsidRPr="00CC7D8B">
        <w:rPr>
          <w:b/>
          <w:bCs/>
          <w:i/>
          <w:iCs/>
        </w:rPr>
        <w:t>safety</w:t>
      </w:r>
      <w:proofErr w:type="gramEnd"/>
      <w:r w:rsidRPr="00CC7D8B">
        <w:rPr>
          <w:b/>
          <w:bCs/>
          <w:i/>
          <w:iCs/>
        </w:rPr>
        <w:t xml:space="preserve"> and efficacy of Spikevax 0.1 mg/mL is sufficient to warrant provisional re</w:t>
      </w:r>
      <w:r w:rsidR="00126FF9">
        <w:rPr>
          <w:b/>
          <w:bCs/>
          <w:i/>
          <w:iCs/>
        </w:rPr>
        <w:t>gistration for use in children aged</w:t>
      </w:r>
      <w:r w:rsidR="00990FFE" w:rsidRPr="00CC7D8B">
        <w:rPr>
          <w:b/>
          <w:bCs/>
          <w:i/>
          <w:iCs/>
        </w:rPr>
        <w:t> </w:t>
      </w:r>
      <w:r w:rsidRPr="00CC7D8B">
        <w:rPr>
          <w:b/>
          <w:bCs/>
          <w:i/>
          <w:iCs/>
        </w:rPr>
        <w:t>6 months of age</w:t>
      </w:r>
      <w:r w:rsidR="00126FF9">
        <w:rPr>
          <w:b/>
          <w:bCs/>
          <w:i/>
          <w:iCs/>
        </w:rPr>
        <w:t xml:space="preserve"> and older</w:t>
      </w:r>
      <w:r w:rsidRPr="00CC7D8B">
        <w:rPr>
          <w:b/>
          <w:bCs/>
          <w:i/>
          <w:iCs/>
        </w:rPr>
        <w:t>.</w:t>
      </w:r>
    </w:p>
    <w:p w14:paraId="75A4D54C" w14:textId="7D232AFF" w:rsidR="00E541C4" w:rsidRPr="00CC7D8B" w:rsidRDefault="00E541C4" w:rsidP="00E541C4">
      <w:r w:rsidRPr="00CC7D8B">
        <w:t xml:space="preserve">The ACV advised that the quality, </w:t>
      </w:r>
      <w:proofErr w:type="gramStart"/>
      <w:r w:rsidRPr="00CC7D8B">
        <w:t>safety</w:t>
      </w:r>
      <w:proofErr w:type="gramEnd"/>
      <w:r w:rsidRPr="00CC7D8B">
        <w:t xml:space="preserve"> and efficacy is sufficient to warrant provisional registration of Spikevax 0.1 mg/mL for use in children </w:t>
      </w:r>
      <w:r w:rsidR="00126FF9">
        <w:t>from</w:t>
      </w:r>
      <w:r w:rsidRPr="00CC7D8B">
        <w:t xml:space="preserve"> 6 months of age</w:t>
      </w:r>
      <w:r w:rsidR="00126FF9">
        <w:t xml:space="preserve"> and older</w:t>
      </w:r>
      <w:r w:rsidRPr="00CC7D8B">
        <w:t>.</w:t>
      </w:r>
    </w:p>
    <w:p w14:paraId="4F97B5AD" w14:textId="59C9316F" w:rsidR="00E541C4" w:rsidRPr="00CC7D8B" w:rsidRDefault="00E541C4" w:rsidP="00E541C4">
      <w:r w:rsidRPr="00CC7D8B">
        <w:t>On balance</w:t>
      </w:r>
      <w:r w:rsidR="00126FF9">
        <w:t>,</w:t>
      </w:r>
      <w:r w:rsidRPr="00CC7D8B">
        <w:t xml:space="preserve"> the ACV was of the view that the Spikevax vaccine is an immunogenic vaccine with modest ef</w:t>
      </w:r>
      <w:r w:rsidR="00126FF9">
        <w:t xml:space="preserve">ficacy for the 6 </w:t>
      </w:r>
      <w:proofErr w:type="gramStart"/>
      <w:r w:rsidR="00126FF9">
        <w:t>month</w:t>
      </w:r>
      <w:proofErr w:type="gramEnd"/>
      <w:r w:rsidR="00126FF9">
        <w:t xml:space="preserve"> to less than 6 years </w:t>
      </w:r>
      <w:r w:rsidRPr="00CC7D8B">
        <w:t xml:space="preserve">age group. The ACV noted that </w:t>
      </w:r>
      <w:r w:rsidR="00FD5408" w:rsidRPr="00CC7D8B">
        <w:t>VE</w:t>
      </w:r>
      <w:r w:rsidRPr="00CC7D8B">
        <w:t xml:space="preserve"> was between 32% and 51% against Omicron </w:t>
      </w:r>
      <w:r w:rsidR="00EC3FBD" w:rsidRPr="00CC7D8B">
        <w:t xml:space="preserve">variant </w:t>
      </w:r>
      <w:r w:rsidRPr="00CC7D8B">
        <w:t>and the main benefit of vaccination is likely to be protection against severe COVID-19. In noting this the ACV highlighted that children at higher risk (</w:t>
      </w:r>
      <w:r w:rsidR="00C32995" w:rsidRPr="00CC7D8B">
        <w:t>that is,</w:t>
      </w:r>
      <w:r w:rsidRPr="00CC7D8B">
        <w:t xml:space="preserve"> immunosuppression) were excluded from the study.</w:t>
      </w:r>
    </w:p>
    <w:p w14:paraId="0A218B70" w14:textId="77777777" w:rsidR="00E541C4" w:rsidRPr="00CC7D8B" w:rsidRDefault="00E541C4" w:rsidP="00E541C4">
      <w:r w:rsidRPr="00CC7D8B">
        <w:t>The ACV advised that based on the data provided the safety profile appears reasonable. The ACV did however note that the study was not powered to detect rare events such as myocarditis and was supportive of robust post-marketing safety monitoring.</w:t>
      </w:r>
    </w:p>
    <w:p w14:paraId="43EEF625" w14:textId="5F134D05" w:rsidR="00E541C4" w:rsidRPr="00CC7D8B" w:rsidRDefault="00E541C4" w:rsidP="00E541C4">
      <w:r w:rsidRPr="00CC7D8B">
        <w:t xml:space="preserve">The ACV discussed the risk of fever and febrile convulsions noting that fever was seen following vaccination and one case of febrile convulsions likely attributable to the vaccine was identified. The ACV further noted the higher frequencies of fever, including </w:t>
      </w:r>
      <w:r w:rsidR="00036695" w:rsidRPr="00CC7D8B">
        <w:t>Grade</w:t>
      </w:r>
      <w:r w:rsidR="00EC3FBD" w:rsidRPr="00CC7D8B">
        <w:t> </w:t>
      </w:r>
      <w:r w:rsidRPr="00CC7D8B">
        <w:t xml:space="preserve">3 fever, among baseline seropositive participants compared to seronegative vaccine recipients. </w:t>
      </w:r>
      <w:proofErr w:type="gramStart"/>
      <w:r w:rsidRPr="00CC7D8B">
        <w:t>Giving consideration to</w:t>
      </w:r>
      <w:proofErr w:type="gramEnd"/>
      <w:r w:rsidRPr="00CC7D8B">
        <w:t xml:space="preserve"> the current Australian context, where potentially 40% of children are seropositive, the ACV strongly advised that the risk of fever giving rise to febrile convulsions should be included within the PI and that surveillance strategies are put in place.</w:t>
      </w:r>
    </w:p>
    <w:p w14:paraId="4165B498" w14:textId="77777777" w:rsidR="00E541C4" w:rsidRPr="00CC7D8B" w:rsidRDefault="00E541C4" w:rsidP="00E541C4">
      <w:r w:rsidRPr="00CC7D8B">
        <w:t>The ACV also noted the Study P204 exclusion criteria of administration of other early childhood vaccines within 14 days. The ACV highlighted the potential for administration of a COVID-19 vaccine to disrupt the well-established early childhood vaccination schedules for other childhood diseases. In the absence of co-administration trials, studies monitoring potential interactions should be undertaken.</w:t>
      </w:r>
    </w:p>
    <w:p w14:paraId="75CE0C2C" w14:textId="77777777" w:rsidR="00E541C4" w:rsidRPr="00CC7D8B" w:rsidRDefault="00E541C4" w:rsidP="00E541C4">
      <w:r w:rsidRPr="00CC7D8B">
        <w:t>The ACV discussed dosing and administration and noted the potential for administration errors with the introduction of a new strength vaccine. The ACV noted the use of different colour caps to highlight different strengths and supported that product differentiation should be clearly outlined within the PI. The ACV also advised that the PI should clearly highlight the importance of education and training on drawing up the correct volume of vaccine and ensure a check for the correct dose prior to administration.</w:t>
      </w:r>
    </w:p>
    <w:p w14:paraId="7CB5F5D5" w14:textId="74F0B405" w:rsidR="00E541C4" w:rsidRPr="00CC7D8B" w:rsidRDefault="00E541C4" w:rsidP="00E541C4">
      <w:r w:rsidRPr="00CC7D8B">
        <w:t>On balance, the ACV was of the view that the benefit risk balance is positive, with the greatest benefit anticipated to be in children who are at high risk of developing severe disease (</w:t>
      </w:r>
      <w:r w:rsidR="00C32995" w:rsidRPr="00CC7D8B">
        <w:t>that is</w:t>
      </w:r>
      <w:r w:rsidRPr="00CC7D8B">
        <w:t>, children with severe immunocompromise or significant respiratory/cardiac disease). The ACV further advised that the use of this vaccine should be in line with official guidelines, such as developed by the Australian Technical Advisory Group on Immunisation (ATAGI).</w:t>
      </w:r>
    </w:p>
    <w:p w14:paraId="0B37AB61" w14:textId="77777777" w:rsidR="0074163C" w:rsidRPr="00CC7D8B" w:rsidRDefault="0074163C" w:rsidP="0074163C">
      <w:pPr>
        <w:pStyle w:val="Heading5"/>
      </w:pPr>
      <w:r w:rsidRPr="00CC7D8B">
        <w:t>Conclusion</w:t>
      </w:r>
    </w:p>
    <w:p w14:paraId="6B6F0D95" w14:textId="77777777" w:rsidR="00E541C4" w:rsidRPr="00CC7D8B" w:rsidRDefault="00E541C4" w:rsidP="00E541C4">
      <w:r w:rsidRPr="00CC7D8B">
        <w:t>The ACV recommended the extension of indication to the use of Spikevax (0.1 mg/mL) as a primary series for children from 6 months of age.</w:t>
      </w:r>
    </w:p>
    <w:p w14:paraId="1E6905C4" w14:textId="12C08918" w:rsidR="00E541C4" w:rsidRPr="00CC7D8B" w:rsidRDefault="00C32995" w:rsidP="00E541C4">
      <w:pPr>
        <w:ind w:left="720"/>
        <w:rPr>
          <w:i/>
          <w:iCs/>
        </w:rPr>
      </w:pPr>
      <w:r w:rsidRPr="00CC7D8B">
        <w:rPr>
          <w:i/>
          <w:iCs/>
        </w:rPr>
        <w:t>Spikevax</w:t>
      </w:r>
      <w:r w:rsidR="00E541C4" w:rsidRPr="00CC7D8B">
        <w:rPr>
          <w:i/>
          <w:iCs/>
        </w:rPr>
        <w:t xml:space="preserve"> (elasomeran) COVID-19 </w:t>
      </w:r>
      <w:r w:rsidR="00057C45" w:rsidRPr="00CC7D8B">
        <w:rPr>
          <w:i/>
          <w:iCs/>
        </w:rPr>
        <w:t>vaccine</w:t>
      </w:r>
      <w:r w:rsidR="00E541C4" w:rsidRPr="00CC7D8B">
        <w:rPr>
          <w:i/>
          <w:iCs/>
        </w:rPr>
        <w:t xml:space="preserve"> has provisional approval for the indication below:</w:t>
      </w:r>
    </w:p>
    <w:p w14:paraId="3E0EF4C3" w14:textId="77777777" w:rsidR="00E541C4" w:rsidRPr="00CC7D8B" w:rsidRDefault="00E541C4" w:rsidP="00E541C4">
      <w:pPr>
        <w:ind w:left="720"/>
        <w:rPr>
          <w:i/>
          <w:iCs/>
        </w:rPr>
      </w:pPr>
      <w:r w:rsidRPr="00CC7D8B">
        <w:rPr>
          <w:i/>
          <w:iCs/>
        </w:rPr>
        <w:lastRenderedPageBreak/>
        <w:t>Active immunisation to prevent coronavirus disease 2019 (COVID-19) caused by SARS-CoV-2 in individuals 6 months of age and older.</w:t>
      </w:r>
    </w:p>
    <w:p w14:paraId="5ED0BE65" w14:textId="77777777" w:rsidR="00E541C4" w:rsidRPr="00CC7D8B" w:rsidRDefault="00E541C4" w:rsidP="00E541C4">
      <w:pPr>
        <w:ind w:left="720"/>
        <w:rPr>
          <w:i/>
          <w:iCs/>
        </w:rPr>
      </w:pPr>
      <w:r w:rsidRPr="00CC7D8B">
        <w:rPr>
          <w:i/>
          <w:iCs/>
        </w:rPr>
        <w:t>The use of this vaccine should be in accordance with official recommendations.</w:t>
      </w:r>
    </w:p>
    <w:p w14:paraId="176343BD" w14:textId="29B01BD6" w:rsidR="00E541C4" w:rsidRPr="00CC7D8B" w:rsidRDefault="00E541C4" w:rsidP="00E541C4">
      <w:pPr>
        <w:ind w:left="720"/>
        <w:rPr>
          <w:i/>
          <w:iCs/>
        </w:rPr>
      </w:pPr>
      <w:r w:rsidRPr="00CC7D8B">
        <w:rPr>
          <w:i/>
          <w:iCs/>
        </w:rPr>
        <w:t xml:space="preserve">The decision has been made </w:t>
      </w:r>
      <w:proofErr w:type="gramStart"/>
      <w:r w:rsidRPr="00CC7D8B">
        <w:rPr>
          <w:i/>
          <w:iCs/>
        </w:rPr>
        <w:t>on the basis of</w:t>
      </w:r>
      <w:proofErr w:type="gramEnd"/>
      <w:r w:rsidRPr="00CC7D8B">
        <w:rPr>
          <w:i/>
          <w:iCs/>
        </w:rPr>
        <w:t xml:space="preserve"> short-term efficacy and safety data. Continued approval depends on the evidence of </w:t>
      </w:r>
      <w:proofErr w:type="gramStart"/>
      <w:r w:rsidRPr="00CC7D8B">
        <w:rPr>
          <w:i/>
          <w:iCs/>
        </w:rPr>
        <w:t>longer term</w:t>
      </w:r>
      <w:proofErr w:type="gramEnd"/>
      <w:r w:rsidRPr="00CC7D8B">
        <w:rPr>
          <w:i/>
          <w:iCs/>
        </w:rPr>
        <w:t xml:space="preserve"> efficacy and safety from ongoing clinical trials and post-market assessment.</w:t>
      </w:r>
    </w:p>
    <w:p w14:paraId="5296C83D" w14:textId="77777777" w:rsidR="008E7846" w:rsidRPr="00CC7D8B" w:rsidRDefault="008E7846" w:rsidP="00D212F3">
      <w:pPr>
        <w:pStyle w:val="Heading2"/>
      </w:pPr>
      <w:bookmarkStart w:id="61" w:name="_Toc109817298"/>
      <w:r w:rsidRPr="00CC7D8B">
        <w:t>Outcome</w:t>
      </w:r>
      <w:bookmarkEnd w:id="59"/>
      <w:bookmarkEnd w:id="60"/>
      <w:bookmarkEnd w:id="61"/>
    </w:p>
    <w:p w14:paraId="7D8CB428" w14:textId="6526E6D7" w:rsidR="0074163C" w:rsidRDefault="0074163C" w:rsidP="0074163C">
      <w:bookmarkStart w:id="62" w:name="_Toc247691533"/>
      <w:bookmarkStart w:id="63" w:name="_Toc314842517"/>
      <w:r w:rsidRPr="00CC7D8B">
        <w:t xml:space="preserve">Based on a review of quality, </w:t>
      </w:r>
      <w:r w:rsidR="00CC5044" w:rsidRPr="00CC7D8B">
        <w:t>safety,</w:t>
      </w:r>
      <w:r w:rsidRPr="00CC7D8B">
        <w:t xml:space="preserve"> and efficacy, the TGA approved the registration of </w:t>
      </w:r>
      <w:r w:rsidR="00404C84" w:rsidRPr="00CC7D8B">
        <w:t xml:space="preserve">Spikevax </w:t>
      </w:r>
      <w:r w:rsidRPr="00CC7D8B">
        <w:t>(</w:t>
      </w:r>
      <w:r w:rsidR="00404C84" w:rsidRPr="00CC7D8B">
        <w:t>elasomeran</w:t>
      </w:r>
      <w:r w:rsidRPr="00CC7D8B">
        <w:t xml:space="preserve">) </w:t>
      </w:r>
      <w:r w:rsidR="00126FF9">
        <w:t>0.1 mg/mL (suspension for injection</w:t>
      </w:r>
      <w:r w:rsidR="00E45526">
        <w:t>;</w:t>
      </w:r>
      <w:r w:rsidR="00126FF9">
        <w:t xml:space="preserve"> vial and pre-filled syringe) and 0.2</w:t>
      </w:r>
      <w:r w:rsidR="00C32995" w:rsidRPr="00CC7D8B">
        <w:t xml:space="preserve"> mg/mL</w:t>
      </w:r>
      <w:r w:rsidR="00126FF9">
        <w:t xml:space="preserve"> (</w:t>
      </w:r>
      <w:r w:rsidR="00C32995" w:rsidRPr="00CC7D8B">
        <w:t>suspension for injection</w:t>
      </w:r>
      <w:r w:rsidRPr="00CC7D8B">
        <w:t xml:space="preserve">, </w:t>
      </w:r>
      <w:r w:rsidR="00126FF9">
        <w:t xml:space="preserve">vial) </w:t>
      </w:r>
      <w:r w:rsidRPr="00CC7D8B">
        <w:t>for the following extension of indications:</w:t>
      </w:r>
    </w:p>
    <w:p w14:paraId="6270F4F6" w14:textId="77777777" w:rsidR="00507D4B" w:rsidRPr="009326F0" w:rsidRDefault="00507D4B" w:rsidP="00672162">
      <w:pPr>
        <w:ind w:left="720"/>
        <w:rPr>
          <w:i/>
          <w:iCs/>
        </w:rPr>
      </w:pPr>
      <w:r w:rsidRPr="009326F0">
        <w:rPr>
          <w:i/>
          <w:iCs/>
        </w:rPr>
        <w:t>Spikevax (elasomeran) COVID-19 vaccine has provisional approval for the indication below:</w:t>
      </w:r>
    </w:p>
    <w:p w14:paraId="22725C1C" w14:textId="5E3A3F37" w:rsidR="00507D4B" w:rsidRPr="009326F0" w:rsidRDefault="00507D4B" w:rsidP="00672162">
      <w:pPr>
        <w:ind w:left="720"/>
        <w:rPr>
          <w:i/>
          <w:iCs/>
        </w:rPr>
      </w:pPr>
      <w:r w:rsidRPr="009326F0">
        <w:rPr>
          <w:i/>
          <w:iCs/>
        </w:rPr>
        <w:t>Active immunisation to prevent coronavirus disease 2019 (COVID-19) caused by SARS-CoV-2 in individuals 6 months of age and older.</w:t>
      </w:r>
    </w:p>
    <w:p w14:paraId="18445060" w14:textId="7B97FE56" w:rsidR="00507D4B" w:rsidRPr="009326F0" w:rsidRDefault="00507D4B" w:rsidP="00672162">
      <w:pPr>
        <w:ind w:left="720"/>
        <w:rPr>
          <w:i/>
          <w:iCs/>
        </w:rPr>
      </w:pPr>
      <w:r w:rsidRPr="009326F0">
        <w:rPr>
          <w:i/>
          <w:iCs/>
        </w:rPr>
        <w:t>The use of this vaccine should be in accordance with official recommendations.</w:t>
      </w:r>
    </w:p>
    <w:p w14:paraId="5AC0308E" w14:textId="0FCC412E" w:rsidR="00507D4B" w:rsidRPr="00CC7D8B" w:rsidRDefault="00507D4B" w:rsidP="00672162">
      <w:pPr>
        <w:ind w:left="720"/>
      </w:pPr>
      <w:r w:rsidRPr="009326F0">
        <w:rPr>
          <w:i/>
          <w:iCs/>
        </w:rPr>
        <w:t xml:space="preserve">The decision has been made </w:t>
      </w:r>
      <w:proofErr w:type="gramStart"/>
      <w:r w:rsidRPr="009326F0">
        <w:rPr>
          <w:i/>
          <w:iCs/>
        </w:rPr>
        <w:t>on the basis of</w:t>
      </w:r>
      <w:proofErr w:type="gramEnd"/>
      <w:r w:rsidRPr="009326F0">
        <w:rPr>
          <w:i/>
          <w:iCs/>
        </w:rPr>
        <w:t xml:space="preserve"> short-term efficacy and safety data. Continued approval depends on the evidence of </w:t>
      </w:r>
      <w:proofErr w:type="gramStart"/>
      <w:r w:rsidRPr="009326F0">
        <w:rPr>
          <w:i/>
          <w:iCs/>
        </w:rPr>
        <w:t>longer term</w:t>
      </w:r>
      <w:proofErr w:type="gramEnd"/>
      <w:r w:rsidRPr="009326F0">
        <w:rPr>
          <w:i/>
          <w:iCs/>
        </w:rPr>
        <w:t xml:space="preserve"> efficacy and safety from ongoing clinical trials and post-market assessment.</w:t>
      </w:r>
    </w:p>
    <w:p w14:paraId="5864D2AD" w14:textId="66A304B3" w:rsidR="0074163C" w:rsidRPr="00CC7D8B" w:rsidRDefault="0074163C" w:rsidP="0074163C">
      <w:r w:rsidRPr="00CC7D8B">
        <w:t xml:space="preserve">The above extension of indications </w:t>
      </w:r>
      <w:proofErr w:type="gramStart"/>
      <w:r w:rsidRPr="00CC7D8B">
        <w:t>are</w:t>
      </w:r>
      <w:proofErr w:type="gramEnd"/>
      <w:r w:rsidRPr="00CC7D8B">
        <w:t xml:space="preserve"> inclusive of the previous approved indications.</w:t>
      </w:r>
    </w:p>
    <w:p w14:paraId="16F83F97" w14:textId="624F3B8A" w:rsidR="00F056E4" w:rsidRDefault="001F43C2" w:rsidP="0074163C">
      <w:r>
        <w:t>F</w:t>
      </w:r>
      <w:r w:rsidR="00280768">
        <w:t>or the following</w:t>
      </w:r>
      <w:r>
        <w:t xml:space="preserve"> </w:t>
      </w:r>
      <w:r w:rsidR="00F056E4" w:rsidRPr="00CC7D8B">
        <w:t>change in dose regimen</w:t>
      </w:r>
      <w:r>
        <w:t xml:space="preserve"> (summary)</w:t>
      </w:r>
      <w:r w:rsidR="00F056E4" w:rsidRPr="00CC7D8B">
        <w:t>:</w:t>
      </w:r>
    </w:p>
    <w:p w14:paraId="6F32F080" w14:textId="77777777" w:rsidR="009C7631" w:rsidRDefault="009C7631" w:rsidP="009C7631">
      <w:pPr>
        <w:ind w:left="720"/>
      </w:pPr>
      <w:r w:rsidRPr="00E572BE">
        <w:t>Dosage is based on multiple factors, including the vaccination type (primary series, booster dose and immunocompromised individuals), and the age group of the patient.</w:t>
      </w:r>
    </w:p>
    <w:p w14:paraId="104160F4" w14:textId="77777777" w:rsidR="009C7631" w:rsidRDefault="009C7631" w:rsidP="009C7631">
      <w:pPr>
        <w:ind w:left="720"/>
      </w:pPr>
      <w:r w:rsidRPr="00755BB5">
        <w:rPr>
          <w:b/>
          <w:bCs/>
        </w:rPr>
        <w:t>Primary series</w:t>
      </w:r>
    </w:p>
    <w:p w14:paraId="37312D42" w14:textId="77777777" w:rsidR="009C7631" w:rsidRPr="00755BB5" w:rsidRDefault="009C7631" w:rsidP="009C7631">
      <w:pPr>
        <w:ind w:left="720"/>
        <w:rPr>
          <w:b/>
          <w:bCs/>
        </w:rPr>
      </w:pPr>
      <w:r w:rsidRPr="009A2011">
        <w:t>It is recommended to administer the second dose 28</w:t>
      </w:r>
      <w:r>
        <w:t> </w:t>
      </w:r>
      <w:r w:rsidRPr="009A2011">
        <w:t>days after the first dose.</w:t>
      </w:r>
    </w:p>
    <w:p w14:paraId="74A214CA" w14:textId="77777777" w:rsidR="009C7631" w:rsidRDefault="009C7631" w:rsidP="009C7631">
      <w:pPr>
        <w:ind w:left="720"/>
        <w:rPr>
          <w:i/>
          <w:iCs/>
        </w:rPr>
      </w:pPr>
      <w:r w:rsidRPr="009326F0">
        <w:rPr>
          <w:i/>
          <w:iCs/>
        </w:rPr>
        <w:t>Individual</w:t>
      </w:r>
      <w:r>
        <w:rPr>
          <w:i/>
          <w:iCs/>
        </w:rPr>
        <w:t>s</w:t>
      </w:r>
      <w:r w:rsidRPr="009326F0">
        <w:rPr>
          <w:i/>
          <w:iCs/>
        </w:rPr>
        <w:t xml:space="preserve"> 6 months to </w:t>
      </w:r>
      <w:r>
        <w:rPr>
          <w:i/>
          <w:iCs/>
        </w:rPr>
        <w:t>less than</w:t>
      </w:r>
      <w:r w:rsidRPr="009326F0">
        <w:rPr>
          <w:i/>
          <w:iCs/>
        </w:rPr>
        <w:t xml:space="preserve"> 6 years of age</w:t>
      </w:r>
    </w:p>
    <w:p w14:paraId="09048518" w14:textId="77777777" w:rsidR="009C7631" w:rsidRDefault="009C7631" w:rsidP="009C7631">
      <w:pPr>
        <w:ind w:left="720"/>
      </w:pPr>
      <w:r>
        <w:t>Spikevax is administered as a course of 2 doses of Spikevax 0.1 mg/mL solution via intramuscular injection.</w:t>
      </w:r>
    </w:p>
    <w:p w14:paraId="0D729900" w14:textId="77777777" w:rsidR="009C7631" w:rsidRDefault="009C7631" w:rsidP="009C7631">
      <w:pPr>
        <w:ind w:left="720"/>
      </w:pPr>
      <w:r>
        <w:t>Each 0.25 mL dose of Spikevax 0.1 mg/mL contains 25 µg elasomeran.</w:t>
      </w:r>
    </w:p>
    <w:p w14:paraId="00646015" w14:textId="77777777" w:rsidR="009C7631" w:rsidRDefault="009C7631" w:rsidP="009C7631">
      <w:pPr>
        <w:ind w:left="720"/>
        <w:rPr>
          <w:i/>
          <w:iCs/>
        </w:rPr>
      </w:pPr>
      <w:r w:rsidRPr="009326F0">
        <w:rPr>
          <w:i/>
          <w:iCs/>
        </w:rPr>
        <w:t>Individual</w:t>
      </w:r>
      <w:r>
        <w:rPr>
          <w:i/>
          <w:iCs/>
        </w:rPr>
        <w:t>s</w:t>
      </w:r>
      <w:r w:rsidRPr="009326F0">
        <w:rPr>
          <w:i/>
          <w:iCs/>
        </w:rPr>
        <w:t xml:space="preserve"> 6 </w:t>
      </w:r>
      <w:r>
        <w:rPr>
          <w:i/>
          <w:iCs/>
        </w:rPr>
        <w:t>years</w:t>
      </w:r>
      <w:r w:rsidRPr="009326F0">
        <w:rPr>
          <w:i/>
          <w:iCs/>
        </w:rPr>
        <w:t xml:space="preserve"> to </w:t>
      </w:r>
      <w:r>
        <w:rPr>
          <w:i/>
          <w:iCs/>
        </w:rPr>
        <w:t>less than</w:t>
      </w:r>
      <w:r w:rsidRPr="009326F0">
        <w:rPr>
          <w:i/>
          <w:iCs/>
        </w:rPr>
        <w:t xml:space="preserve"> </w:t>
      </w:r>
      <w:r>
        <w:rPr>
          <w:i/>
          <w:iCs/>
        </w:rPr>
        <w:t>12</w:t>
      </w:r>
      <w:r w:rsidRPr="009326F0">
        <w:rPr>
          <w:i/>
          <w:iCs/>
        </w:rPr>
        <w:t xml:space="preserve"> years of age</w:t>
      </w:r>
    </w:p>
    <w:p w14:paraId="25C6B942" w14:textId="77777777" w:rsidR="009C7631" w:rsidRDefault="009C7631" w:rsidP="009C7631">
      <w:pPr>
        <w:ind w:left="720"/>
      </w:pPr>
      <w:r>
        <w:t>Spikevax is administered as a course of 2 doses of either Spikevax 0.1 mg/</w:t>
      </w:r>
      <w:proofErr w:type="gramStart"/>
      <w:r>
        <w:t>mL;</w:t>
      </w:r>
      <w:proofErr w:type="gramEnd"/>
      <w:r>
        <w:t xml:space="preserve"> or Spikevax 0.2 mg/mL solution via intramuscular injection.</w:t>
      </w:r>
    </w:p>
    <w:p w14:paraId="53BDD239" w14:textId="77777777" w:rsidR="009C7631" w:rsidRDefault="009C7631" w:rsidP="009C7631">
      <w:pPr>
        <w:ind w:left="720"/>
      </w:pPr>
      <w:r>
        <w:t>Each 0.5 mL dose of Spikevax 0.1 mg/mL contains 50 µg elasomeran.</w:t>
      </w:r>
    </w:p>
    <w:p w14:paraId="3436B43E" w14:textId="77777777" w:rsidR="009C7631" w:rsidRDefault="009C7631" w:rsidP="009C7631">
      <w:pPr>
        <w:ind w:left="720"/>
      </w:pPr>
      <w:r>
        <w:t>Each 0.25 mL dose of Spikevax 0.2 mg/mL contains 50 µg elasomeran</w:t>
      </w:r>
    </w:p>
    <w:p w14:paraId="31AD78B4" w14:textId="77777777" w:rsidR="009C7631" w:rsidRDefault="009C7631" w:rsidP="009C7631">
      <w:pPr>
        <w:ind w:left="720"/>
        <w:rPr>
          <w:i/>
          <w:iCs/>
        </w:rPr>
      </w:pPr>
      <w:r w:rsidRPr="00755BB5">
        <w:rPr>
          <w:i/>
          <w:iCs/>
        </w:rPr>
        <w:t>Individuals 12 years of age</w:t>
      </w:r>
      <w:r>
        <w:rPr>
          <w:i/>
          <w:iCs/>
        </w:rPr>
        <w:t xml:space="preserve"> and older</w:t>
      </w:r>
    </w:p>
    <w:p w14:paraId="66FC647C" w14:textId="77777777" w:rsidR="009C7631" w:rsidRDefault="009C7631" w:rsidP="009C7631">
      <w:pPr>
        <w:ind w:left="720"/>
      </w:pPr>
      <w:r>
        <w:t>Spikevax is administered as a course of 2 doses of Spikevax 0.2 mg/mL solution via intramuscular injection.</w:t>
      </w:r>
    </w:p>
    <w:p w14:paraId="7BA7D3BE" w14:textId="77777777" w:rsidR="009C7631" w:rsidRDefault="009C7631" w:rsidP="009C7631">
      <w:pPr>
        <w:ind w:left="720"/>
      </w:pPr>
      <w:r>
        <w:t>Each 0.5 mL dose of Spikevax 0.2 mg/mL contains 100 µg elasomeran.</w:t>
      </w:r>
    </w:p>
    <w:p w14:paraId="70731309" w14:textId="77777777" w:rsidR="009C7631" w:rsidRDefault="009C7631" w:rsidP="009C7631">
      <w:pPr>
        <w:ind w:left="720"/>
        <w:rPr>
          <w:b/>
          <w:bCs/>
        </w:rPr>
      </w:pPr>
      <w:r w:rsidRPr="009326F0">
        <w:rPr>
          <w:b/>
          <w:bCs/>
        </w:rPr>
        <w:t>Immunocompromised individuals</w:t>
      </w:r>
    </w:p>
    <w:p w14:paraId="09AE3995" w14:textId="77777777" w:rsidR="009C7631" w:rsidRDefault="009C7631" w:rsidP="009C7631">
      <w:pPr>
        <w:ind w:left="720"/>
        <w:rPr>
          <w:i/>
          <w:iCs/>
        </w:rPr>
      </w:pPr>
      <w:r w:rsidRPr="009326F0">
        <w:rPr>
          <w:i/>
          <w:iCs/>
        </w:rPr>
        <w:t>Individual</w:t>
      </w:r>
      <w:r>
        <w:rPr>
          <w:i/>
          <w:iCs/>
        </w:rPr>
        <w:t>s</w:t>
      </w:r>
      <w:r w:rsidRPr="009326F0">
        <w:rPr>
          <w:i/>
          <w:iCs/>
        </w:rPr>
        <w:t xml:space="preserve"> 6 months to </w:t>
      </w:r>
      <w:r>
        <w:rPr>
          <w:i/>
          <w:iCs/>
        </w:rPr>
        <w:t>less than</w:t>
      </w:r>
      <w:r w:rsidRPr="009326F0">
        <w:rPr>
          <w:i/>
          <w:iCs/>
        </w:rPr>
        <w:t xml:space="preserve"> 6 years of age</w:t>
      </w:r>
    </w:p>
    <w:p w14:paraId="7BE3BF99" w14:textId="77777777" w:rsidR="009C7631" w:rsidRDefault="009C7631" w:rsidP="009C7631">
      <w:pPr>
        <w:ind w:left="720"/>
      </w:pPr>
      <w:r>
        <w:lastRenderedPageBreak/>
        <w:t>A third dose of Spikevax 0.1 mg/mL solution for intramuscular injection may be given at least 28 days after the second dose of the primary series of vaccination.</w:t>
      </w:r>
    </w:p>
    <w:p w14:paraId="6B3A52CE" w14:textId="77777777" w:rsidR="009C7631" w:rsidRDefault="009C7631" w:rsidP="009C7631">
      <w:pPr>
        <w:ind w:left="720"/>
      </w:pPr>
      <w:r>
        <w:t>Each 0.25 mL dose of Spikevax 0.1 mg/mL contains 25 µg elasomeran.</w:t>
      </w:r>
    </w:p>
    <w:p w14:paraId="37879D5A" w14:textId="77777777" w:rsidR="009C7631" w:rsidRDefault="009C7631" w:rsidP="009C7631">
      <w:pPr>
        <w:ind w:left="720"/>
        <w:rPr>
          <w:i/>
          <w:iCs/>
        </w:rPr>
      </w:pPr>
      <w:r w:rsidRPr="009326F0">
        <w:rPr>
          <w:i/>
          <w:iCs/>
        </w:rPr>
        <w:t>Individuals 12 years of age</w:t>
      </w:r>
      <w:r>
        <w:rPr>
          <w:i/>
          <w:iCs/>
        </w:rPr>
        <w:t xml:space="preserve"> and older</w:t>
      </w:r>
    </w:p>
    <w:p w14:paraId="68AC4A8D" w14:textId="77777777" w:rsidR="009C7631" w:rsidRDefault="009C7631" w:rsidP="009C7631">
      <w:pPr>
        <w:ind w:left="720"/>
      </w:pPr>
      <w:r>
        <w:t>A third dose of Spikevax 0.2 mg/mL solution for intramuscular injection may be given at least 28 days after the second dose of the primary series of vaccination.</w:t>
      </w:r>
    </w:p>
    <w:p w14:paraId="34B500A7" w14:textId="77777777" w:rsidR="009C7631" w:rsidRDefault="009C7631" w:rsidP="009C7631">
      <w:pPr>
        <w:ind w:left="720"/>
      </w:pPr>
      <w:r>
        <w:t>Each 0.5 mL dose of Spikevax 0.2 mg/mL contains 100 µg elasomeran.</w:t>
      </w:r>
    </w:p>
    <w:p w14:paraId="1EE6E30F" w14:textId="77777777" w:rsidR="009C7631" w:rsidRDefault="009C7631" w:rsidP="009C7631">
      <w:pPr>
        <w:ind w:left="720"/>
        <w:rPr>
          <w:b/>
          <w:bCs/>
        </w:rPr>
      </w:pPr>
      <w:r w:rsidRPr="00755BB5">
        <w:rPr>
          <w:b/>
          <w:bCs/>
        </w:rPr>
        <w:t>Booster dose</w:t>
      </w:r>
    </w:p>
    <w:p w14:paraId="1AA16881" w14:textId="77777777" w:rsidR="009C7631" w:rsidRDefault="009C7631" w:rsidP="009C7631">
      <w:pPr>
        <w:ind w:left="720"/>
      </w:pPr>
      <w:r>
        <w:t>The decision when and for whom to implement a booster (third dose) of Spikevax should be made based on available vaccine safety and effectiveness data in accordance with official recommendations.</w:t>
      </w:r>
    </w:p>
    <w:p w14:paraId="3D32DD3A" w14:textId="77777777" w:rsidR="009C7631" w:rsidRDefault="009C7631" w:rsidP="009C7631">
      <w:pPr>
        <w:ind w:left="720"/>
        <w:rPr>
          <w:i/>
          <w:iCs/>
        </w:rPr>
      </w:pPr>
      <w:r>
        <w:rPr>
          <w:i/>
          <w:iCs/>
        </w:rPr>
        <w:t>Individuals 18 years of age and</w:t>
      </w:r>
      <w:r w:rsidRPr="009326F0">
        <w:rPr>
          <w:i/>
          <w:iCs/>
        </w:rPr>
        <w:t xml:space="preserve"> older</w:t>
      </w:r>
    </w:p>
    <w:p w14:paraId="635DD508" w14:textId="77777777" w:rsidR="009C7631" w:rsidRDefault="009C7631" w:rsidP="009C7631">
      <w:pPr>
        <w:ind w:left="720"/>
      </w:pPr>
      <w:r>
        <w:t>A third dose of either Spikevax 0.1 mg/mL; or Spikevax 0.2 mg/mL solution for intramuscular injection is administered at least 6 months after the second dose of the primary series of vaccination.</w:t>
      </w:r>
    </w:p>
    <w:p w14:paraId="21C28161" w14:textId="77777777" w:rsidR="009C7631" w:rsidRDefault="009C7631" w:rsidP="009C7631">
      <w:pPr>
        <w:ind w:left="720"/>
      </w:pPr>
      <w:r>
        <w:t>Each 0.5 mL dose of Spikevax 0.1 mg/mL contains 50 µg elasomeran.</w:t>
      </w:r>
    </w:p>
    <w:p w14:paraId="3DEA282D" w14:textId="77777777" w:rsidR="009C7631" w:rsidRDefault="009C7631" w:rsidP="009C7631">
      <w:pPr>
        <w:ind w:left="720"/>
      </w:pPr>
      <w:r>
        <w:t>Each 0.25 mL dose of Spikevax 0.2 mg/mL contains 50 µg elasomeran.</w:t>
      </w:r>
    </w:p>
    <w:p w14:paraId="7457C8D6" w14:textId="03E77926" w:rsidR="009C7631" w:rsidRDefault="009C7631" w:rsidP="009C7631">
      <w:pPr>
        <w:ind w:left="720"/>
      </w:pPr>
      <w:r>
        <w:t>For further information regarding dosage (including the interchangeability of Spikevax with other COVID-19 vaccines), refer to the Product Information.</w:t>
      </w:r>
    </w:p>
    <w:p w14:paraId="2EF322AC" w14:textId="79F370C9" w:rsidR="00D23139" w:rsidRDefault="00D23139" w:rsidP="00D212F3">
      <w:pPr>
        <w:pStyle w:val="Heading3"/>
      </w:pPr>
      <w:bookmarkStart w:id="64" w:name="_Toc109817299"/>
      <w:r w:rsidRPr="00CC7D8B">
        <w:t>Specific conditions of registration applying to these goods</w:t>
      </w:r>
      <w:bookmarkEnd w:id="64"/>
    </w:p>
    <w:p w14:paraId="0B3ACF60" w14:textId="5B9F467E" w:rsidR="00CB4F7B" w:rsidRPr="003142B0" w:rsidRDefault="00CB4F7B" w:rsidP="00672162">
      <w:r w:rsidRPr="00672162">
        <w:rPr>
          <w:b/>
          <w:bCs/>
        </w:rPr>
        <w:t>For Submission PM-2022-01792-1-2</w:t>
      </w:r>
    </w:p>
    <w:p w14:paraId="77FFA946" w14:textId="14E37DB7" w:rsidR="0047648A" w:rsidRPr="0047648A" w:rsidRDefault="0047648A">
      <w:r w:rsidRPr="0047648A">
        <w:t>[The Delegate of the Secretary of the Department of Health imposed the following conditions in relation to the new Spikevax medicine:]</w:t>
      </w:r>
    </w:p>
    <w:p w14:paraId="633F8275" w14:textId="510E69E2" w:rsidR="0047648A" w:rsidRPr="00672162" w:rsidRDefault="0047648A" w:rsidP="00672162">
      <w:pPr>
        <w:pStyle w:val="ListBullet"/>
      </w:pPr>
      <w:r w:rsidRPr="00672162">
        <w:t>conditions applicable to all registered therapeutic goods as specified in the document</w:t>
      </w:r>
      <w:r w:rsidR="00E7244E">
        <w:t xml:space="preserve"> </w:t>
      </w:r>
      <w:r w:rsidRPr="00672162">
        <w:t>Standard Conditions Applying to Registered or Listed Therapeutic Goods under Section 28 of</w:t>
      </w:r>
      <w:r w:rsidR="00E7244E">
        <w:t xml:space="preserve"> </w:t>
      </w:r>
      <w:r w:rsidRPr="00672162">
        <w:t xml:space="preserve">the Therapeutic Goods Act 1989 effective 1 July 1995, with the exception of Condition </w:t>
      </w:r>
      <w:proofErr w:type="gramStart"/>
      <w:r w:rsidRPr="00672162">
        <w:t>11;</w:t>
      </w:r>
      <w:proofErr w:type="gramEnd"/>
    </w:p>
    <w:p w14:paraId="478EF63C" w14:textId="2E30E28D" w:rsidR="0047648A" w:rsidRPr="00672162" w:rsidRDefault="0047648A" w:rsidP="00672162">
      <w:pPr>
        <w:pStyle w:val="ListBullet"/>
      </w:pPr>
      <w:r w:rsidRPr="00672162">
        <w:t>conditions applicable to specific classes of registered therapeutic goods as specified in the</w:t>
      </w:r>
      <w:r w:rsidR="00E7244E">
        <w:t xml:space="preserve"> </w:t>
      </w:r>
      <w:r w:rsidRPr="00672162">
        <w:t>Standard Conditions Applying to Registered or Listed Therapeutic Goods under Section 28 of</w:t>
      </w:r>
      <w:r w:rsidR="00E7244E">
        <w:t xml:space="preserve"> </w:t>
      </w:r>
      <w:r w:rsidRPr="00672162">
        <w:t xml:space="preserve">the Therapeutic Goods Act 1989 effective 1 July </w:t>
      </w:r>
      <w:proofErr w:type="gramStart"/>
      <w:r w:rsidRPr="00672162">
        <w:t>1995;</w:t>
      </w:r>
      <w:proofErr w:type="gramEnd"/>
      <w:r w:rsidRPr="00672162">
        <w:t xml:space="preserve"> and</w:t>
      </w:r>
    </w:p>
    <w:p w14:paraId="723DBE04" w14:textId="72EEECA2" w:rsidR="0047648A" w:rsidRPr="00672162" w:rsidRDefault="0047648A" w:rsidP="00672162">
      <w:pPr>
        <w:pStyle w:val="ListBullet"/>
      </w:pPr>
      <w:r w:rsidRPr="00672162">
        <w:t xml:space="preserve">subject to </w:t>
      </w:r>
      <w:r w:rsidR="00E7244E">
        <w:t>[the paragraph below]</w:t>
      </w:r>
      <w:r w:rsidRPr="00672162">
        <w:t>, all conditions that have previously been imposed on the</w:t>
      </w:r>
      <w:r w:rsidR="00E7244E">
        <w:t xml:space="preserve"> </w:t>
      </w:r>
      <w:r w:rsidRPr="00672162">
        <w:t xml:space="preserve">provisional registration of the </w:t>
      </w:r>
      <w:r w:rsidR="00E7244E">
        <w:t>e</w:t>
      </w:r>
      <w:r w:rsidRPr="00672162">
        <w:t xml:space="preserve">xisting </w:t>
      </w:r>
      <w:r w:rsidR="00E7244E" w:rsidRPr="00E7244E">
        <w:t>Spikevax medicine</w:t>
      </w:r>
      <w:r w:rsidRPr="00672162">
        <w:t>, as in force at the date of</w:t>
      </w:r>
      <w:r w:rsidR="00E7244E">
        <w:t xml:space="preserve"> </w:t>
      </w:r>
      <w:r w:rsidRPr="00672162">
        <w:t xml:space="preserve">this </w:t>
      </w:r>
      <w:proofErr w:type="gramStart"/>
      <w:r w:rsidRPr="00672162">
        <w:t>decision;</w:t>
      </w:r>
      <w:proofErr w:type="gramEnd"/>
    </w:p>
    <w:p w14:paraId="7DA6A089" w14:textId="0B318F1E" w:rsidR="0047648A" w:rsidRPr="00672162" w:rsidRDefault="0047648A" w:rsidP="00672162">
      <w:pPr>
        <w:pStyle w:val="ListBullet"/>
      </w:pPr>
      <w:r w:rsidRPr="00672162">
        <w:t xml:space="preserve">the RMP condition of the provisional registration decision relating to the </w:t>
      </w:r>
      <w:r w:rsidR="00E7244E">
        <w:t>e</w:t>
      </w:r>
      <w:r w:rsidRPr="00672162">
        <w:t>xisting</w:t>
      </w:r>
      <w:r w:rsidR="00E7244E">
        <w:t xml:space="preserve"> </w:t>
      </w:r>
      <w:r w:rsidR="00E7244E" w:rsidRPr="00E7244E">
        <w:t>Spikevax medicines</w:t>
      </w:r>
      <w:r w:rsidRPr="00672162">
        <w:t xml:space="preserve">, varied </w:t>
      </w:r>
      <w:r w:rsidR="00336090" w:rsidRPr="00336090">
        <w:t xml:space="preserve">as underlined </w:t>
      </w:r>
      <w:r w:rsidRPr="00672162">
        <w:t>below:</w:t>
      </w:r>
    </w:p>
    <w:p w14:paraId="7C7D6BDA" w14:textId="396663B7" w:rsidR="0047648A" w:rsidRPr="00672162" w:rsidRDefault="0047648A" w:rsidP="00672162">
      <w:pPr>
        <w:pStyle w:val="ListBullet2"/>
        <w:numPr>
          <w:ilvl w:val="0"/>
          <w:numId w:val="0"/>
        </w:numPr>
        <w:ind w:left="720"/>
        <w:rPr>
          <w:i/>
          <w:iCs/>
        </w:rPr>
      </w:pPr>
      <w:r w:rsidRPr="00672162">
        <w:rPr>
          <w:i/>
          <w:iCs/>
        </w:rPr>
        <w:t xml:space="preserve">The </w:t>
      </w:r>
      <w:r w:rsidR="00E7244E" w:rsidRPr="00E7244E">
        <w:rPr>
          <w:i/>
          <w:iCs/>
        </w:rPr>
        <w:t xml:space="preserve">Spikevax </w:t>
      </w:r>
      <w:r w:rsidRPr="00672162">
        <w:rPr>
          <w:i/>
          <w:iCs/>
        </w:rPr>
        <w:t>EU-</w:t>
      </w:r>
      <w:r w:rsidR="00E7244E" w:rsidRPr="00E7244E">
        <w:rPr>
          <w:i/>
          <w:iCs/>
        </w:rPr>
        <w:t xml:space="preserve">risk management plan </w:t>
      </w:r>
      <w:r w:rsidRPr="00672162">
        <w:rPr>
          <w:i/>
          <w:iCs/>
        </w:rPr>
        <w:t xml:space="preserve">(RMP) </w:t>
      </w:r>
      <w:r w:rsidRPr="00336090">
        <w:rPr>
          <w:i/>
          <w:iCs/>
          <w:u w:val="single"/>
        </w:rPr>
        <w:t xml:space="preserve">(version 4.1, dated 22 April 2022, data lock point 21 February 2022), with Australian </w:t>
      </w:r>
      <w:r w:rsidR="00E7244E" w:rsidRPr="00336090">
        <w:rPr>
          <w:i/>
          <w:iCs/>
          <w:u w:val="single"/>
        </w:rPr>
        <w:t xml:space="preserve">specific annex </w:t>
      </w:r>
      <w:r w:rsidRPr="00336090">
        <w:rPr>
          <w:i/>
          <w:iCs/>
          <w:u w:val="single"/>
        </w:rPr>
        <w:t xml:space="preserve">(version 2.1, dated 2 May 2022), included with </w:t>
      </w:r>
      <w:r w:rsidR="00E7244E" w:rsidRPr="00336090">
        <w:rPr>
          <w:i/>
          <w:iCs/>
          <w:u w:val="single"/>
        </w:rPr>
        <w:t xml:space="preserve">Submission </w:t>
      </w:r>
      <w:r w:rsidRPr="00336090">
        <w:rPr>
          <w:i/>
          <w:iCs/>
          <w:u w:val="single"/>
        </w:rPr>
        <w:t>PM-2022-01792-1-2, and any subsequent revisions, as agreed with the TGA will be implemented in Australia</w:t>
      </w:r>
      <w:r w:rsidRPr="00336090">
        <w:rPr>
          <w:i/>
          <w:iCs/>
        </w:rPr>
        <w:t>.</w:t>
      </w:r>
    </w:p>
    <w:p w14:paraId="729F90FD" w14:textId="57F73BE5" w:rsidR="0047648A" w:rsidRPr="00672162" w:rsidRDefault="0047648A" w:rsidP="00672162">
      <w:pPr>
        <w:pStyle w:val="ListBullet2"/>
        <w:numPr>
          <w:ilvl w:val="0"/>
          <w:numId w:val="0"/>
        </w:numPr>
        <w:ind w:left="720"/>
        <w:rPr>
          <w:i/>
          <w:iCs/>
        </w:rPr>
      </w:pPr>
      <w:r w:rsidRPr="00672162">
        <w:rPr>
          <w:i/>
          <w:iCs/>
        </w:rPr>
        <w:t>An obligatory component of risk management plans is routine pharmacovigilance. Routine pharmacovigilance includes the submission of periodic safety update reports (PSURs).</w:t>
      </w:r>
    </w:p>
    <w:p w14:paraId="6E8A316B" w14:textId="0D285C4D" w:rsidR="0047648A" w:rsidRPr="00336090" w:rsidRDefault="0047648A" w:rsidP="00672162">
      <w:pPr>
        <w:pStyle w:val="ListBullet2"/>
        <w:numPr>
          <w:ilvl w:val="0"/>
          <w:numId w:val="0"/>
        </w:numPr>
        <w:ind w:left="720"/>
        <w:rPr>
          <w:bCs/>
          <w:i/>
          <w:iCs/>
          <w:u w:val="single"/>
        </w:rPr>
      </w:pPr>
      <w:r w:rsidRPr="00336090">
        <w:rPr>
          <w:bCs/>
          <w:i/>
          <w:iCs/>
          <w:u w:val="single"/>
        </w:rPr>
        <w:lastRenderedPageBreak/>
        <w:t xml:space="preserve">Unless agreed separately between the supplier who is the recipient of the approval and the TGA, the first report must be submitted to TGA no later than 15 calendar months after the date of </w:t>
      </w:r>
      <w:r w:rsidR="00E7244E" w:rsidRPr="00336090">
        <w:rPr>
          <w:bCs/>
          <w:i/>
          <w:iCs/>
          <w:u w:val="single"/>
        </w:rPr>
        <w:t>the</w:t>
      </w:r>
      <w:r w:rsidRPr="00336090">
        <w:rPr>
          <w:bCs/>
          <w:i/>
          <w:iCs/>
          <w:u w:val="single"/>
        </w:rPr>
        <w:t xml:space="preserve"> approval letter. The subsequent reports must be submitted no less frequently than annually from the date of the first submitted report until the period covered by such reports is not less than three years from the date of </w:t>
      </w:r>
      <w:r w:rsidR="00E7244E" w:rsidRPr="00336090">
        <w:rPr>
          <w:bCs/>
          <w:i/>
          <w:iCs/>
          <w:u w:val="single"/>
        </w:rPr>
        <w:t>the</w:t>
      </w:r>
      <w:r w:rsidRPr="00336090">
        <w:rPr>
          <w:bCs/>
          <w:i/>
          <w:iCs/>
          <w:u w:val="single"/>
        </w:rPr>
        <w:t xml:space="preserve"> approval letter, or the entire period of provisional registration, whichever is longer.</w:t>
      </w:r>
    </w:p>
    <w:p w14:paraId="4696CB49" w14:textId="110535E3" w:rsidR="0047648A" w:rsidRPr="00672162" w:rsidRDefault="0047648A" w:rsidP="00672162">
      <w:pPr>
        <w:pStyle w:val="ListBullet2"/>
        <w:numPr>
          <w:ilvl w:val="0"/>
          <w:numId w:val="0"/>
        </w:numPr>
        <w:ind w:left="720"/>
        <w:rPr>
          <w:i/>
          <w:iCs/>
        </w:rPr>
      </w:pPr>
      <w:r w:rsidRPr="00672162">
        <w:rPr>
          <w:i/>
          <w:iCs/>
        </w:rPr>
        <w:t xml:space="preserve">The reports are to at least meet the requirements for PSURs as described in the European Medicines Agency’s Guideline on </w:t>
      </w:r>
      <w:r w:rsidR="00E7244E" w:rsidRPr="00E7244E">
        <w:rPr>
          <w:i/>
          <w:iCs/>
        </w:rPr>
        <w:t xml:space="preserve">Good Pharmacovigilance Practices </w:t>
      </w:r>
      <w:r w:rsidRPr="00672162">
        <w:rPr>
          <w:i/>
          <w:iCs/>
        </w:rPr>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8FA8474" w14:textId="6301495B" w:rsidR="0047648A" w:rsidRPr="00672162" w:rsidRDefault="00E7244E" w:rsidP="00672162">
      <w:pPr>
        <w:pStyle w:val="ListBullet2"/>
        <w:numPr>
          <w:ilvl w:val="0"/>
          <w:numId w:val="0"/>
        </w:numPr>
        <w:ind w:left="720"/>
        <w:rPr>
          <w:i/>
          <w:iCs/>
        </w:rPr>
      </w:pPr>
      <w:r w:rsidRPr="00E7244E">
        <w:rPr>
          <w:i/>
          <w:iCs/>
        </w:rPr>
        <w:t xml:space="preserve">Spikevax </w:t>
      </w:r>
      <w:r w:rsidR="0047648A" w:rsidRPr="00672162">
        <w:rPr>
          <w:i/>
          <w:iCs/>
        </w:rPr>
        <w:t xml:space="preserve">(elasomeran) is to be included in the Black Triangle Scheme. The PI and CMI </w:t>
      </w:r>
      <w:r>
        <w:rPr>
          <w:i/>
          <w:iCs/>
        </w:rPr>
        <w:t>[</w:t>
      </w:r>
      <w:r w:rsidRPr="00E7244E">
        <w:rPr>
          <w:i/>
          <w:iCs/>
        </w:rPr>
        <w:t>Consumer Medicines Information</w:t>
      </w:r>
      <w:r>
        <w:rPr>
          <w:i/>
          <w:iCs/>
        </w:rPr>
        <w:t xml:space="preserve">] </w:t>
      </w:r>
      <w:r w:rsidR="0047648A" w:rsidRPr="00672162">
        <w:rPr>
          <w:i/>
          <w:iCs/>
        </w:rPr>
        <w:t xml:space="preserve">for </w:t>
      </w:r>
      <w:r w:rsidRPr="00E7244E">
        <w:rPr>
          <w:i/>
          <w:iCs/>
        </w:rPr>
        <w:t xml:space="preserve">Spikevax </w:t>
      </w:r>
      <w:r w:rsidR="0047648A" w:rsidRPr="00672162">
        <w:rPr>
          <w:i/>
          <w:iCs/>
        </w:rPr>
        <w:t>must include the black triangle symbol and mandatory accompanying text</w:t>
      </w:r>
      <w:r w:rsidRPr="00672162">
        <w:rPr>
          <w:i/>
          <w:iCs/>
        </w:rPr>
        <w:t xml:space="preserve"> </w:t>
      </w:r>
      <w:r w:rsidR="0047648A" w:rsidRPr="00672162">
        <w:rPr>
          <w:i/>
          <w:iCs/>
        </w:rPr>
        <w:t>for five years, or the product’s entire period of provisional registration, whichever is longer.</w:t>
      </w:r>
    </w:p>
    <w:p w14:paraId="2DB81E39" w14:textId="0DFE48AD" w:rsidR="0047648A" w:rsidRPr="00672162" w:rsidRDefault="0047648A" w:rsidP="00672162">
      <w:pPr>
        <w:pStyle w:val="ListBullet"/>
        <w:numPr>
          <w:ilvl w:val="0"/>
          <w:numId w:val="0"/>
        </w:numPr>
        <w:ind w:left="360"/>
      </w:pPr>
      <w:r w:rsidRPr="00672162">
        <w:t xml:space="preserve">As part of the standard conditions of registration applying to all registered therapeutic goods, it should be noted that, no changes can be made to the goods without the prior approval of the </w:t>
      </w:r>
      <w:r w:rsidR="00E7244E">
        <w:t>S</w:t>
      </w:r>
      <w:r w:rsidRPr="00672162">
        <w:t>ecretary.</w:t>
      </w:r>
    </w:p>
    <w:p w14:paraId="250B2FDF" w14:textId="08603BE6" w:rsidR="0047648A" w:rsidRDefault="0047648A">
      <w:pPr>
        <w:pStyle w:val="ListBullet"/>
        <w:numPr>
          <w:ilvl w:val="0"/>
          <w:numId w:val="0"/>
        </w:numPr>
        <w:ind w:left="360"/>
      </w:pPr>
      <w:r w:rsidRPr="00672162">
        <w:t>Under paragraph 30(2)(c) of the Act</w:t>
      </w:r>
      <w:r w:rsidR="00E7244E">
        <w:t xml:space="preserve"> </w:t>
      </w:r>
      <w:r w:rsidR="00E7244E" w:rsidRPr="000349EF">
        <w:t>[Therapeutic Goods Act]</w:t>
      </w:r>
      <w:r w:rsidRPr="00672162">
        <w:t>, refusal or failure to comply with a condition of registration to which inclusion of the medicine(s) in the ARTG is subject may result in the suspension or cancellation of registration.</w:t>
      </w:r>
    </w:p>
    <w:p w14:paraId="2B879813" w14:textId="0BE1DEC2" w:rsidR="00CB4F7B" w:rsidRPr="00672162" w:rsidRDefault="00CB4F7B" w:rsidP="00CB4F7B">
      <w:pPr>
        <w:rPr>
          <w:b/>
          <w:bCs/>
        </w:rPr>
      </w:pPr>
      <w:r w:rsidRPr="00672162">
        <w:rPr>
          <w:b/>
          <w:bCs/>
        </w:rPr>
        <w:t>For Submission PM-2022-01760-1-2</w:t>
      </w:r>
    </w:p>
    <w:p w14:paraId="1BA8F32D" w14:textId="6682F7BB" w:rsidR="00CB4F7B" w:rsidRPr="00CB4F7B" w:rsidRDefault="007515D2" w:rsidP="00672162">
      <w:pPr>
        <w:pStyle w:val="ListBullet"/>
      </w:pPr>
      <w:r w:rsidRPr="00AB607A">
        <w:t xml:space="preserve">Spikevax </w:t>
      </w:r>
      <w:r w:rsidR="00CB4F7B" w:rsidRPr="00AB607A">
        <w:t>(elasomeran) is to be included in the Black Triangle Scheme. The PI and CMI</w:t>
      </w:r>
      <w:r w:rsidR="00CB4F7B" w:rsidRPr="00CB4F7B">
        <w:t xml:space="preserve"> for </w:t>
      </w:r>
      <w:r w:rsidRPr="00CB4F7B">
        <w:t xml:space="preserve">Spikevax </w:t>
      </w:r>
      <w:r w:rsidR="00CB4F7B" w:rsidRPr="00CB4F7B">
        <w:t>must include the black triangle symbol and mandatory accompanying text for five years, which starts from the date that the sponsor notifies the TGA of supply of the product.</w:t>
      </w:r>
    </w:p>
    <w:p w14:paraId="50DDFA54" w14:textId="018B8140" w:rsidR="00CB4F7B" w:rsidRPr="00672162" w:rsidRDefault="00CB4F7B" w:rsidP="00672162">
      <w:pPr>
        <w:pStyle w:val="ListBullet"/>
      </w:pPr>
      <w:r w:rsidRPr="00672162">
        <w:t xml:space="preserve">Batch </w:t>
      </w:r>
      <w:r w:rsidR="007515D2" w:rsidRPr="00AB607A">
        <w:t>release testing and compliance</w:t>
      </w:r>
    </w:p>
    <w:p w14:paraId="1D9CD47C" w14:textId="7C8B89E8" w:rsidR="00CB4F7B" w:rsidRPr="00672162" w:rsidRDefault="00CB4F7B" w:rsidP="00672162">
      <w:pPr>
        <w:pStyle w:val="ListBullet"/>
        <w:numPr>
          <w:ilvl w:val="0"/>
          <w:numId w:val="0"/>
        </w:numPr>
        <w:ind w:left="360"/>
      </w:pPr>
      <w:r w:rsidRPr="00672162">
        <w:t xml:space="preserve">It is a condition of registration that all independent batches of </w:t>
      </w:r>
      <w:r w:rsidR="007515D2" w:rsidRPr="00AB607A">
        <w:t xml:space="preserve">Spikevax </w:t>
      </w:r>
      <w:r w:rsidRPr="00672162">
        <w:t>elasomeran 0.2</w:t>
      </w:r>
      <w:r w:rsidR="007515D2">
        <w:t> </w:t>
      </w:r>
      <w:r w:rsidRPr="00672162">
        <w:t>mg/mL and 0.1 mg/mL suspension for injection vial, as well as the 0.1 mg/mL pre</w:t>
      </w:r>
      <w:r w:rsidR="007515D2">
        <w:noBreakHyphen/>
      </w:r>
      <w:r w:rsidRPr="00672162">
        <w:t>filled syringe, imported into Australia are not released for sale until samples and the manufacturer’s release data have been assessed and you have received notification acknowledging release from the Laboratories Branch, TGA.</w:t>
      </w:r>
    </w:p>
    <w:p w14:paraId="4F7E1AB8" w14:textId="7B20C21C" w:rsidR="00CB4F7B" w:rsidRPr="00672162" w:rsidRDefault="00CB4F7B" w:rsidP="00672162">
      <w:pPr>
        <w:pStyle w:val="ListBullet"/>
        <w:numPr>
          <w:ilvl w:val="0"/>
          <w:numId w:val="0"/>
        </w:numPr>
        <w:ind w:left="360"/>
      </w:pPr>
      <w:r w:rsidRPr="00672162">
        <w:t xml:space="preserve">For each independent batch of the product imported into Australia, the </w:t>
      </w:r>
      <w:r w:rsidR="007515D2">
        <w:t>s</w:t>
      </w:r>
      <w:r w:rsidRPr="00672162">
        <w:t>ponsor must supply the following:</w:t>
      </w:r>
    </w:p>
    <w:p w14:paraId="24E14ED2" w14:textId="151F3E87" w:rsidR="00CB4F7B" w:rsidRPr="00AB607A" w:rsidRDefault="00CB4F7B" w:rsidP="00672162">
      <w:pPr>
        <w:pStyle w:val="ListBullet2"/>
      </w:pPr>
      <w:r w:rsidRPr="00672162">
        <w:t xml:space="preserve">A completed </w:t>
      </w:r>
      <w:r w:rsidR="007515D2" w:rsidRPr="00AB607A">
        <w:t>request for release form</w:t>
      </w:r>
      <w:r w:rsidRPr="00672162">
        <w:t>, available from vaccines@health.gov.au.</w:t>
      </w:r>
    </w:p>
    <w:p w14:paraId="5E7972D5" w14:textId="200F57C5" w:rsidR="00CB4F7B" w:rsidRPr="00672162" w:rsidRDefault="00CB4F7B" w:rsidP="00672162">
      <w:pPr>
        <w:pStyle w:val="ListBullet2"/>
      </w:pPr>
      <w:r w:rsidRPr="00672162">
        <w:t>Complete summary protocols for manufacture and QC</w:t>
      </w:r>
      <w:r w:rsidR="007515D2">
        <w:t xml:space="preserve"> [quality control]</w:t>
      </w:r>
      <w:r w:rsidRPr="00672162">
        <w:t>, including all steps in</w:t>
      </w:r>
      <w:r w:rsidR="007515D2">
        <w:t xml:space="preserve"> </w:t>
      </w:r>
      <w:r w:rsidRPr="00672162">
        <w:t>production in the agreed format.</w:t>
      </w:r>
    </w:p>
    <w:p w14:paraId="63D85C56" w14:textId="239EFD00" w:rsidR="00CB4F7B" w:rsidRPr="00672162" w:rsidRDefault="00CB4F7B" w:rsidP="00672162">
      <w:pPr>
        <w:pStyle w:val="ListBullet2"/>
      </w:pPr>
      <w:r w:rsidRPr="00672162">
        <w:t>At least 10 (ten) vials and/or pre-filled syringes (</w:t>
      </w:r>
      <w:r w:rsidR="007515D2">
        <w:t>s</w:t>
      </w:r>
      <w:r w:rsidRPr="00672162">
        <w:t>amples) of each</w:t>
      </w:r>
      <w:r w:rsidR="007515D2">
        <w:t xml:space="preserve"> </w:t>
      </w:r>
      <w:r w:rsidRPr="00672162">
        <w:t xml:space="preserve">manufacturing batch of </w:t>
      </w:r>
      <w:r w:rsidR="007515D2" w:rsidRPr="00CB4F7B">
        <w:t xml:space="preserve">Spikevax </w:t>
      </w:r>
      <w:r w:rsidRPr="00672162">
        <w:t>elasomeran 0.2 mg/mL suspension for</w:t>
      </w:r>
      <w:r w:rsidR="007515D2">
        <w:t xml:space="preserve"> </w:t>
      </w:r>
      <w:r w:rsidRPr="00672162">
        <w:t>injection vial and/or 0.1</w:t>
      </w:r>
      <w:r w:rsidR="007515D2">
        <w:t> </w:t>
      </w:r>
      <w:r w:rsidRPr="00672162">
        <w:t>mg/mL suspension for injection vial and/or</w:t>
      </w:r>
      <w:r w:rsidR="007515D2">
        <w:t xml:space="preserve"> </w:t>
      </w:r>
      <w:r w:rsidRPr="00672162">
        <w:t xml:space="preserve">0.1 mg/mL pre-filled syringe with the Australian approved labels, </w:t>
      </w:r>
      <w:proofErr w:type="gramStart"/>
      <w:r w:rsidRPr="00672162">
        <w:t>PI</w:t>
      </w:r>
      <w:proofErr w:type="gramEnd"/>
      <w:r w:rsidRPr="00672162">
        <w:t xml:space="preserve"> and</w:t>
      </w:r>
      <w:r w:rsidR="007515D2">
        <w:t xml:space="preserve"> </w:t>
      </w:r>
      <w:r w:rsidRPr="00672162">
        <w:t>packaging (unless an exemption to supply these has been granted)</w:t>
      </w:r>
      <w:r w:rsidR="007515D2">
        <w:t xml:space="preserve"> </w:t>
      </w:r>
      <w:r w:rsidRPr="00672162">
        <w:t>representative of all batches of product seeking distribution in Australia.</w:t>
      </w:r>
    </w:p>
    <w:p w14:paraId="665D6D34" w14:textId="76839D64" w:rsidR="00CB4F7B" w:rsidRPr="00672162" w:rsidRDefault="00CB4F7B" w:rsidP="00672162">
      <w:pPr>
        <w:pStyle w:val="ListBullet2"/>
      </w:pPr>
      <w:r w:rsidRPr="00672162">
        <w:t>At least 5 (five) vials (</w:t>
      </w:r>
      <w:r w:rsidR="00AB607A">
        <w:t>s</w:t>
      </w:r>
      <w:r w:rsidRPr="00672162">
        <w:t>amples) of any further consignments of a</w:t>
      </w:r>
      <w:r w:rsidR="007515D2">
        <w:t xml:space="preserve"> </w:t>
      </w:r>
      <w:r w:rsidRPr="00672162">
        <w:t xml:space="preserve">manufacturing batch of </w:t>
      </w:r>
      <w:r w:rsidR="00AB607A" w:rsidRPr="00CB4F7B">
        <w:t xml:space="preserve">Spikevax </w:t>
      </w:r>
      <w:r w:rsidRPr="00672162">
        <w:t>elasomeran 0.2 mg/mL suspension for</w:t>
      </w:r>
      <w:r w:rsidR="007515D2">
        <w:t xml:space="preserve"> </w:t>
      </w:r>
      <w:r w:rsidRPr="00672162">
        <w:t>injection vial and/or 0.1</w:t>
      </w:r>
      <w:r w:rsidR="00AB607A">
        <w:t> </w:t>
      </w:r>
      <w:r w:rsidRPr="00672162">
        <w:t>mg/mL suspension for injection vial and/or</w:t>
      </w:r>
      <w:r w:rsidR="007515D2">
        <w:t xml:space="preserve"> </w:t>
      </w:r>
      <w:r w:rsidRPr="00672162">
        <w:t xml:space="preserve">0.1 mg/mL pre-filled syringe with </w:t>
      </w:r>
      <w:r w:rsidRPr="00672162">
        <w:lastRenderedPageBreak/>
        <w:t xml:space="preserve">the Australian approved labels, </w:t>
      </w:r>
      <w:proofErr w:type="gramStart"/>
      <w:r w:rsidRPr="00672162">
        <w:t>PI</w:t>
      </w:r>
      <w:proofErr w:type="gramEnd"/>
      <w:r w:rsidRPr="00672162">
        <w:t xml:space="preserve"> and</w:t>
      </w:r>
      <w:r w:rsidR="007515D2">
        <w:t xml:space="preserve"> </w:t>
      </w:r>
      <w:r w:rsidRPr="00672162">
        <w:t>packaging (unless an exemption to supply these has been granted). Further</w:t>
      </w:r>
      <w:r w:rsidR="007515D2">
        <w:t xml:space="preserve"> </w:t>
      </w:r>
      <w:r w:rsidRPr="00672162">
        <w:t>consignments cover batches previously supplied to TGA for the purposes of</w:t>
      </w:r>
      <w:r w:rsidR="007515D2">
        <w:t xml:space="preserve"> </w:t>
      </w:r>
      <w:r w:rsidRPr="00672162">
        <w:t>batch release testing but are seeking to be supplied again.</w:t>
      </w:r>
    </w:p>
    <w:p w14:paraId="23244109" w14:textId="422B3A55" w:rsidR="00CB4F7B" w:rsidRPr="00672162" w:rsidRDefault="00CB4F7B" w:rsidP="00672162">
      <w:pPr>
        <w:pStyle w:val="ListBullet2"/>
      </w:pPr>
      <w:r w:rsidRPr="00672162">
        <w:t>If the manufacturing batch has been released in Europe or United Kingdom</w:t>
      </w:r>
      <w:r w:rsidR="00AB607A">
        <w:t xml:space="preserve"> [UK]</w:t>
      </w:r>
      <w:r w:rsidRPr="00672162">
        <w:t xml:space="preserve"> a</w:t>
      </w:r>
      <w:r w:rsidR="007515D2">
        <w:t xml:space="preserve"> </w:t>
      </w:r>
      <w:r w:rsidRPr="00672162">
        <w:t>copy of the EU Official Control Authority Batch Release (OCABR) certificate (or</w:t>
      </w:r>
      <w:r w:rsidR="007515D2">
        <w:t xml:space="preserve"> </w:t>
      </w:r>
      <w:r w:rsidRPr="00672162">
        <w:t>equivalent from the UK) must be provided.</w:t>
      </w:r>
    </w:p>
    <w:p w14:paraId="629EF21B" w14:textId="0F6E7ABA" w:rsidR="00CB4F7B" w:rsidRPr="00672162" w:rsidRDefault="00CB4F7B" w:rsidP="00672162">
      <w:pPr>
        <w:pStyle w:val="ListBullet2"/>
      </w:pPr>
      <w:r w:rsidRPr="00672162">
        <w:t>Any reagents, reference material and standards required to undertake testing,</w:t>
      </w:r>
      <w:r w:rsidR="007515D2">
        <w:t xml:space="preserve"> </w:t>
      </w:r>
      <w:r w:rsidRPr="00672162">
        <w:t>as requested by Laboratories Branch, TGA.</w:t>
      </w:r>
    </w:p>
    <w:p w14:paraId="485976D6" w14:textId="7638F2EB" w:rsidR="00CB4F7B" w:rsidRPr="00672162" w:rsidRDefault="00CB4F7B" w:rsidP="00672162">
      <w:pPr>
        <w:pStyle w:val="ListBullet"/>
        <w:numPr>
          <w:ilvl w:val="0"/>
          <w:numId w:val="0"/>
        </w:numPr>
        <w:ind w:left="360"/>
      </w:pPr>
      <w:r w:rsidRPr="00672162">
        <w:t xml:space="preserve">Sponsors must provide all requested </w:t>
      </w:r>
      <w:r w:rsidR="00AB607A">
        <w:t>s</w:t>
      </w:r>
      <w:r w:rsidRPr="00672162">
        <w:t>amples and data in sufficient time (at least 5</w:t>
      </w:r>
      <w:r w:rsidR="00AB607A">
        <w:t> </w:t>
      </w:r>
      <w:r w:rsidRPr="00672162">
        <w:t>business days) prior to any distribution date to allow the TGA to perform testing</w:t>
      </w:r>
      <w:r w:rsidR="007515D2">
        <w:t xml:space="preserve"> </w:t>
      </w:r>
      <w:r w:rsidRPr="00672162">
        <w:t>and review. Distribution of each batch of vaccine is conditional upon fulfilment of</w:t>
      </w:r>
      <w:r w:rsidR="007515D2">
        <w:t xml:space="preserve"> </w:t>
      </w:r>
      <w:r w:rsidRPr="00672162">
        <w:t>these conditions and receipt of a letter from the Laboratories Branch</w:t>
      </w:r>
      <w:r w:rsidR="007515D2">
        <w:t xml:space="preserve"> </w:t>
      </w:r>
      <w:r w:rsidRPr="00672162">
        <w:t>acknowledging release.</w:t>
      </w:r>
    </w:p>
    <w:p w14:paraId="7B4C76E1" w14:textId="6FC2706A" w:rsidR="00CB4F7B" w:rsidRPr="00CB4F7B" w:rsidRDefault="00CB4F7B" w:rsidP="00672162">
      <w:pPr>
        <w:pStyle w:val="ListBullet"/>
        <w:numPr>
          <w:ilvl w:val="0"/>
          <w:numId w:val="0"/>
        </w:numPr>
        <w:ind w:left="360"/>
      </w:pPr>
      <w:r w:rsidRPr="00672162">
        <w:t>Samples and data should be forwarded to the Biotherapeutics Section, Laboratories</w:t>
      </w:r>
      <w:r w:rsidR="007515D2">
        <w:t xml:space="preserve"> </w:t>
      </w:r>
      <w:r w:rsidRPr="00672162">
        <w:t>Branch before release of each batch and with sufficient lead time to allow for</w:t>
      </w:r>
      <w:r w:rsidR="007515D2">
        <w:t xml:space="preserve"> </w:t>
      </w:r>
      <w:r w:rsidRPr="00672162">
        <w:t>Laboratories Branch testing.</w:t>
      </w:r>
    </w:p>
    <w:p w14:paraId="4ED33F3D" w14:textId="0CFD6F80" w:rsidR="00CB4F7B" w:rsidRPr="00672162" w:rsidRDefault="00CB4F7B" w:rsidP="00672162">
      <w:pPr>
        <w:pStyle w:val="ListBullet"/>
        <w:numPr>
          <w:ilvl w:val="0"/>
          <w:numId w:val="0"/>
        </w:numPr>
        <w:ind w:left="360"/>
      </w:pPr>
      <w:r w:rsidRPr="00672162">
        <w:t>The shipments (including reagents) to TGA are the responsibility of the Australian</w:t>
      </w:r>
      <w:r w:rsidR="007515D2">
        <w:t xml:space="preserve"> </w:t>
      </w:r>
      <w:r w:rsidR="00AB607A" w:rsidRPr="00AB607A">
        <w:t xml:space="preserve">sponsor/agent </w:t>
      </w:r>
      <w:r w:rsidRPr="00672162">
        <w:t>who will be required to facilitate the import and customs clearance</w:t>
      </w:r>
      <w:r w:rsidR="007515D2">
        <w:t xml:space="preserve"> </w:t>
      </w:r>
      <w:r w:rsidRPr="00672162">
        <w:t>process.</w:t>
      </w:r>
    </w:p>
    <w:p w14:paraId="192DD8AF" w14:textId="77777777" w:rsidR="00CB4F7B" w:rsidRPr="00672162" w:rsidRDefault="00CB4F7B" w:rsidP="00672162">
      <w:pPr>
        <w:pStyle w:val="ListBullet"/>
        <w:numPr>
          <w:ilvl w:val="0"/>
          <w:numId w:val="0"/>
        </w:numPr>
        <w:ind w:left="360"/>
      </w:pPr>
      <w:r w:rsidRPr="00672162">
        <w:t>Certified Product Details</w:t>
      </w:r>
    </w:p>
    <w:p w14:paraId="2AFB28DF" w14:textId="2EDD1809" w:rsidR="007515D2" w:rsidRPr="00672162" w:rsidRDefault="00CB4F7B" w:rsidP="00672162">
      <w:pPr>
        <w:pStyle w:val="ListBullet"/>
        <w:numPr>
          <w:ilvl w:val="0"/>
          <w:numId w:val="0"/>
        </w:numPr>
        <w:ind w:left="360"/>
      </w:pPr>
      <w:r w:rsidRPr="00672162">
        <w:t>An electronic copy of the Certified Product Details (CPD) as described in Guidance</w:t>
      </w:r>
      <w:r w:rsidR="00AB607A">
        <w:t> </w:t>
      </w:r>
      <w:r w:rsidRPr="00672162">
        <w:t>7:</w:t>
      </w:r>
      <w:r w:rsidR="007515D2">
        <w:t xml:space="preserve"> </w:t>
      </w:r>
      <w:r w:rsidRPr="00672162">
        <w:t>Certified Product Details of the Australian Regulatory Guidelines for Prescription</w:t>
      </w:r>
      <w:r w:rsidR="007515D2">
        <w:t xml:space="preserve"> </w:t>
      </w:r>
      <w:r w:rsidRPr="00672162">
        <w:t xml:space="preserve">Medicines (ARGPM) </w:t>
      </w:r>
      <w:hyperlink r:id="rId31" w:history="1">
        <w:r w:rsidR="007515D2" w:rsidRPr="00672162">
          <w:rPr>
            <w:rStyle w:val="Hyperlink"/>
          </w:rPr>
          <w:t>https://www.tga.gov.au/guidance-7-certified-product-details</w:t>
        </w:r>
      </w:hyperlink>
      <w:r w:rsidR="007515D2">
        <w:t xml:space="preserve"> </w:t>
      </w:r>
      <w:r w:rsidR="007515D2" w:rsidRPr="00672162">
        <w:t>should be provided upon registration of the therapeutic good. In addition, an updated</w:t>
      </w:r>
      <w:r w:rsidR="007515D2">
        <w:t xml:space="preserve"> </w:t>
      </w:r>
      <w:r w:rsidR="007515D2" w:rsidRPr="00672162">
        <w:t>CPD, for the above products incorporating the approved changes is to be provided</w:t>
      </w:r>
      <w:r w:rsidR="007515D2">
        <w:t xml:space="preserve"> </w:t>
      </w:r>
      <w:r w:rsidR="007515D2" w:rsidRPr="00672162">
        <w:t>within one month of the date of approval letter. A template for preparation of CPD for</w:t>
      </w:r>
      <w:r w:rsidR="007515D2">
        <w:t xml:space="preserve"> </w:t>
      </w:r>
      <w:r w:rsidR="007515D2" w:rsidRPr="00672162">
        <w:t xml:space="preserve">biological prescription medicines and </w:t>
      </w:r>
      <w:r w:rsidR="00AB607A">
        <w:t>v</w:t>
      </w:r>
      <w:r w:rsidR="007515D2" w:rsidRPr="00672162">
        <w:t>accines can be obtained from the TGA website</w:t>
      </w:r>
      <w:r w:rsidR="007515D2">
        <w:t xml:space="preserve"> </w:t>
      </w:r>
      <w:hyperlink r:id="rId32" w:history="1">
        <w:r w:rsidR="007515D2" w:rsidRPr="00672162">
          <w:rPr>
            <w:rStyle w:val="Hyperlink"/>
          </w:rPr>
          <w:t>https://www.tga.gov.au/form/certified-product-details-cpd-biological-prescriptionmedicines</w:t>
        </w:r>
      </w:hyperlink>
      <w:r w:rsidR="007515D2" w:rsidRPr="00672162">
        <w:t>.</w:t>
      </w:r>
      <w:r w:rsidR="007515D2">
        <w:t xml:space="preserve"> </w:t>
      </w:r>
      <w:r w:rsidR="007515D2" w:rsidRPr="00672162">
        <w:t xml:space="preserve">The CPD should be sent as a single bookmarked </w:t>
      </w:r>
      <w:r w:rsidR="00AB607A">
        <w:t>[</w:t>
      </w:r>
      <w:r w:rsidR="00AB607A" w:rsidRPr="00AB607A">
        <w:t>Portable Document Format</w:t>
      </w:r>
      <w:r w:rsidR="00AB607A">
        <w:t>]</w:t>
      </w:r>
      <w:r w:rsidR="007515D2" w:rsidRPr="00672162">
        <w:t xml:space="preserve"> to</w:t>
      </w:r>
      <w:r w:rsidR="007515D2">
        <w:t xml:space="preserve"> </w:t>
      </w:r>
      <w:r w:rsidR="00AB607A">
        <w:t>v</w:t>
      </w:r>
      <w:r w:rsidR="007515D2" w:rsidRPr="00672162">
        <w:t>accines@health.gov.au as soon as possible after registration/approval of the product</w:t>
      </w:r>
      <w:r w:rsidR="007515D2">
        <w:t xml:space="preserve"> </w:t>
      </w:r>
      <w:r w:rsidR="007515D2" w:rsidRPr="00672162">
        <w:t>or any subsequent changes as indicated above.</w:t>
      </w:r>
    </w:p>
    <w:p w14:paraId="3A57A9CA" w14:textId="3B55598C" w:rsidR="007515D2" w:rsidRPr="00AB607A" w:rsidRDefault="007515D2" w:rsidP="00672162">
      <w:pPr>
        <w:pStyle w:val="ListBullet"/>
      </w:pPr>
      <w:r w:rsidRPr="00672162">
        <w:t xml:space="preserve">This approval does not impose any requirement for the submission of </w:t>
      </w:r>
      <w:r w:rsidR="00AB607A" w:rsidRPr="00AB607A">
        <w:t>periodic safety</w:t>
      </w:r>
      <w:r w:rsidR="00AB607A">
        <w:t xml:space="preserve"> </w:t>
      </w:r>
      <w:r w:rsidR="00AB607A" w:rsidRPr="00AB607A">
        <w:t>update reports</w:t>
      </w:r>
      <w:r w:rsidRPr="00672162">
        <w:t>. You should note that it is a requirement that all existing requirements</w:t>
      </w:r>
      <w:r>
        <w:t xml:space="preserve"> </w:t>
      </w:r>
      <w:r w:rsidRPr="00672162">
        <w:t xml:space="preserve">for the submission of PSURs </w:t>
      </w:r>
      <w:proofErr w:type="gramStart"/>
      <w:r w:rsidRPr="00672162">
        <w:t>as a consequence of</w:t>
      </w:r>
      <w:proofErr w:type="gramEnd"/>
      <w:r w:rsidRPr="00672162">
        <w:t xml:space="preserve"> the initial registration or subsequent</w:t>
      </w:r>
      <w:r>
        <w:t xml:space="preserve"> </w:t>
      </w:r>
      <w:r w:rsidRPr="00672162">
        <w:t>changes must be completed.</w:t>
      </w:r>
    </w:p>
    <w:p w14:paraId="3A095D7A" w14:textId="77777777" w:rsidR="008E7846" w:rsidRPr="00CC7D8B" w:rsidRDefault="00A80B5B" w:rsidP="00D23139">
      <w:pPr>
        <w:pStyle w:val="Heading2"/>
      </w:pPr>
      <w:bookmarkStart w:id="65" w:name="_Toc109817300"/>
      <w:r w:rsidRPr="00CC7D8B">
        <w:t xml:space="preserve">Attachment 1. </w:t>
      </w:r>
      <w:r w:rsidR="008E7846" w:rsidRPr="00CC7D8B">
        <w:t xml:space="preserve">Product </w:t>
      </w:r>
      <w:r w:rsidR="00AA0ED0" w:rsidRPr="00CC7D8B">
        <w:t>I</w:t>
      </w:r>
      <w:r w:rsidR="008E7846" w:rsidRPr="00CC7D8B">
        <w:t>nformation</w:t>
      </w:r>
      <w:bookmarkEnd w:id="62"/>
      <w:bookmarkEnd w:id="63"/>
      <w:bookmarkEnd w:id="65"/>
    </w:p>
    <w:p w14:paraId="1453E4DE" w14:textId="7AD1DD7D" w:rsidR="00523A21" w:rsidRPr="00CC7D8B" w:rsidRDefault="006136D7" w:rsidP="00C80137">
      <w:r w:rsidRPr="00CC7D8B">
        <w:t xml:space="preserve">The PI for </w:t>
      </w:r>
      <w:r w:rsidR="00404C84" w:rsidRPr="00CC7D8B">
        <w:t xml:space="preserve">Spikevax </w:t>
      </w:r>
      <w:r w:rsidRPr="00CC7D8B">
        <w:t>approved with the submission which is described in this AusPAR is at Attachment 1.</w:t>
      </w:r>
      <w:r w:rsidR="00CC5044" w:rsidRPr="00CC7D8B">
        <w:t xml:space="preserve"> </w:t>
      </w:r>
      <w:r w:rsidR="0074163C" w:rsidRPr="00CC7D8B">
        <w:t xml:space="preserve">For the most recent PI, please refer to the TGA </w:t>
      </w:r>
      <w:hyperlink r:id="rId33" w:history="1">
        <w:r w:rsidR="0074163C" w:rsidRPr="00CC7D8B">
          <w:rPr>
            <w:rStyle w:val="Hyperlink"/>
          </w:rPr>
          <w:t>PI/CMI search facility</w:t>
        </w:r>
        <w:r w:rsidR="0074163C" w:rsidRPr="00CC7D8B">
          <w:rPr>
            <w:rStyle w:val="Hyperlink"/>
            <w:color w:val="auto"/>
            <w:u w:val="none"/>
          </w:rPr>
          <w:t>.</w:t>
        </w:r>
      </w:hyperlink>
    </w:p>
    <w:p w14:paraId="3DA6E98C" w14:textId="1BEE9F6C" w:rsidR="00744121" w:rsidRPr="00CC7D8B" w:rsidRDefault="008E7846" w:rsidP="00744121">
      <w:r w:rsidRPr="00CC7D8B">
        <w:br w:type="page"/>
      </w:r>
    </w:p>
    <w:p w14:paraId="475A6BE9" w14:textId="77777777" w:rsidR="00C80137" w:rsidRPr="00CC7D8B" w:rsidRDefault="00C80137" w:rsidP="003A7F6C">
      <w:pPr>
        <w:pStyle w:val="TableTitle"/>
        <w:sectPr w:rsidR="00C80137" w:rsidRPr="00CC7D8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CC7D8B" w14:paraId="30A82589" w14:textId="77777777" w:rsidTr="00A05FA4">
        <w:trPr>
          <w:trHeight w:hRule="exact" w:val="704"/>
        </w:trPr>
        <w:tc>
          <w:tcPr>
            <w:tcW w:w="9175" w:type="dxa"/>
          </w:tcPr>
          <w:p w14:paraId="72EAB17E" w14:textId="77777777" w:rsidR="001C32CD" w:rsidRPr="00CC7D8B" w:rsidRDefault="001C32CD" w:rsidP="00A05FA4">
            <w:pPr>
              <w:pStyle w:val="TGASignoff"/>
            </w:pPr>
            <w:r w:rsidRPr="00CC7D8B">
              <w:lastRenderedPageBreak/>
              <w:t>Therapeutic Goods Administration</w:t>
            </w:r>
          </w:p>
        </w:tc>
      </w:tr>
      <w:tr w:rsidR="001C32CD" w:rsidRPr="004C239D" w14:paraId="10EB8E83" w14:textId="77777777" w:rsidTr="00A05FA4">
        <w:trPr>
          <w:trHeight w:val="1221"/>
        </w:trPr>
        <w:tc>
          <w:tcPr>
            <w:tcW w:w="9175" w:type="dxa"/>
            <w:tcMar>
              <w:top w:w="28" w:type="dxa"/>
            </w:tcMar>
          </w:tcPr>
          <w:p w14:paraId="3DB4CEDD" w14:textId="77777777" w:rsidR="001C32CD" w:rsidRPr="00CC7D8B" w:rsidRDefault="001C32CD" w:rsidP="00A05FA4">
            <w:pPr>
              <w:pStyle w:val="Address"/>
            </w:pPr>
            <w:r w:rsidRPr="00CC7D8B">
              <w:t>PO Box 100 Woden ACT 2606 Australia</w:t>
            </w:r>
          </w:p>
          <w:p w14:paraId="5C70C2CF" w14:textId="602B01EA" w:rsidR="001C32CD" w:rsidRPr="00CC7D8B" w:rsidRDefault="001C32CD" w:rsidP="00A05FA4">
            <w:pPr>
              <w:pStyle w:val="Address"/>
            </w:pPr>
            <w:r w:rsidRPr="00CC7D8B">
              <w:t xml:space="preserve">Email: </w:t>
            </w:r>
            <w:hyperlink r:id="rId38" w:history="1">
              <w:r w:rsidRPr="00CC7D8B">
                <w:rPr>
                  <w:rStyle w:val="Hyperlink"/>
                </w:rPr>
                <w:t>info@tga.gov.au</w:t>
              </w:r>
            </w:hyperlink>
            <w:r w:rsidRPr="00CC7D8B">
              <w:t xml:space="preserve">  Phone: 1800 020 </w:t>
            </w:r>
            <w:proofErr w:type="gramStart"/>
            <w:r w:rsidRPr="00CC7D8B">
              <w:t>653  Fax</w:t>
            </w:r>
            <w:proofErr w:type="gramEnd"/>
            <w:r w:rsidRPr="00CC7D8B">
              <w:t>: 02 6232 8605</w:t>
            </w:r>
          </w:p>
          <w:p w14:paraId="6CEE66D3" w14:textId="6CF5516F" w:rsidR="001C32CD" w:rsidRPr="004C239D" w:rsidRDefault="00700AB2" w:rsidP="00A05FA4">
            <w:pPr>
              <w:pStyle w:val="Address"/>
              <w:spacing w:line="260" w:lineRule="atLeast"/>
              <w:rPr>
                <w:b/>
                <w:color w:val="0000FF"/>
                <w:u w:val="single"/>
              </w:rPr>
            </w:pPr>
            <w:hyperlink r:id="rId39" w:history="1">
              <w:r w:rsidR="007C6B9B" w:rsidRPr="00CC7D8B">
                <w:rPr>
                  <w:rStyle w:val="Hyperlink"/>
                  <w:b/>
                </w:rPr>
                <w:t>https://www.tga.gov.au</w:t>
              </w:r>
            </w:hyperlink>
          </w:p>
        </w:tc>
      </w:tr>
    </w:tbl>
    <w:p w14:paraId="37C6F3C2" w14:textId="77777777"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B2CBF" w14:textId="77777777" w:rsidR="00505F26" w:rsidRDefault="00505F26" w:rsidP="00C40A36">
      <w:pPr>
        <w:spacing w:after="0"/>
      </w:pPr>
      <w:r>
        <w:separator/>
      </w:r>
    </w:p>
  </w:endnote>
  <w:endnote w:type="continuationSeparator" w:id="0">
    <w:p w14:paraId="32D7D3ED" w14:textId="77777777" w:rsidR="00505F26" w:rsidRDefault="00505F26" w:rsidP="00C40A36">
      <w:pPr>
        <w:spacing w:after="0"/>
      </w:pPr>
      <w:r>
        <w:continuationSeparator/>
      </w:r>
    </w:p>
  </w:endnote>
  <w:endnote w:type="continuationNotice" w:id="1">
    <w:p w14:paraId="56709804" w14:textId="77777777" w:rsidR="00505F26" w:rsidRDefault="00505F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05F26" w:rsidRPr="00487162" w14:paraId="215DF354" w14:textId="77777777" w:rsidTr="00DB750B">
      <w:trPr>
        <w:trHeight w:val="269"/>
      </w:trPr>
      <w:tc>
        <w:tcPr>
          <w:tcW w:w="7371" w:type="dxa"/>
          <w:tcMar>
            <w:top w:w="142" w:type="dxa"/>
            <w:bottom w:w="0" w:type="dxa"/>
          </w:tcMar>
        </w:tcPr>
        <w:p w14:paraId="51661CE3" w14:textId="0A052A04" w:rsidR="00505F26" w:rsidRPr="00487162" w:rsidRDefault="00505F26" w:rsidP="00460036">
          <w:pPr>
            <w:pStyle w:val="Footer"/>
          </w:pPr>
          <w:r w:rsidRPr="00487162">
            <w:t>AusPA</w:t>
          </w:r>
          <w:r>
            <w:t xml:space="preserve">R - </w:t>
          </w:r>
          <w:r w:rsidRPr="00404C84">
            <w:t xml:space="preserve">Spikevax </w:t>
          </w:r>
          <w:r>
            <w:t>-</w:t>
          </w:r>
          <w:r w:rsidRPr="00460036">
            <w:t xml:space="preserve"> </w:t>
          </w:r>
          <w:r>
            <w:t>e</w:t>
          </w:r>
          <w:r w:rsidRPr="00404C84">
            <w:t xml:space="preserve">lasomeran </w:t>
          </w:r>
          <w:r>
            <w:t xml:space="preserve">- </w:t>
          </w:r>
          <w:r w:rsidRPr="00404C84">
            <w:t>Moderna Australia Pty Ltd</w:t>
          </w:r>
          <w:r>
            <w:t xml:space="preserve"> - </w:t>
          </w:r>
          <w:r w:rsidRPr="00E36D40">
            <w:t>PM-2022-01792-1-2</w:t>
          </w:r>
          <w:r>
            <w:t xml:space="preserve"> and </w:t>
          </w:r>
          <w:r w:rsidRPr="00E36D40">
            <w:t>PM-2022-01760-1-2</w:t>
          </w:r>
          <w:r>
            <w:br/>
            <w:t>Final</w:t>
          </w:r>
          <w:r w:rsidRPr="00487162">
            <w:t xml:space="preserve"> </w:t>
          </w:r>
          <w:r>
            <w:t>2</w:t>
          </w:r>
          <w:r w:rsidR="008B3C59">
            <w:t>7</w:t>
          </w:r>
          <w:r>
            <w:t xml:space="preserve"> July 2022</w:t>
          </w:r>
        </w:p>
      </w:tc>
      <w:tc>
        <w:tcPr>
          <w:tcW w:w="1490" w:type="dxa"/>
          <w:tcMar>
            <w:top w:w="142" w:type="dxa"/>
            <w:bottom w:w="0" w:type="dxa"/>
          </w:tcMar>
        </w:tcPr>
        <w:p w14:paraId="556F13F8" w14:textId="790CA05A" w:rsidR="00505F26" w:rsidRPr="00487162" w:rsidRDefault="00505F26" w:rsidP="00DB750B">
          <w:pPr>
            <w:pStyle w:val="Footer"/>
            <w:jc w:val="right"/>
          </w:pPr>
          <w:r w:rsidRPr="00487162">
            <w:t xml:space="preserve">Page </w:t>
          </w:r>
          <w:r>
            <w:fldChar w:fldCharType="begin"/>
          </w:r>
          <w:r>
            <w:instrText xml:space="preserve"> PAGE  \* Arabic </w:instrText>
          </w:r>
          <w:r>
            <w:fldChar w:fldCharType="separate"/>
          </w:r>
          <w:r>
            <w:rPr>
              <w:noProof/>
            </w:rPr>
            <w:t>23</w:t>
          </w:r>
          <w:r>
            <w:fldChar w:fldCharType="end"/>
          </w:r>
          <w:r w:rsidRPr="00487162">
            <w:t xml:space="preserve"> of </w:t>
          </w:r>
          <w:fldSimple w:instr=" NUMPAGES  \* Arabic ">
            <w:r>
              <w:rPr>
                <w:noProof/>
              </w:rPr>
              <w:t>32</w:t>
            </w:r>
          </w:fldSimple>
        </w:p>
      </w:tc>
    </w:tr>
  </w:tbl>
  <w:p w14:paraId="2C4C9603" w14:textId="77777777" w:rsidR="00505F26" w:rsidRDefault="00505F26"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05F26" w:rsidRPr="00487162" w14:paraId="72694F3A" w14:textId="77777777" w:rsidTr="00E45619">
      <w:trPr>
        <w:trHeight w:val="269"/>
      </w:trPr>
      <w:tc>
        <w:tcPr>
          <w:tcW w:w="4519" w:type="dxa"/>
          <w:tcBorders>
            <w:top w:val="single" w:sz="4" w:space="0" w:color="auto"/>
          </w:tcBorders>
          <w:tcMar>
            <w:top w:w="142" w:type="dxa"/>
            <w:bottom w:w="0" w:type="dxa"/>
          </w:tcMar>
        </w:tcPr>
        <w:p w14:paraId="4C587F11" w14:textId="77777777" w:rsidR="00505F26" w:rsidRPr="00487162" w:rsidRDefault="00505F26" w:rsidP="00FE1DEE">
          <w:pPr>
            <w:pStyle w:val="Footer"/>
          </w:pPr>
          <w:r w:rsidRPr="00487162">
            <w:t>Document title, Part #, Section # - Section title</w:t>
          </w:r>
        </w:p>
        <w:p w14:paraId="7A0F7F45" w14:textId="77777777" w:rsidR="00505F26" w:rsidRPr="00487162" w:rsidRDefault="00505F26" w:rsidP="00FE1DEE">
          <w:pPr>
            <w:pStyle w:val="Footer"/>
          </w:pPr>
          <w:r w:rsidRPr="00487162">
            <w:t>V1.0 October 2010</w:t>
          </w:r>
        </w:p>
      </w:tc>
      <w:tc>
        <w:tcPr>
          <w:tcW w:w="4342" w:type="dxa"/>
          <w:tcBorders>
            <w:top w:val="single" w:sz="4" w:space="0" w:color="auto"/>
          </w:tcBorders>
          <w:tcMar>
            <w:top w:w="142" w:type="dxa"/>
            <w:bottom w:w="0" w:type="dxa"/>
          </w:tcMar>
        </w:tcPr>
        <w:p w14:paraId="3F9280F0" w14:textId="77777777" w:rsidR="00505F26" w:rsidRPr="00487162" w:rsidRDefault="00505F2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4D114E51" w14:textId="77777777" w:rsidR="00505F26" w:rsidRDefault="00505F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94BA3" w14:textId="77777777" w:rsidR="00505F26" w:rsidRPr="001C32CD" w:rsidRDefault="00505F2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05F26" w14:paraId="105C4985" w14:textId="77777777" w:rsidTr="0010601F">
      <w:trPr>
        <w:trHeight w:val="108"/>
      </w:trPr>
      <w:tc>
        <w:tcPr>
          <w:tcW w:w="8875" w:type="dxa"/>
          <w:gridSpan w:val="2"/>
          <w:tcBorders>
            <w:bottom w:val="single" w:sz="4" w:space="0" w:color="auto"/>
          </w:tcBorders>
          <w:tcMar>
            <w:right w:w="284" w:type="dxa"/>
          </w:tcMar>
        </w:tcPr>
        <w:p w14:paraId="78A68384" w14:textId="77777777" w:rsidR="00505F26" w:rsidRDefault="00505F26" w:rsidP="006E08B3">
          <w:pPr>
            <w:pStyle w:val="Heading3"/>
          </w:pPr>
          <w:r>
            <w:t>Copyright</w:t>
          </w:r>
        </w:p>
        <w:p w14:paraId="271068E6" w14:textId="77777777" w:rsidR="00505F26" w:rsidRDefault="00505F26" w:rsidP="006E08B3">
          <w:r>
            <w:rPr>
              <w:rFonts w:cs="Arial"/>
            </w:rPr>
            <w:t>©</w:t>
          </w:r>
          <w:r>
            <w:t xml:space="preserve"> Commonwealth of Australia [add year]</w:t>
          </w:r>
        </w:p>
        <w:p w14:paraId="3B950277" w14:textId="77777777" w:rsidR="00505F26" w:rsidRDefault="00505F26" w:rsidP="006E08B3"/>
        <w:p w14:paraId="5E8C70EF" w14:textId="77777777" w:rsidR="00505F26" w:rsidRDefault="00505F2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4CD57BA2" w14:textId="77777777" w:rsidR="00505F26" w:rsidRDefault="00505F26" w:rsidP="006E08B3"/>
        <w:p w14:paraId="34F4C487" w14:textId="77777777" w:rsidR="00505F26" w:rsidRDefault="00505F26" w:rsidP="006E08B3">
          <w:pPr>
            <w:pStyle w:val="Heading3"/>
          </w:pPr>
          <w:r>
            <w:t>Confidentiality</w:t>
          </w:r>
        </w:p>
        <w:p w14:paraId="2D243E3E" w14:textId="77777777" w:rsidR="00505F26" w:rsidRDefault="00505F2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274AA23" w14:textId="77777777" w:rsidR="00505F26" w:rsidRDefault="00505F26" w:rsidP="006E08B3"/>
        <w:p w14:paraId="30AFE3D9" w14:textId="77777777" w:rsidR="00505F26" w:rsidRDefault="00505F26" w:rsidP="006E08B3">
          <w:r>
            <w:t>For submission made by individuals, all personal details, other than your name, will be removed from your submission before it is published on the TGA’s Internet site.</w:t>
          </w:r>
        </w:p>
        <w:p w14:paraId="66C4BB38" w14:textId="77777777" w:rsidR="00505F26" w:rsidRDefault="00505F26" w:rsidP="006E08B3"/>
        <w:p w14:paraId="244F46CF" w14:textId="77777777" w:rsidR="00505F26" w:rsidRDefault="00505F26" w:rsidP="006E08B3">
          <w:r>
            <w:t>In addition, a list of parties making submissions will be published. If you do not wish to be identified with your submission you must specifically request this in the space provided in the submission coversheet.</w:t>
          </w:r>
        </w:p>
      </w:tc>
    </w:tr>
    <w:tr w:rsidR="00505F26" w14:paraId="7D66AF84" w14:textId="77777777" w:rsidTr="0010601F">
      <w:trPr>
        <w:trHeight w:val="417"/>
      </w:trPr>
      <w:tc>
        <w:tcPr>
          <w:tcW w:w="4519" w:type="dxa"/>
          <w:tcBorders>
            <w:top w:val="single" w:sz="4" w:space="0" w:color="auto"/>
          </w:tcBorders>
          <w:tcMar>
            <w:top w:w="142" w:type="dxa"/>
            <w:bottom w:w="0" w:type="dxa"/>
          </w:tcMar>
        </w:tcPr>
        <w:p w14:paraId="3F7D3062" w14:textId="77777777" w:rsidR="00505F26" w:rsidRDefault="00505F26" w:rsidP="006E08B3">
          <w:r>
            <w:t>Document title, Part #, Section # - Section title</w:t>
          </w:r>
        </w:p>
        <w:p w14:paraId="40B5FADD" w14:textId="77777777" w:rsidR="00505F26" w:rsidRDefault="00505F26" w:rsidP="006E08B3">
          <w:r>
            <w:t>V1.0 October 2010</w:t>
          </w:r>
        </w:p>
      </w:tc>
      <w:tc>
        <w:tcPr>
          <w:tcW w:w="4356" w:type="dxa"/>
          <w:tcBorders>
            <w:top w:val="single" w:sz="4" w:space="0" w:color="auto"/>
          </w:tcBorders>
          <w:tcMar>
            <w:top w:w="142" w:type="dxa"/>
            <w:bottom w:w="0" w:type="dxa"/>
          </w:tcMar>
        </w:tcPr>
        <w:p w14:paraId="2065D345" w14:textId="77777777" w:rsidR="00505F26" w:rsidRDefault="00505F2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676856A8" w14:textId="77777777" w:rsidR="00505F26" w:rsidRDefault="00505F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6FABF" w14:textId="77777777" w:rsidR="00505F26" w:rsidRDefault="00505F26" w:rsidP="00C40A36">
      <w:pPr>
        <w:spacing w:after="0"/>
      </w:pPr>
      <w:r>
        <w:separator/>
      </w:r>
    </w:p>
  </w:footnote>
  <w:footnote w:type="continuationSeparator" w:id="0">
    <w:p w14:paraId="23F9FAD1" w14:textId="77777777" w:rsidR="00505F26" w:rsidRDefault="00505F26" w:rsidP="00C40A36">
      <w:pPr>
        <w:spacing w:after="0"/>
      </w:pPr>
      <w:r>
        <w:continuationSeparator/>
      </w:r>
    </w:p>
  </w:footnote>
  <w:footnote w:type="continuationNotice" w:id="1">
    <w:p w14:paraId="597530A3" w14:textId="77777777" w:rsidR="00505F26" w:rsidRDefault="00505F26">
      <w:pPr>
        <w:spacing w:before="0" w:after="0" w:line="240" w:lineRule="auto"/>
      </w:pPr>
    </w:p>
  </w:footnote>
  <w:footnote w:id="2">
    <w:p w14:paraId="75EDE08C" w14:textId="2A34CB1B" w:rsidR="00505F26" w:rsidRPr="00E35657" w:rsidRDefault="00505F26">
      <w:pPr>
        <w:pStyle w:val="FootnoteText"/>
        <w:rPr>
          <w:lang w:val="en-GB"/>
        </w:rPr>
      </w:pPr>
      <w:r>
        <w:rPr>
          <w:rStyle w:val="FootnoteReference"/>
        </w:rPr>
        <w:footnoteRef/>
      </w:r>
      <w:r>
        <w:t xml:space="preserve"> AusPAR for Spikevax (elasomeran) Moderna Australia Pty Ltd, Submission PM-2021-02994-1-2. Available at: </w:t>
      </w:r>
      <w:hyperlink r:id="rId1" w:history="1">
        <w:r w:rsidRPr="006675F3">
          <w:rPr>
            <w:rStyle w:val="Hyperlink"/>
          </w:rPr>
          <w:t>https://www.tga.gov.au/auspar/auspar-elasomeran</w:t>
        </w:r>
      </w:hyperlink>
      <w:r w:rsidR="009A7D65">
        <w:t>.</w:t>
      </w:r>
    </w:p>
  </w:footnote>
  <w:footnote w:id="3">
    <w:p w14:paraId="2D6B5EFE" w14:textId="77777777" w:rsidR="00505F26" w:rsidRPr="008C1E85" w:rsidRDefault="00505F26" w:rsidP="00057C45">
      <w:pPr>
        <w:pStyle w:val="FootnoteText"/>
      </w:pPr>
      <w:r w:rsidRPr="008C1E85">
        <w:rPr>
          <w:rStyle w:val="FootnoteReference"/>
        </w:rPr>
        <w:footnoteRef/>
      </w:r>
      <w:r w:rsidRPr="008C1E85">
        <w:t xml:space="preserve"> As part of the </w:t>
      </w:r>
      <w:r w:rsidRPr="008C1E85">
        <w:rPr>
          <w:b/>
          <w:bCs/>
        </w:rPr>
        <w:t>provisional approval pathway</w:t>
      </w:r>
      <w:r w:rsidRPr="008C1E85">
        <w:t xml:space="preserve">, the provisional registration process will allow certain medicines to be provisionally registered in the Australian Register of Therapeutic Goods (ARTG) for a limited duration. These medicines are registered </w:t>
      </w:r>
      <w:proofErr w:type="gramStart"/>
      <w:r w:rsidRPr="008C1E85">
        <w:t>on the basis of</w:t>
      </w:r>
      <w:proofErr w:type="gramEnd"/>
      <w:r w:rsidRPr="008C1E85">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0B27FBE3" w14:textId="77777777" w:rsidR="00505F26" w:rsidRPr="008C1E85" w:rsidRDefault="00505F26" w:rsidP="00057C45">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4">
    <w:p w14:paraId="17F6DD21" w14:textId="77777777" w:rsidR="00505F26" w:rsidRPr="008C1E85" w:rsidRDefault="00505F26" w:rsidP="00057C45">
      <w:pPr>
        <w:pStyle w:val="FootnoteText"/>
      </w:pPr>
      <w:r w:rsidRPr="008C1E85">
        <w:rPr>
          <w:rStyle w:val="FootnoteReference"/>
        </w:rPr>
        <w:footnoteRef/>
      </w:r>
      <w:r w:rsidRPr="008C1E85">
        <w:t xml:space="preserve"> Tozinameran, the active ingredient in the Comirnaty COVID-19 Vaccine was previously registered in Australia and overseas by the provisional drug name BNT162b2. Both the International non-proprietary name (INN) and the Australian Approved Name (AAN) is accepted as being tozinameran, and it is therefore referred to as Comirnaty (tozinameran) COVID-19 vaccine throughout this AusPAR. This </w:t>
      </w:r>
      <w:proofErr w:type="gramStart"/>
      <w:r w:rsidRPr="008C1E85">
        <w:t>is in contrast to</w:t>
      </w:r>
      <w:proofErr w:type="gramEnd"/>
      <w:r w:rsidRPr="008C1E85">
        <w:t xml:space="preserve"> the use of BNT162b2 as the name of the active ingredient in earlier AusPARs. The change is in name only; the composition of the active ingredient is unchanged in any way.</w:t>
      </w:r>
    </w:p>
  </w:footnote>
  <w:footnote w:id="5">
    <w:p w14:paraId="748DEE29" w14:textId="77777777" w:rsidR="00505F26" w:rsidRPr="008C1E85" w:rsidRDefault="00505F26" w:rsidP="00057C45">
      <w:pPr>
        <w:pStyle w:val="FootnoteText"/>
      </w:pPr>
      <w:r w:rsidRPr="008C1E85">
        <w:rPr>
          <w:rStyle w:val="FootnoteReference"/>
        </w:rPr>
        <w:footnoteRef/>
      </w:r>
      <w:r w:rsidRPr="008C1E85">
        <w:t xml:space="preserve"> Comirnaty was first registered on the ARTG on 25 January 2021 (ARTG number: 346290).</w:t>
      </w:r>
    </w:p>
  </w:footnote>
  <w:footnote w:id="6">
    <w:p w14:paraId="03F69D6C" w14:textId="77777777" w:rsidR="00505F26" w:rsidRPr="008C1E85" w:rsidRDefault="00505F26" w:rsidP="00057C45">
      <w:pPr>
        <w:pStyle w:val="FootnoteText"/>
      </w:pPr>
      <w:r w:rsidRPr="008C1E85">
        <w:rPr>
          <w:rStyle w:val="FootnoteReference"/>
        </w:rPr>
        <w:footnoteRef/>
      </w:r>
      <w:r w:rsidRPr="008C1E85">
        <w:t xml:space="preserve"> AusPAR for Comirnaty (BNT162b2 (mRNA)) new biological entity, published on 25 January 2021. Available at: </w:t>
      </w:r>
      <w:hyperlink r:id="rId2" w:history="1">
        <w:r w:rsidRPr="008C1E85">
          <w:rPr>
            <w:rStyle w:val="Hyperlink"/>
          </w:rPr>
          <w:t>https://www.tga.gov.au/auspar/auspar-bnt162b2-mrna-comirnaty</w:t>
        </w:r>
      </w:hyperlink>
      <w:r w:rsidRPr="008C1E85">
        <w:rPr>
          <w:rStyle w:val="Hyperlink"/>
          <w:color w:val="000000" w:themeColor="text1"/>
          <w:u w:val="none"/>
        </w:rPr>
        <w:t>.</w:t>
      </w:r>
    </w:p>
  </w:footnote>
  <w:footnote w:id="7">
    <w:p w14:paraId="2701FBE5" w14:textId="77777777" w:rsidR="00505F26" w:rsidRPr="008C1E85" w:rsidRDefault="00505F26" w:rsidP="00057C45">
      <w:pPr>
        <w:pStyle w:val="FootnoteText"/>
      </w:pPr>
      <w:r w:rsidRPr="008C1E85">
        <w:rPr>
          <w:rStyle w:val="FootnoteReference"/>
        </w:rPr>
        <w:footnoteRef/>
      </w:r>
      <w:r w:rsidRPr="008C1E85">
        <w:t xml:space="preserve"> AusPAR for Comirnaty (BNT162b2 (mRNA)) extension of indications, published on 23 July 2021. Available at: </w:t>
      </w:r>
      <w:hyperlink r:id="rId3" w:history="1">
        <w:r w:rsidRPr="008C1E85">
          <w:rPr>
            <w:rStyle w:val="Hyperlink"/>
          </w:rPr>
          <w:t>https://www.tga.gov.au/auspar/auspar-bnt162b2-mrna</w:t>
        </w:r>
      </w:hyperlink>
      <w:r w:rsidRPr="008C1E85">
        <w:rPr>
          <w:rStyle w:val="Hyperlink"/>
          <w:color w:val="000000" w:themeColor="text1"/>
          <w:u w:val="none"/>
        </w:rPr>
        <w:t>.</w:t>
      </w:r>
    </w:p>
  </w:footnote>
  <w:footnote w:id="8">
    <w:p w14:paraId="12295ADC" w14:textId="77777777" w:rsidR="00505F26" w:rsidRPr="008C1E85" w:rsidRDefault="00505F26" w:rsidP="00057C45">
      <w:pPr>
        <w:pStyle w:val="FootnoteText"/>
      </w:pPr>
      <w:r w:rsidRPr="008C1E85">
        <w:rPr>
          <w:rStyle w:val="FootnoteReference"/>
        </w:rPr>
        <w:footnoteRef/>
      </w:r>
      <w:r w:rsidRPr="008C1E85">
        <w:t xml:space="preserve"> AusPAR for Comirnaty (tozinameran) extension of indications; change to formulation (excipients), published on 13 December 2021. Available at: </w:t>
      </w:r>
      <w:hyperlink r:id="rId4" w:history="1">
        <w:r w:rsidRPr="008C1E85">
          <w:rPr>
            <w:rStyle w:val="Hyperlink"/>
          </w:rPr>
          <w:t>https://www.tga.gov.au/auspar/auspar-tozinameran-mrna-covid-19-vaccine</w:t>
        </w:r>
      </w:hyperlink>
      <w:r w:rsidRPr="008C1E85">
        <w:rPr>
          <w:rStyle w:val="Hyperlink"/>
          <w:u w:val="none"/>
        </w:rPr>
        <w:t>.</w:t>
      </w:r>
    </w:p>
  </w:footnote>
  <w:footnote w:id="9">
    <w:p w14:paraId="578F5528" w14:textId="77777777" w:rsidR="00505F26" w:rsidRPr="008C1E85" w:rsidRDefault="00505F26" w:rsidP="00057C45">
      <w:pPr>
        <w:pStyle w:val="FootnoteText"/>
      </w:pPr>
      <w:r w:rsidRPr="008C1E85">
        <w:rPr>
          <w:rStyle w:val="FootnoteReference"/>
        </w:rPr>
        <w:footnoteRef/>
      </w:r>
      <w:r w:rsidRPr="008C1E85">
        <w:t xml:space="preserve"> COVID-19 Vaccine AstraZeneca was first registered on the ARTG on 16 February 2021 (ARTG number: 349072).</w:t>
      </w:r>
    </w:p>
  </w:footnote>
  <w:footnote w:id="10">
    <w:p w14:paraId="30C2B1F4" w14:textId="77777777" w:rsidR="00505F26" w:rsidRPr="008C1E85" w:rsidRDefault="00505F26" w:rsidP="00057C45">
      <w:pPr>
        <w:pStyle w:val="FootnoteText"/>
      </w:pPr>
      <w:r w:rsidRPr="008C1E85">
        <w:rPr>
          <w:rStyle w:val="FootnoteReference"/>
        </w:rPr>
        <w:footnoteRef/>
      </w:r>
      <w:r w:rsidRPr="008C1E85">
        <w:t xml:space="preserve"> AusPAR for COVID-19 Vaccine AstraZeneca (ChAdOx1-S) new biological entity, published on 16 February 2021. Available at: </w:t>
      </w:r>
      <w:hyperlink r:id="rId5" w:history="1">
        <w:r w:rsidRPr="008C1E85">
          <w:rPr>
            <w:rStyle w:val="Hyperlink"/>
          </w:rPr>
          <w:t>https://www.tga.gov.au/auspar/auspar-chadox1-s</w:t>
        </w:r>
      </w:hyperlink>
      <w:r w:rsidRPr="008C1E85">
        <w:rPr>
          <w:rStyle w:val="Hyperlink"/>
          <w:u w:val="none"/>
        </w:rPr>
        <w:t>.</w:t>
      </w:r>
    </w:p>
  </w:footnote>
  <w:footnote w:id="11">
    <w:p w14:paraId="3831AFFD" w14:textId="77777777" w:rsidR="00505F26" w:rsidRPr="008C1E85" w:rsidRDefault="00505F26" w:rsidP="00057C45">
      <w:pPr>
        <w:pStyle w:val="FootnoteText"/>
      </w:pPr>
      <w:r w:rsidRPr="008C1E85">
        <w:rPr>
          <w:rStyle w:val="FootnoteReference"/>
        </w:rPr>
        <w:footnoteRef/>
      </w:r>
      <w:r w:rsidRPr="008C1E85">
        <w:t xml:space="preserve"> COVID-19 Vaccine Janssen was first registered on the ARTG on 25 June 2021 (ARTG number: 350150).</w:t>
      </w:r>
    </w:p>
  </w:footnote>
  <w:footnote w:id="12">
    <w:p w14:paraId="65394849" w14:textId="77777777" w:rsidR="00505F26" w:rsidRPr="008C1E85" w:rsidRDefault="00505F26" w:rsidP="00057C45">
      <w:pPr>
        <w:pStyle w:val="FootnoteText"/>
      </w:pPr>
      <w:r w:rsidRPr="008C1E85">
        <w:rPr>
          <w:rStyle w:val="FootnoteReference"/>
        </w:rPr>
        <w:footnoteRef/>
      </w:r>
      <w:r w:rsidRPr="008C1E85">
        <w:t xml:space="preserve"> AusPAR for COVID-19 Vaccine Janssen (Ad26.COV</w:t>
      </w:r>
      <w:proofErr w:type="gramStart"/>
      <w:r w:rsidRPr="008C1E85">
        <w:t>2.S</w:t>
      </w:r>
      <w:proofErr w:type="gramEnd"/>
      <w:r w:rsidRPr="008C1E85">
        <w:t xml:space="preserve">) new biological entity, published on 25 June 2021. Available at: </w:t>
      </w:r>
      <w:hyperlink r:id="rId6" w:history="1">
        <w:r w:rsidRPr="008C1E85">
          <w:rPr>
            <w:rStyle w:val="Hyperlink"/>
          </w:rPr>
          <w:t>https://www.tga.gov.au/auspar/auspar-ad26cov2s</w:t>
        </w:r>
      </w:hyperlink>
      <w:r w:rsidRPr="008C1E85">
        <w:rPr>
          <w:rStyle w:val="Hyperlink"/>
          <w:color w:val="000000" w:themeColor="text1"/>
          <w:u w:val="none"/>
        </w:rPr>
        <w:t>.</w:t>
      </w:r>
    </w:p>
  </w:footnote>
  <w:footnote w:id="13">
    <w:p w14:paraId="61970E61" w14:textId="77777777" w:rsidR="00505F26" w:rsidRPr="008C1E85" w:rsidRDefault="00505F26" w:rsidP="00057C45">
      <w:pPr>
        <w:pStyle w:val="FootnoteText"/>
      </w:pPr>
      <w:r w:rsidRPr="008C1E85">
        <w:rPr>
          <w:rStyle w:val="FootnoteReference"/>
        </w:rPr>
        <w:footnoteRef/>
      </w:r>
      <w:r w:rsidRPr="008C1E85">
        <w:t xml:space="preserve"> Spikevax was first registered on the ARTG on 9 August 2021 (ARTG number: 370599).</w:t>
      </w:r>
    </w:p>
  </w:footnote>
  <w:footnote w:id="14">
    <w:p w14:paraId="7B0F94B9" w14:textId="77777777" w:rsidR="00505F26" w:rsidRPr="008C1E85" w:rsidRDefault="00505F26" w:rsidP="00057C45">
      <w:pPr>
        <w:pStyle w:val="FootnoteText"/>
      </w:pPr>
      <w:r w:rsidRPr="008C1E85">
        <w:rPr>
          <w:rStyle w:val="FootnoteReference"/>
        </w:rPr>
        <w:footnoteRef/>
      </w:r>
      <w:r w:rsidRPr="008C1E85">
        <w:t xml:space="preserve"> AusPAR for Spikevax (elasomeran) new biological entity, adult indication, published on 9 August 2021. Available at: </w:t>
      </w:r>
      <w:hyperlink r:id="rId7" w:history="1">
        <w:r w:rsidRPr="008C1E85">
          <w:rPr>
            <w:rStyle w:val="Hyperlink"/>
          </w:rPr>
          <w:t>https://www.tga.gov.au/auspar/auspar-elasomeran</w:t>
        </w:r>
      </w:hyperlink>
      <w:r w:rsidRPr="008C1E85">
        <w:rPr>
          <w:rStyle w:val="Hyperlink"/>
          <w:color w:val="000000" w:themeColor="text1"/>
          <w:u w:val="none"/>
        </w:rPr>
        <w:t>.</w:t>
      </w:r>
    </w:p>
  </w:footnote>
  <w:footnote w:id="15">
    <w:p w14:paraId="1FC97638" w14:textId="77777777" w:rsidR="00505F26" w:rsidRPr="008C1E85" w:rsidRDefault="00505F26" w:rsidP="00057C45">
      <w:pPr>
        <w:pStyle w:val="FootnoteText"/>
      </w:pPr>
      <w:r w:rsidRPr="008C1E85">
        <w:rPr>
          <w:rStyle w:val="FootnoteReference"/>
        </w:rPr>
        <w:footnoteRef/>
      </w:r>
      <w:r w:rsidRPr="008C1E85">
        <w:t xml:space="preserve"> AusPAR for Spikevax (elasomeran) new biological entity, paediatric indication, published on 4 September 2021. Available at: </w:t>
      </w:r>
      <w:hyperlink r:id="rId8" w:history="1">
        <w:r w:rsidRPr="008C1E85">
          <w:rPr>
            <w:rStyle w:val="Hyperlink"/>
          </w:rPr>
          <w:t>https://www.tga.gov.au/auspar/auspar-elasomeran-0</w:t>
        </w:r>
      </w:hyperlink>
      <w:r w:rsidRPr="008C1E85">
        <w:rPr>
          <w:rStyle w:val="Hyperlink"/>
          <w:color w:val="000000" w:themeColor="text1"/>
          <w:u w:val="none"/>
        </w:rPr>
        <w:t>.</w:t>
      </w:r>
    </w:p>
  </w:footnote>
  <w:footnote w:id="16">
    <w:p w14:paraId="53970109" w14:textId="1CC9FB10" w:rsidR="00505F26" w:rsidRDefault="00505F26">
      <w:pPr>
        <w:pStyle w:val="FootnoteText"/>
      </w:pPr>
      <w:r>
        <w:rPr>
          <w:rStyle w:val="FootnoteReference"/>
        </w:rPr>
        <w:footnoteRef/>
      </w:r>
      <w:r>
        <w:t xml:space="preserve"> </w:t>
      </w:r>
      <w:r w:rsidRPr="00A646B0">
        <w:t xml:space="preserve">AusPAR for Spikevax (elasomeran) </w:t>
      </w:r>
      <w:r>
        <w:t>e</w:t>
      </w:r>
      <w:r w:rsidRPr="00A646B0">
        <w:t xml:space="preserve">xtension of indications, published on 23 February 2022. Available at: </w:t>
      </w:r>
      <w:hyperlink r:id="rId9" w:history="1">
        <w:r w:rsidRPr="001D4685">
          <w:rPr>
            <w:rStyle w:val="Hyperlink"/>
          </w:rPr>
          <w:t>https://www.tga.gov.au/auspar/auspar-elasomeran-1</w:t>
        </w:r>
      </w:hyperlink>
      <w:r>
        <w:t>.</w:t>
      </w:r>
    </w:p>
  </w:footnote>
  <w:footnote w:id="17">
    <w:p w14:paraId="490591FE" w14:textId="5AEF13F2" w:rsidR="00505F26" w:rsidRDefault="00505F26">
      <w:pPr>
        <w:pStyle w:val="FootnoteText"/>
      </w:pPr>
      <w:r>
        <w:rPr>
          <w:rStyle w:val="FootnoteReference"/>
        </w:rPr>
        <w:footnoteRef/>
      </w:r>
      <w:r>
        <w:t xml:space="preserve"> </w:t>
      </w:r>
      <w:r w:rsidRPr="00A646B0">
        <w:t>Nuvaxovid</w:t>
      </w:r>
      <w:r>
        <w:t xml:space="preserve"> was first registered on the ARTG on </w:t>
      </w:r>
      <w:r w:rsidRPr="00A646B0">
        <w:t>20 January 2022</w:t>
      </w:r>
      <w:r>
        <w:t xml:space="preserve"> (ARTG number: </w:t>
      </w:r>
      <w:r w:rsidRPr="00A646B0">
        <w:t>355139</w:t>
      </w:r>
      <w:r>
        <w:t>).</w:t>
      </w:r>
    </w:p>
  </w:footnote>
  <w:footnote w:id="18">
    <w:p w14:paraId="34155D18" w14:textId="275B8E91" w:rsidR="00505F26" w:rsidRDefault="00505F26">
      <w:pPr>
        <w:pStyle w:val="FootnoteText"/>
      </w:pPr>
      <w:r>
        <w:rPr>
          <w:rStyle w:val="FootnoteReference"/>
        </w:rPr>
        <w:footnoteRef/>
      </w:r>
      <w:r>
        <w:t xml:space="preserve"> </w:t>
      </w:r>
      <w:r w:rsidRPr="001031B5">
        <w:t xml:space="preserve">AusPAR for </w:t>
      </w:r>
      <w:r w:rsidRPr="00A646B0">
        <w:t>Nuvaxovid</w:t>
      </w:r>
      <w:r>
        <w:t xml:space="preserve"> </w:t>
      </w:r>
      <w:r w:rsidRPr="001031B5">
        <w:t>(SARS-CoV-2 recombinant spike</w:t>
      </w:r>
      <w:r>
        <w:t xml:space="preserve"> protein</w:t>
      </w:r>
      <w:r w:rsidRPr="001031B5">
        <w:t xml:space="preserve"> with Matrix-M adjuvant) new biological entity, published on 21 January 2022. Available at</w:t>
      </w:r>
      <w:r>
        <w:t xml:space="preserve">: </w:t>
      </w:r>
      <w:hyperlink r:id="rId10" w:history="1">
        <w:r w:rsidRPr="001D4685">
          <w:rPr>
            <w:rStyle w:val="Hyperlink"/>
          </w:rPr>
          <w:t>https://www.tga.gov.au/auspar/auspar-sars-cov-2-rs-matrix-m-adjuvant</w:t>
        </w:r>
      </w:hyperlink>
      <w:r>
        <w:t>.</w:t>
      </w:r>
    </w:p>
  </w:footnote>
  <w:footnote w:id="19">
    <w:p w14:paraId="7FC76D63" w14:textId="1B0E223D" w:rsidR="00505F26" w:rsidRDefault="00505F26">
      <w:pPr>
        <w:pStyle w:val="FootnoteText"/>
      </w:pPr>
      <w:r>
        <w:rPr>
          <w:rStyle w:val="FootnoteReference"/>
        </w:rPr>
        <w:footnoteRef/>
      </w:r>
      <w:r>
        <w:t xml:space="preserve"> </w:t>
      </w:r>
      <w:r w:rsidRPr="00CC1E2B">
        <w:t>Food and Drug Administration (FDA), Development and Licensure of Vaccines to Prevent COVID-19, Guidance for Industry, June 2020.</w:t>
      </w:r>
    </w:p>
  </w:footnote>
  <w:footnote w:id="20">
    <w:p w14:paraId="14E4EABF" w14:textId="32A76522" w:rsidR="00505F26" w:rsidRDefault="00505F26">
      <w:pPr>
        <w:pStyle w:val="FootnoteText"/>
      </w:pPr>
      <w:r>
        <w:rPr>
          <w:rStyle w:val="FootnoteReference"/>
        </w:rPr>
        <w:footnoteRef/>
      </w:r>
      <w:r>
        <w:t xml:space="preserve"> </w:t>
      </w:r>
      <w:r w:rsidRPr="00F2117B">
        <w:t>Inclusion of this information is beyond the scope of the AusPAR.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4AFFB" w14:textId="77777777" w:rsidR="00505F26" w:rsidRDefault="00505F2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DA0FB" w14:textId="77777777" w:rsidR="00505F26" w:rsidRDefault="00505F26">
    <w:pPr>
      <w:rPr>
        <w:noProof/>
        <w:lang w:eastAsia="en-AU"/>
      </w:rPr>
    </w:pPr>
    <w:r w:rsidRPr="00347824">
      <w:rPr>
        <w:noProof/>
        <w:lang w:val="en-GB" w:eastAsia="en-GB"/>
      </w:rPr>
      <w:drawing>
        <wp:anchor distT="0" distB="0" distL="114300" distR="114300" simplePos="0" relativeHeight="251658240" behindDoc="1" locked="0" layoutInCell="1" allowOverlap="1" wp14:anchorId="0CC9E11C" wp14:editId="37CDA86B">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DB67" w14:textId="77777777" w:rsidR="00505F26" w:rsidRDefault="00505F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6689E" w14:textId="77777777" w:rsidR="00505F26" w:rsidRDefault="00505F2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1E83F" w14:textId="77777777" w:rsidR="00505F26" w:rsidRDefault="00505F2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C839D" w14:textId="77777777" w:rsidR="00505F26" w:rsidRDefault="00505F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17723" w14:textId="77777777" w:rsidR="00505F26" w:rsidRDefault="00505F2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83B88" w14:textId="77777777" w:rsidR="00505F26" w:rsidRDefault="00505F26" w:rsidP="006E08B3">
    <w:r>
      <w:t>Therapeutic Goods Administration</w:t>
    </w:r>
  </w:p>
  <w:p w14:paraId="62D09F27" w14:textId="77777777" w:rsidR="00505F26" w:rsidRDefault="00505F2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286207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ABACAEC"/>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A55EA96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4ED1741"/>
    <w:multiLevelType w:val="hybridMultilevel"/>
    <w:tmpl w:val="B2A85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8034AA"/>
    <w:multiLevelType w:val="hybridMultilevel"/>
    <w:tmpl w:val="1C64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04B3B1C"/>
    <w:multiLevelType w:val="hybridMultilevel"/>
    <w:tmpl w:val="7F6CDB40"/>
    <w:lvl w:ilvl="0" w:tplc="3FAAE4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55174"/>
    <w:multiLevelType w:val="hybridMultilevel"/>
    <w:tmpl w:val="4AAE5AD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168F13E9"/>
    <w:multiLevelType w:val="multilevel"/>
    <w:tmpl w:val="4260E6BE"/>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26A06FAC"/>
    <w:multiLevelType w:val="hybridMultilevel"/>
    <w:tmpl w:val="ED72DB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7B72D5"/>
    <w:multiLevelType w:val="hybridMultilevel"/>
    <w:tmpl w:val="3878B570"/>
    <w:lvl w:ilvl="0" w:tplc="3FAAE4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C12DE"/>
    <w:multiLevelType w:val="hybridMultilevel"/>
    <w:tmpl w:val="B4FA8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873AE1"/>
    <w:multiLevelType w:val="hybridMultilevel"/>
    <w:tmpl w:val="68945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89F66F7"/>
    <w:multiLevelType w:val="hybridMultilevel"/>
    <w:tmpl w:val="E2B26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B0D6C8B"/>
    <w:multiLevelType w:val="hybridMultilevel"/>
    <w:tmpl w:val="D2C2D6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12"/>
  </w:num>
  <w:num w:numId="5">
    <w:abstractNumId w:val="0"/>
  </w:num>
  <w:num w:numId="6">
    <w:abstractNumId w:val="12"/>
  </w:num>
  <w:num w:numId="7">
    <w:abstractNumId w:val="12"/>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8"/>
  </w:num>
  <w:num w:numId="17">
    <w:abstractNumId w:val="8"/>
  </w:num>
  <w:num w:numId="18">
    <w:abstractNumId w:val="8"/>
  </w:num>
  <w:num w:numId="19">
    <w:abstractNumId w:val="12"/>
  </w:num>
  <w:num w:numId="20">
    <w:abstractNumId w:val="12"/>
  </w:num>
  <w:num w:numId="21">
    <w:abstractNumId w:val="12"/>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22"/>
  </w:num>
  <w:num w:numId="29">
    <w:abstractNumId w:val="10"/>
  </w:num>
  <w:num w:numId="30">
    <w:abstractNumId w:val="14"/>
  </w:num>
  <w:num w:numId="31">
    <w:abstractNumId w:val="5"/>
  </w:num>
  <w:num w:numId="32">
    <w:abstractNumId w:val="20"/>
  </w:num>
  <w:num w:numId="33">
    <w:abstractNumId w:val="23"/>
  </w:num>
  <w:num w:numId="34">
    <w:abstractNumId w:val="4"/>
  </w:num>
  <w:num w:numId="35">
    <w:abstractNumId w:val="21"/>
  </w:num>
  <w:num w:numId="36">
    <w:abstractNumId w:val="13"/>
  </w:num>
  <w:num w:numId="37">
    <w:abstractNumId w:val="11"/>
  </w:num>
  <w:num w:numId="38">
    <w:abstractNumId w:val="17"/>
  </w:num>
  <w:num w:numId="39">
    <w:abstractNumId w:val="19"/>
  </w:num>
  <w:num w:numId="40">
    <w:abstractNumId w:val="15"/>
  </w:num>
  <w:num w:numId="41">
    <w:abstractNumId w:val="16"/>
  </w:num>
  <w:num w:numId="42">
    <w:abstractNumId w:val="6"/>
  </w:num>
  <w:num w:numId="43">
    <w:abstractNumId w:val="9"/>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ED3"/>
    <w:rsid w:val="00002031"/>
    <w:rsid w:val="00004734"/>
    <w:rsid w:val="00006B22"/>
    <w:rsid w:val="00006FAB"/>
    <w:rsid w:val="0001276A"/>
    <w:rsid w:val="0001773E"/>
    <w:rsid w:val="000246AE"/>
    <w:rsid w:val="00025C67"/>
    <w:rsid w:val="0003136D"/>
    <w:rsid w:val="00036695"/>
    <w:rsid w:val="00044772"/>
    <w:rsid w:val="0004541C"/>
    <w:rsid w:val="0005559E"/>
    <w:rsid w:val="00057C45"/>
    <w:rsid w:val="000604D6"/>
    <w:rsid w:val="000734D8"/>
    <w:rsid w:val="00077775"/>
    <w:rsid w:val="00090471"/>
    <w:rsid w:val="00096AA7"/>
    <w:rsid w:val="000A3AED"/>
    <w:rsid w:val="000B3532"/>
    <w:rsid w:val="000B3A75"/>
    <w:rsid w:val="000B3C17"/>
    <w:rsid w:val="000C00C2"/>
    <w:rsid w:val="000C690F"/>
    <w:rsid w:val="000D1295"/>
    <w:rsid w:val="000D391B"/>
    <w:rsid w:val="000D3D6D"/>
    <w:rsid w:val="000D4FC7"/>
    <w:rsid w:val="000E2486"/>
    <w:rsid w:val="000E6196"/>
    <w:rsid w:val="000F4869"/>
    <w:rsid w:val="000F5B42"/>
    <w:rsid w:val="000F6E6F"/>
    <w:rsid w:val="001031B5"/>
    <w:rsid w:val="0010601F"/>
    <w:rsid w:val="0010788A"/>
    <w:rsid w:val="00107A31"/>
    <w:rsid w:val="00110EA5"/>
    <w:rsid w:val="00112F56"/>
    <w:rsid w:val="00117C1F"/>
    <w:rsid w:val="00122C2E"/>
    <w:rsid w:val="00124ACD"/>
    <w:rsid w:val="00125318"/>
    <w:rsid w:val="00126FF9"/>
    <w:rsid w:val="001305A2"/>
    <w:rsid w:val="00133238"/>
    <w:rsid w:val="00133A1B"/>
    <w:rsid w:val="0014197B"/>
    <w:rsid w:val="001447CD"/>
    <w:rsid w:val="001465C0"/>
    <w:rsid w:val="001516B1"/>
    <w:rsid w:val="00152DD8"/>
    <w:rsid w:val="00154EBB"/>
    <w:rsid w:val="00156316"/>
    <w:rsid w:val="00157F6C"/>
    <w:rsid w:val="00161181"/>
    <w:rsid w:val="00161D56"/>
    <w:rsid w:val="00162D14"/>
    <w:rsid w:val="00163780"/>
    <w:rsid w:val="00165389"/>
    <w:rsid w:val="0017693F"/>
    <w:rsid w:val="0018110E"/>
    <w:rsid w:val="00181684"/>
    <w:rsid w:val="001843C6"/>
    <w:rsid w:val="001850E0"/>
    <w:rsid w:val="00185407"/>
    <w:rsid w:val="0018739D"/>
    <w:rsid w:val="0019535F"/>
    <w:rsid w:val="001A03AF"/>
    <w:rsid w:val="001A04C7"/>
    <w:rsid w:val="001A2158"/>
    <w:rsid w:val="001A525F"/>
    <w:rsid w:val="001A5A00"/>
    <w:rsid w:val="001A66B8"/>
    <w:rsid w:val="001B09F9"/>
    <w:rsid w:val="001B1DA4"/>
    <w:rsid w:val="001B27F1"/>
    <w:rsid w:val="001B5C90"/>
    <w:rsid w:val="001B6448"/>
    <w:rsid w:val="001B7AA2"/>
    <w:rsid w:val="001C32CD"/>
    <w:rsid w:val="001D2984"/>
    <w:rsid w:val="001D5A24"/>
    <w:rsid w:val="001E07CF"/>
    <w:rsid w:val="001E359E"/>
    <w:rsid w:val="001E59F1"/>
    <w:rsid w:val="001F2CEE"/>
    <w:rsid w:val="001F43C2"/>
    <w:rsid w:val="001F49EB"/>
    <w:rsid w:val="001F6CBA"/>
    <w:rsid w:val="00201D4E"/>
    <w:rsid w:val="00205B1B"/>
    <w:rsid w:val="00206AFA"/>
    <w:rsid w:val="002076C9"/>
    <w:rsid w:val="00220B8A"/>
    <w:rsid w:val="00224D7C"/>
    <w:rsid w:val="002257F3"/>
    <w:rsid w:val="002314EA"/>
    <w:rsid w:val="00232C52"/>
    <w:rsid w:val="00233456"/>
    <w:rsid w:val="002339A5"/>
    <w:rsid w:val="00250271"/>
    <w:rsid w:val="00250F35"/>
    <w:rsid w:val="00257848"/>
    <w:rsid w:val="002578E8"/>
    <w:rsid w:val="002639C0"/>
    <w:rsid w:val="0027084A"/>
    <w:rsid w:val="00271E85"/>
    <w:rsid w:val="00280265"/>
    <w:rsid w:val="00280768"/>
    <w:rsid w:val="00286434"/>
    <w:rsid w:val="00286C59"/>
    <w:rsid w:val="00291957"/>
    <w:rsid w:val="002942D1"/>
    <w:rsid w:val="0029501A"/>
    <w:rsid w:val="002A336F"/>
    <w:rsid w:val="002A3721"/>
    <w:rsid w:val="002B1638"/>
    <w:rsid w:val="002B3624"/>
    <w:rsid w:val="002C14FC"/>
    <w:rsid w:val="002D0952"/>
    <w:rsid w:val="002D0C8C"/>
    <w:rsid w:val="002E1875"/>
    <w:rsid w:val="002E40B3"/>
    <w:rsid w:val="002E4C9A"/>
    <w:rsid w:val="002F11F8"/>
    <w:rsid w:val="002F3F56"/>
    <w:rsid w:val="002F44B5"/>
    <w:rsid w:val="002F5122"/>
    <w:rsid w:val="00311AC0"/>
    <w:rsid w:val="003133DE"/>
    <w:rsid w:val="003142B0"/>
    <w:rsid w:val="003176FC"/>
    <w:rsid w:val="00324E45"/>
    <w:rsid w:val="0032583B"/>
    <w:rsid w:val="00327883"/>
    <w:rsid w:val="00332715"/>
    <w:rsid w:val="00335504"/>
    <w:rsid w:val="00336090"/>
    <w:rsid w:val="00340C18"/>
    <w:rsid w:val="003442FD"/>
    <w:rsid w:val="00347824"/>
    <w:rsid w:val="003479F8"/>
    <w:rsid w:val="00350567"/>
    <w:rsid w:val="003521E8"/>
    <w:rsid w:val="00367D36"/>
    <w:rsid w:val="00370CE3"/>
    <w:rsid w:val="003728F3"/>
    <w:rsid w:val="003735BC"/>
    <w:rsid w:val="0037496E"/>
    <w:rsid w:val="00383221"/>
    <w:rsid w:val="00386150"/>
    <w:rsid w:val="003874CE"/>
    <w:rsid w:val="00390900"/>
    <w:rsid w:val="003A7F6C"/>
    <w:rsid w:val="003B4D60"/>
    <w:rsid w:val="003B7E39"/>
    <w:rsid w:val="003C58DC"/>
    <w:rsid w:val="003D1E62"/>
    <w:rsid w:val="003D4134"/>
    <w:rsid w:val="003E0B99"/>
    <w:rsid w:val="003E2486"/>
    <w:rsid w:val="003E3208"/>
    <w:rsid w:val="003F0B04"/>
    <w:rsid w:val="003F277B"/>
    <w:rsid w:val="0040118E"/>
    <w:rsid w:val="0040134E"/>
    <w:rsid w:val="00404C84"/>
    <w:rsid w:val="004143AC"/>
    <w:rsid w:val="004334C7"/>
    <w:rsid w:val="00440A2D"/>
    <w:rsid w:val="00441C3F"/>
    <w:rsid w:val="0044440C"/>
    <w:rsid w:val="00444D1A"/>
    <w:rsid w:val="0045186A"/>
    <w:rsid w:val="00454BDC"/>
    <w:rsid w:val="004564A7"/>
    <w:rsid w:val="00456765"/>
    <w:rsid w:val="00460036"/>
    <w:rsid w:val="004617BF"/>
    <w:rsid w:val="00463658"/>
    <w:rsid w:val="004637A0"/>
    <w:rsid w:val="004722CC"/>
    <w:rsid w:val="0047648A"/>
    <w:rsid w:val="00480770"/>
    <w:rsid w:val="0048495F"/>
    <w:rsid w:val="00490483"/>
    <w:rsid w:val="004912FD"/>
    <w:rsid w:val="00491CF0"/>
    <w:rsid w:val="004936E4"/>
    <w:rsid w:val="00494E60"/>
    <w:rsid w:val="00497487"/>
    <w:rsid w:val="004A2771"/>
    <w:rsid w:val="004A4DD1"/>
    <w:rsid w:val="004A6189"/>
    <w:rsid w:val="004A7390"/>
    <w:rsid w:val="004B7B76"/>
    <w:rsid w:val="004C239D"/>
    <w:rsid w:val="004C2B1B"/>
    <w:rsid w:val="004C2DCA"/>
    <w:rsid w:val="004C4FBE"/>
    <w:rsid w:val="004C61D2"/>
    <w:rsid w:val="004C6ED3"/>
    <w:rsid w:val="004E4FD4"/>
    <w:rsid w:val="004E6770"/>
    <w:rsid w:val="004F0C4A"/>
    <w:rsid w:val="004F0F38"/>
    <w:rsid w:val="004F47D6"/>
    <w:rsid w:val="00500337"/>
    <w:rsid w:val="00501921"/>
    <w:rsid w:val="00504AE4"/>
    <w:rsid w:val="00504F93"/>
    <w:rsid w:val="00505417"/>
    <w:rsid w:val="0050561A"/>
    <w:rsid w:val="00505F26"/>
    <w:rsid w:val="00507D4B"/>
    <w:rsid w:val="0051317B"/>
    <w:rsid w:val="0052149B"/>
    <w:rsid w:val="0052152B"/>
    <w:rsid w:val="00522240"/>
    <w:rsid w:val="00523A21"/>
    <w:rsid w:val="00524DC2"/>
    <w:rsid w:val="00527A97"/>
    <w:rsid w:val="00530354"/>
    <w:rsid w:val="0053625B"/>
    <w:rsid w:val="005434C6"/>
    <w:rsid w:val="00543B39"/>
    <w:rsid w:val="00545CDB"/>
    <w:rsid w:val="00546154"/>
    <w:rsid w:val="00550096"/>
    <w:rsid w:val="00550FF8"/>
    <w:rsid w:val="00555280"/>
    <w:rsid w:val="00557FF9"/>
    <w:rsid w:val="00562327"/>
    <w:rsid w:val="005711D5"/>
    <w:rsid w:val="00576378"/>
    <w:rsid w:val="00577130"/>
    <w:rsid w:val="00577945"/>
    <w:rsid w:val="00577E38"/>
    <w:rsid w:val="00585322"/>
    <w:rsid w:val="005857C6"/>
    <w:rsid w:val="00592F6E"/>
    <w:rsid w:val="00593AD1"/>
    <w:rsid w:val="00596201"/>
    <w:rsid w:val="005A68B6"/>
    <w:rsid w:val="005A79F5"/>
    <w:rsid w:val="005C494B"/>
    <w:rsid w:val="005C5570"/>
    <w:rsid w:val="005C5B66"/>
    <w:rsid w:val="005C5D5D"/>
    <w:rsid w:val="005C79A4"/>
    <w:rsid w:val="005D5442"/>
    <w:rsid w:val="00603F32"/>
    <w:rsid w:val="00605AD4"/>
    <w:rsid w:val="006136D7"/>
    <w:rsid w:val="00625A6E"/>
    <w:rsid w:val="00630A6C"/>
    <w:rsid w:val="00631088"/>
    <w:rsid w:val="00632398"/>
    <w:rsid w:val="00640FC3"/>
    <w:rsid w:val="00642020"/>
    <w:rsid w:val="006430EE"/>
    <w:rsid w:val="00643CE5"/>
    <w:rsid w:val="0065337B"/>
    <w:rsid w:val="0065419D"/>
    <w:rsid w:val="006549BF"/>
    <w:rsid w:val="006603BC"/>
    <w:rsid w:val="006604D8"/>
    <w:rsid w:val="00664A5B"/>
    <w:rsid w:val="0066735C"/>
    <w:rsid w:val="00672162"/>
    <w:rsid w:val="00674FDE"/>
    <w:rsid w:val="00675767"/>
    <w:rsid w:val="006763D2"/>
    <w:rsid w:val="00680C08"/>
    <w:rsid w:val="00681D45"/>
    <w:rsid w:val="00682A34"/>
    <w:rsid w:val="00686056"/>
    <w:rsid w:val="006901BA"/>
    <w:rsid w:val="006916A0"/>
    <w:rsid w:val="006927CD"/>
    <w:rsid w:val="006931B1"/>
    <w:rsid w:val="006A15C0"/>
    <w:rsid w:val="006A58A8"/>
    <w:rsid w:val="006C3E2A"/>
    <w:rsid w:val="006C642F"/>
    <w:rsid w:val="006D03E5"/>
    <w:rsid w:val="006D220D"/>
    <w:rsid w:val="006D3496"/>
    <w:rsid w:val="006D5D3E"/>
    <w:rsid w:val="006E08B3"/>
    <w:rsid w:val="006E7D4A"/>
    <w:rsid w:val="006F17AC"/>
    <w:rsid w:val="006F25B8"/>
    <w:rsid w:val="006F572E"/>
    <w:rsid w:val="00700AB2"/>
    <w:rsid w:val="007046D6"/>
    <w:rsid w:val="00705DB0"/>
    <w:rsid w:val="0072292E"/>
    <w:rsid w:val="00722B57"/>
    <w:rsid w:val="00730F8A"/>
    <w:rsid w:val="00735A8C"/>
    <w:rsid w:val="0074163C"/>
    <w:rsid w:val="0074253D"/>
    <w:rsid w:val="00744121"/>
    <w:rsid w:val="0074429B"/>
    <w:rsid w:val="007515D2"/>
    <w:rsid w:val="007615BC"/>
    <w:rsid w:val="00762F05"/>
    <w:rsid w:val="007652FF"/>
    <w:rsid w:val="007703EF"/>
    <w:rsid w:val="00770CAC"/>
    <w:rsid w:val="00770EF1"/>
    <w:rsid w:val="0077131A"/>
    <w:rsid w:val="00773EF7"/>
    <w:rsid w:val="00774E1D"/>
    <w:rsid w:val="007765D8"/>
    <w:rsid w:val="0077675A"/>
    <w:rsid w:val="00780355"/>
    <w:rsid w:val="007819FD"/>
    <w:rsid w:val="00785717"/>
    <w:rsid w:val="00785721"/>
    <w:rsid w:val="00793A59"/>
    <w:rsid w:val="007A46F5"/>
    <w:rsid w:val="007A6505"/>
    <w:rsid w:val="007B1C46"/>
    <w:rsid w:val="007B4EC2"/>
    <w:rsid w:val="007B6132"/>
    <w:rsid w:val="007B6E9F"/>
    <w:rsid w:val="007C1216"/>
    <w:rsid w:val="007C1AF7"/>
    <w:rsid w:val="007C5AD6"/>
    <w:rsid w:val="007C6B9B"/>
    <w:rsid w:val="007D2966"/>
    <w:rsid w:val="007D53B6"/>
    <w:rsid w:val="007E1D3E"/>
    <w:rsid w:val="007E3CEB"/>
    <w:rsid w:val="00804D99"/>
    <w:rsid w:val="00805D27"/>
    <w:rsid w:val="00806DCB"/>
    <w:rsid w:val="008110BC"/>
    <w:rsid w:val="00821776"/>
    <w:rsid w:val="008321F5"/>
    <w:rsid w:val="00832369"/>
    <w:rsid w:val="008326B1"/>
    <w:rsid w:val="00833ED8"/>
    <w:rsid w:val="00834660"/>
    <w:rsid w:val="00835E52"/>
    <w:rsid w:val="00836BC2"/>
    <w:rsid w:val="0084036D"/>
    <w:rsid w:val="0085156D"/>
    <w:rsid w:val="00852B28"/>
    <w:rsid w:val="0085641B"/>
    <w:rsid w:val="00857136"/>
    <w:rsid w:val="008648FC"/>
    <w:rsid w:val="00865B03"/>
    <w:rsid w:val="00875A6B"/>
    <w:rsid w:val="00885B11"/>
    <w:rsid w:val="00886D15"/>
    <w:rsid w:val="00887DA6"/>
    <w:rsid w:val="00887DD8"/>
    <w:rsid w:val="00891BA9"/>
    <w:rsid w:val="00892974"/>
    <w:rsid w:val="0089498D"/>
    <w:rsid w:val="00896018"/>
    <w:rsid w:val="008960DD"/>
    <w:rsid w:val="0089635C"/>
    <w:rsid w:val="008A2B9D"/>
    <w:rsid w:val="008A3D9F"/>
    <w:rsid w:val="008A5E0B"/>
    <w:rsid w:val="008A6D59"/>
    <w:rsid w:val="008B3C59"/>
    <w:rsid w:val="008B4B03"/>
    <w:rsid w:val="008B596F"/>
    <w:rsid w:val="008C159F"/>
    <w:rsid w:val="008C1623"/>
    <w:rsid w:val="008C1850"/>
    <w:rsid w:val="008C51A9"/>
    <w:rsid w:val="008C58A3"/>
    <w:rsid w:val="008E7846"/>
    <w:rsid w:val="008F02E5"/>
    <w:rsid w:val="008F1CCC"/>
    <w:rsid w:val="008F2967"/>
    <w:rsid w:val="008F6943"/>
    <w:rsid w:val="00902A21"/>
    <w:rsid w:val="00907B09"/>
    <w:rsid w:val="0091523F"/>
    <w:rsid w:val="00920330"/>
    <w:rsid w:val="009219D7"/>
    <w:rsid w:val="00922D53"/>
    <w:rsid w:val="00923B70"/>
    <w:rsid w:val="00924482"/>
    <w:rsid w:val="00930237"/>
    <w:rsid w:val="00934046"/>
    <w:rsid w:val="00937C17"/>
    <w:rsid w:val="0094080D"/>
    <w:rsid w:val="00940A89"/>
    <w:rsid w:val="00941F77"/>
    <w:rsid w:val="00946EA5"/>
    <w:rsid w:val="00950358"/>
    <w:rsid w:val="009556D7"/>
    <w:rsid w:val="00960520"/>
    <w:rsid w:val="00963C08"/>
    <w:rsid w:val="0097361E"/>
    <w:rsid w:val="009752A5"/>
    <w:rsid w:val="0098585A"/>
    <w:rsid w:val="00990FFE"/>
    <w:rsid w:val="009A4CED"/>
    <w:rsid w:val="009A690D"/>
    <w:rsid w:val="009A7D65"/>
    <w:rsid w:val="009B1D12"/>
    <w:rsid w:val="009B416B"/>
    <w:rsid w:val="009C4BD5"/>
    <w:rsid w:val="009C7631"/>
    <w:rsid w:val="009D7B77"/>
    <w:rsid w:val="009E0BB0"/>
    <w:rsid w:val="009E2007"/>
    <w:rsid w:val="009E3FBB"/>
    <w:rsid w:val="009E5A87"/>
    <w:rsid w:val="009F2673"/>
    <w:rsid w:val="009F7353"/>
    <w:rsid w:val="00A01037"/>
    <w:rsid w:val="00A04F85"/>
    <w:rsid w:val="00A05FA4"/>
    <w:rsid w:val="00A102E4"/>
    <w:rsid w:val="00A1219C"/>
    <w:rsid w:val="00A12C42"/>
    <w:rsid w:val="00A14DF7"/>
    <w:rsid w:val="00A22D57"/>
    <w:rsid w:val="00A3246D"/>
    <w:rsid w:val="00A36FA7"/>
    <w:rsid w:val="00A44DDB"/>
    <w:rsid w:val="00A475B7"/>
    <w:rsid w:val="00A47938"/>
    <w:rsid w:val="00A47AF7"/>
    <w:rsid w:val="00A47C3E"/>
    <w:rsid w:val="00A50226"/>
    <w:rsid w:val="00A60BAD"/>
    <w:rsid w:val="00A646B0"/>
    <w:rsid w:val="00A77F87"/>
    <w:rsid w:val="00A80B5B"/>
    <w:rsid w:val="00A82644"/>
    <w:rsid w:val="00A84E36"/>
    <w:rsid w:val="00A90883"/>
    <w:rsid w:val="00A964D1"/>
    <w:rsid w:val="00AA0ED0"/>
    <w:rsid w:val="00AA25FD"/>
    <w:rsid w:val="00AB607A"/>
    <w:rsid w:val="00AC2B40"/>
    <w:rsid w:val="00AC2BB2"/>
    <w:rsid w:val="00AC2C3C"/>
    <w:rsid w:val="00AC3115"/>
    <w:rsid w:val="00AC512D"/>
    <w:rsid w:val="00AC60A1"/>
    <w:rsid w:val="00AD0083"/>
    <w:rsid w:val="00AD3935"/>
    <w:rsid w:val="00AE65EB"/>
    <w:rsid w:val="00AE67A7"/>
    <w:rsid w:val="00AF1D94"/>
    <w:rsid w:val="00AF2313"/>
    <w:rsid w:val="00AF60C5"/>
    <w:rsid w:val="00B009C6"/>
    <w:rsid w:val="00B01548"/>
    <w:rsid w:val="00B02EFB"/>
    <w:rsid w:val="00B130C5"/>
    <w:rsid w:val="00B13EBD"/>
    <w:rsid w:val="00B1406F"/>
    <w:rsid w:val="00B21D29"/>
    <w:rsid w:val="00B2461A"/>
    <w:rsid w:val="00B25034"/>
    <w:rsid w:val="00B33588"/>
    <w:rsid w:val="00B33863"/>
    <w:rsid w:val="00B37D17"/>
    <w:rsid w:val="00B4175E"/>
    <w:rsid w:val="00B41C85"/>
    <w:rsid w:val="00B452CE"/>
    <w:rsid w:val="00B54C25"/>
    <w:rsid w:val="00B60731"/>
    <w:rsid w:val="00B76B91"/>
    <w:rsid w:val="00B77EB1"/>
    <w:rsid w:val="00B811C6"/>
    <w:rsid w:val="00B855B0"/>
    <w:rsid w:val="00B92E08"/>
    <w:rsid w:val="00BA5DF0"/>
    <w:rsid w:val="00BB0B78"/>
    <w:rsid w:val="00BB53F4"/>
    <w:rsid w:val="00BB75D6"/>
    <w:rsid w:val="00BC01B8"/>
    <w:rsid w:val="00BC622A"/>
    <w:rsid w:val="00BD3227"/>
    <w:rsid w:val="00BE0A78"/>
    <w:rsid w:val="00BE6542"/>
    <w:rsid w:val="00BE72FB"/>
    <w:rsid w:val="00BE79F0"/>
    <w:rsid w:val="00BF046D"/>
    <w:rsid w:val="00BF1190"/>
    <w:rsid w:val="00BF3774"/>
    <w:rsid w:val="00BF5D04"/>
    <w:rsid w:val="00BF7063"/>
    <w:rsid w:val="00C009AA"/>
    <w:rsid w:val="00C03B77"/>
    <w:rsid w:val="00C041C1"/>
    <w:rsid w:val="00C1164D"/>
    <w:rsid w:val="00C14F80"/>
    <w:rsid w:val="00C157B1"/>
    <w:rsid w:val="00C16861"/>
    <w:rsid w:val="00C32995"/>
    <w:rsid w:val="00C34133"/>
    <w:rsid w:val="00C346AB"/>
    <w:rsid w:val="00C404A6"/>
    <w:rsid w:val="00C40A36"/>
    <w:rsid w:val="00C44419"/>
    <w:rsid w:val="00C45E7B"/>
    <w:rsid w:val="00C471B1"/>
    <w:rsid w:val="00C525A2"/>
    <w:rsid w:val="00C52E24"/>
    <w:rsid w:val="00C54BA8"/>
    <w:rsid w:val="00C61C38"/>
    <w:rsid w:val="00C6316B"/>
    <w:rsid w:val="00C634A9"/>
    <w:rsid w:val="00C64586"/>
    <w:rsid w:val="00C672E9"/>
    <w:rsid w:val="00C70A36"/>
    <w:rsid w:val="00C70D53"/>
    <w:rsid w:val="00C73D0B"/>
    <w:rsid w:val="00C74F5C"/>
    <w:rsid w:val="00C772FF"/>
    <w:rsid w:val="00C80137"/>
    <w:rsid w:val="00C801AF"/>
    <w:rsid w:val="00C80256"/>
    <w:rsid w:val="00C86284"/>
    <w:rsid w:val="00C94CD4"/>
    <w:rsid w:val="00C9747E"/>
    <w:rsid w:val="00CA1CA5"/>
    <w:rsid w:val="00CB4F7B"/>
    <w:rsid w:val="00CB6BC0"/>
    <w:rsid w:val="00CC0731"/>
    <w:rsid w:val="00CC1B7C"/>
    <w:rsid w:val="00CC1E2B"/>
    <w:rsid w:val="00CC5044"/>
    <w:rsid w:val="00CC727F"/>
    <w:rsid w:val="00CC7D8B"/>
    <w:rsid w:val="00CD4AF9"/>
    <w:rsid w:val="00CF15C3"/>
    <w:rsid w:val="00CF2B6F"/>
    <w:rsid w:val="00CF2F3E"/>
    <w:rsid w:val="00CF58B6"/>
    <w:rsid w:val="00CF5DAD"/>
    <w:rsid w:val="00D0062D"/>
    <w:rsid w:val="00D017ED"/>
    <w:rsid w:val="00D040D3"/>
    <w:rsid w:val="00D04C65"/>
    <w:rsid w:val="00D153D8"/>
    <w:rsid w:val="00D201D2"/>
    <w:rsid w:val="00D212F3"/>
    <w:rsid w:val="00D224FE"/>
    <w:rsid w:val="00D23139"/>
    <w:rsid w:val="00D25559"/>
    <w:rsid w:val="00D425BB"/>
    <w:rsid w:val="00D453FA"/>
    <w:rsid w:val="00D561B1"/>
    <w:rsid w:val="00D56348"/>
    <w:rsid w:val="00D6493E"/>
    <w:rsid w:val="00D7195D"/>
    <w:rsid w:val="00D72CBA"/>
    <w:rsid w:val="00D7301E"/>
    <w:rsid w:val="00D83AE1"/>
    <w:rsid w:val="00D854AC"/>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39D1"/>
    <w:rsid w:val="00DF09F0"/>
    <w:rsid w:val="00DF1D7F"/>
    <w:rsid w:val="00DF4BE4"/>
    <w:rsid w:val="00DF7C6F"/>
    <w:rsid w:val="00E02382"/>
    <w:rsid w:val="00E02FB4"/>
    <w:rsid w:val="00E127F9"/>
    <w:rsid w:val="00E131DF"/>
    <w:rsid w:val="00E13FC7"/>
    <w:rsid w:val="00E177B8"/>
    <w:rsid w:val="00E20571"/>
    <w:rsid w:val="00E235F7"/>
    <w:rsid w:val="00E23659"/>
    <w:rsid w:val="00E239D4"/>
    <w:rsid w:val="00E26130"/>
    <w:rsid w:val="00E32ABE"/>
    <w:rsid w:val="00E33D42"/>
    <w:rsid w:val="00E3405C"/>
    <w:rsid w:val="00E35657"/>
    <w:rsid w:val="00E36D40"/>
    <w:rsid w:val="00E40B22"/>
    <w:rsid w:val="00E44ED1"/>
    <w:rsid w:val="00E45526"/>
    <w:rsid w:val="00E45619"/>
    <w:rsid w:val="00E4588F"/>
    <w:rsid w:val="00E46DA3"/>
    <w:rsid w:val="00E51BB1"/>
    <w:rsid w:val="00E541C4"/>
    <w:rsid w:val="00E55CB0"/>
    <w:rsid w:val="00E572BE"/>
    <w:rsid w:val="00E624A5"/>
    <w:rsid w:val="00E62785"/>
    <w:rsid w:val="00E64BA4"/>
    <w:rsid w:val="00E7244E"/>
    <w:rsid w:val="00E7344E"/>
    <w:rsid w:val="00E82665"/>
    <w:rsid w:val="00EA2887"/>
    <w:rsid w:val="00EB0798"/>
    <w:rsid w:val="00EB36D6"/>
    <w:rsid w:val="00EB40AD"/>
    <w:rsid w:val="00EB586E"/>
    <w:rsid w:val="00EB5FC8"/>
    <w:rsid w:val="00EC3FBD"/>
    <w:rsid w:val="00EC463D"/>
    <w:rsid w:val="00EC7A85"/>
    <w:rsid w:val="00ED2922"/>
    <w:rsid w:val="00ED3CAD"/>
    <w:rsid w:val="00ED5A41"/>
    <w:rsid w:val="00EE1DE8"/>
    <w:rsid w:val="00EE27C2"/>
    <w:rsid w:val="00EE53F2"/>
    <w:rsid w:val="00EE5E07"/>
    <w:rsid w:val="00EF4BAD"/>
    <w:rsid w:val="00EF59DC"/>
    <w:rsid w:val="00EF7ED7"/>
    <w:rsid w:val="00F033EC"/>
    <w:rsid w:val="00F04F68"/>
    <w:rsid w:val="00F056E4"/>
    <w:rsid w:val="00F101A4"/>
    <w:rsid w:val="00F12670"/>
    <w:rsid w:val="00F14340"/>
    <w:rsid w:val="00F14B27"/>
    <w:rsid w:val="00F16173"/>
    <w:rsid w:val="00F2117B"/>
    <w:rsid w:val="00F3148D"/>
    <w:rsid w:val="00F325C5"/>
    <w:rsid w:val="00F32FE0"/>
    <w:rsid w:val="00F35298"/>
    <w:rsid w:val="00F47333"/>
    <w:rsid w:val="00F47E37"/>
    <w:rsid w:val="00F53C07"/>
    <w:rsid w:val="00F54B65"/>
    <w:rsid w:val="00F563B9"/>
    <w:rsid w:val="00F63DBF"/>
    <w:rsid w:val="00F640B6"/>
    <w:rsid w:val="00F66DF2"/>
    <w:rsid w:val="00F80E40"/>
    <w:rsid w:val="00F848D9"/>
    <w:rsid w:val="00F931CE"/>
    <w:rsid w:val="00FA4BBA"/>
    <w:rsid w:val="00FA5069"/>
    <w:rsid w:val="00FA5B82"/>
    <w:rsid w:val="00FA639E"/>
    <w:rsid w:val="00FC1FCA"/>
    <w:rsid w:val="00FC25E4"/>
    <w:rsid w:val="00FC4EF7"/>
    <w:rsid w:val="00FD0824"/>
    <w:rsid w:val="00FD119B"/>
    <w:rsid w:val="00FD1EDC"/>
    <w:rsid w:val="00FD5408"/>
    <w:rsid w:val="00FE1DEE"/>
    <w:rsid w:val="00FE309A"/>
    <w:rsid w:val="00FF2126"/>
    <w:rsid w:val="00FF549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5A8CB"/>
  <w15:docId w15:val="{C6C4A577-7069-4A0C-9542-4930518E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03B7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700AB2"/>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24"/>
      </w:numPr>
    </w:pPr>
  </w:style>
  <w:style w:type="paragraph" w:customStyle="1" w:styleId="Numberbullet2">
    <w:name w:val="Number bullet 2"/>
    <w:basedOn w:val="ListBullet2"/>
    <w:uiPriority w:val="3"/>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504F93"/>
    <w:pPr>
      <w:ind w:left="720"/>
      <w:contextualSpacing/>
    </w:pPr>
  </w:style>
  <w:style w:type="paragraph" w:customStyle="1" w:styleId="ListBullet-donotcross">
    <w:name w:val="List Bullet - do not (cross)"/>
    <w:basedOn w:val="ListBullet"/>
    <w:autoRedefine/>
    <w:uiPriority w:val="1"/>
    <w:qFormat/>
    <w:rsid w:val="00E541C4"/>
    <w:pPr>
      <w:numPr>
        <w:numId w:val="39"/>
      </w:numPr>
      <w:spacing w:after="180"/>
      <w:ind w:left="357" w:hanging="357"/>
    </w:pPr>
    <w:rPr>
      <w:rFonts w:eastAsiaTheme="minorHAnsi" w:cstheme="minorBidi"/>
    </w:rPr>
  </w:style>
  <w:style w:type="paragraph" w:customStyle="1" w:styleId="Standard">
    <w:name w:val="Standard"/>
    <w:basedOn w:val="Normal"/>
    <w:link w:val="StandardChar"/>
    <w:qFormat/>
    <w:rsid w:val="00AC60A1"/>
    <w:pPr>
      <w:spacing w:before="0" w:after="180" w:line="276" w:lineRule="auto"/>
    </w:pPr>
    <w:rPr>
      <w:rFonts w:eastAsia="Times New Roman"/>
      <w:snapToGrid w:val="0"/>
      <w:kern w:val="16"/>
      <w:szCs w:val="24"/>
    </w:rPr>
  </w:style>
  <w:style w:type="character" w:customStyle="1" w:styleId="StandardChar">
    <w:name w:val="Standard Char"/>
    <w:basedOn w:val="DefaultParagraphFont"/>
    <w:link w:val="Standard"/>
    <w:rsid w:val="00AC60A1"/>
    <w:rPr>
      <w:rFonts w:ascii="Cambria" w:eastAsia="Times New Roman" w:hAnsi="Cambria" w:cs="Times New Roman"/>
      <w:snapToGrid w:val="0"/>
      <w:kern w:val="16"/>
      <w:szCs w:val="24"/>
    </w:rPr>
  </w:style>
  <w:style w:type="paragraph" w:customStyle="1" w:styleId="TableText0">
    <w:name w:val="Table Text"/>
    <w:basedOn w:val="Normal"/>
    <w:next w:val="Normal"/>
    <w:rsid w:val="00AC60A1"/>
    <w:pPr>
      <w:spacing w:before="60" w:after="60" w:line="259" w:lineRule="auto"/>
    </w:pPr>
    <w:rPr>
      <w:rFonts w:asciiTheme="minorHAnsi" w:eastAsia="Times New Roman" w:hAnsiTheme="minorHAnsi"/>
      <w:sz w:val="18"/>
      <w:szCs w:val="20"/>
    </w:rPr>
  </w:style>
  <w:style w:type="paragraph" w:styleId="BodyText">
    <w:name w:val="Body Text"/>
    <w:basedOn w:val="Normal"/>
    <w:link w:val="BodyTextChar"/>
    <w:uiPriority w:val="1"/>
    <w:qFormat/>
    <w:rsid w:val="001D5A24"/>
    <w:pPr>
      <w:widowControl w:val="0"/>
      <w:spacing w:before="0" w:after="0" w:line="240" w:lineRule="auto"/>
      <w:ind w:left="100"/>
    </w:pPr>
    <w:rPr>
      <w:rFonts w:ascii="Times New Roman" w:eastAsia="Times New Roman" w:hAnsi="Times New Roman" w:cstheme="minorBidi"/>
      <w:sz w:val="24"/>
      <w:szCs w:val="24"/>
      <w:lang w:val="en-US"/>
    </w:rPr>
  </w:style>
  <w:style w:type="character" w:customStyle="1" w:styleId="BodyTextChar">
    <w:name w:val="Body Text Char"/>
    <w:basedOn w:val="DefaultParagraphFont"/>
    <w:link w:val="BodyText"/>
    <w:uiPriority w:val="1"/>
    <w:rsid w:val="001D5A24"/>
    <w:rPr>
      <w:rFonts w:ascii="Times New Roman" w:eastAsia="Times New Roman" w:hAnsi="Times New Roman"/>
      <w:sz w:val="24"/>
      <w:szCs w:val="24"/>
      <w:lang w:val="en-US"/>
    </w:rPr>
  </w:style>
  <w:style w:type="paragraph" w:customStyle="1" w:styleId="Default">
    <w:name w:val="Default"/>
    <w:rsid w:val="007B1C46"/>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Standard"/>
    <w:link w:val="BulletlistChar"/>
    <w:qFormat/>
    <w:rsid w:val="00157F6C"/>
    <w:pPr>
      <w:numPr>
        <w:numId w:val="44"/>
      </w:numPr>
      <w:spacing w:line="252" w:lineRule="auto"/>
      <w:ind w:left="426" w:hanging="284"/>
    </w:pPr>
    <w:rPr>
      <w:kern w:val="2"/>
      <w:sz w:val="23"/>
    </w:rPr>
  </w:style>
  <w:style w:type="character" w:customStyle="1" w:styleId="TabletextChar">
    <w:name w:val="Table text Char"/>
    <w:basedOn w:val="StandardChar"/>
    <w:link w:val="Tabletext"/>
    <w:rsid w:val="00157F6C"/>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157F6C"/>
    <w:rPr>
      <w:rFonts w:ascii="Cambria" w:eastAsia="Times New Roman" w:hAnsi="Cambria" w:cs="Times New Roman"/>
      <w:snapToGrid w:val="0"/>
      <w:kern w:val="2"/>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ga.copyright@tga.gov.au" TargetMode="External"/><Relationship Id="rId18" Type="http://schemas.openxmlformats.org/officeDocument/2006/relationships/hyperlink" Target="https://www.tga.gov.au/picmi-search-facility" TargetMode="External"/><Relationship Id="rId26" Type="http://schemas.openxmlformats.org/officeDocument/2006/relationships/image" Target="media/image9.png"/><Relationship Id="rId39" Type="http://schemas.openxmlformats.org/officeDocument/2006/relationships/hyperlink" Target="https://www.tga.gov.au"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8.png"/><Relationship Id="rId33" Type="http://schemas.openxmlformats.org/officeDocument/2006/relationships/hyperlink" Target="https://www.tga.gov.au/picmi-search-facility"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yperlink" Target="https://www.tga.gov.au/tgas-risk-management-approach"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7.png"/><Relationship Id="rId32" Type="http://schemas.openxmlformats.org/officeDocument/2006/relationships/hyperlink" Target="https://www.tga.gov.au/form/certified-product-details-cpd-biological-prescriptionmedicines" TargetMode="External"/><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www.tga.gov.au/publication/risk-management-plans-medicines-and-biologicals"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tga.gov.au/guidance-7-certified-product-detail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tga.gov.au/committee/advisory-committee-vaccines-acv" TargetMode="External"/><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elasomeran-0" TargetMode="External"/><Relationship Id="rId3" Type="http://schemas.openxmlformats.org/officeDocument/2006/relationships/hyperlink" Target="https://www.tga.gov.au/auspar/auspar-bnt162b2-mrna" TargetMode="External"/><Relationship Id="rId7" Type="http://schemas.openxmlformats.org/officeDocument/2006/relationships/hyperlink" Target="https://www.tga.gov.au/auspar/auspar-elasomeran" TargetMode="External"/><Relationship Id="rId2" Type="http://schemas.openxmlformats.org/officeDocument/2006/relationships/hyperlink" Target="https://www.tga.gov.au/auspar/auspar-bnt162b2-mrna-comirnaty" TargetMode="External"/><Relationship Id="rId1" Type="http://schemas.openxmlformats.org/officeDocument/2006/relationships/hyperlink" Target="https://www.tga.gov.au/auspar/auspar-elasomeran" TargetMode="External"/><Relationship Id="rId6" Type="http://schemas.openxmlformats.org/officeDocument/2006/relationships/hyperlink" Target="https://www.tga.gov.au/auspar/auspar-ad26cov2s" TargetMode="External"/><Relationship Id="rId5" Type="http://schemas.openxmlformats.org/officeDocument/2006/relationships/hyperlink" Target="https://www.tga.gov.au/auspar/auspar-chadox1-s" TargetMode="External"/><Relationship Id="rId10" Type="http://schemas.openxmlformats.org/officeDocument/2006/relationships/hyperlink" Target="https://www.tga.gov.au/auspar/auspar-sars-cov-2-rs-matrix-m-adjuvant" TargetMode="External"/><Relationship Id="rId4" Type="http://schemas.openxmlformats.org/officeDocument/2006/relationships/hyperlink" Target="https://www.tga.gov.au/auspar/auspar-tozinameran-mrna-covid-19-vaccine" TargetMode="External"/><Relationship Id="rId9" Type="http://schemas.openxmlformats.org/officeDocument/2006/relationships/hyperlink" Target="https://www.tga.gov.au/auspar/auspar-elasomeran-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e8e9ee1-c2e3-4952-8c38-c734ea004ddf">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478049D6F4B4408C09CDB7EF399612" ma:contentTypeVersion="6" ma:contentTypeDescription="Create a new document." ma:contentTypeScope="" ma:versionID="d6401d63c35a25716cef23dafbea2e3f">
  <xsd:schema xmlns:xsd="http://www.w3.org/2001/XMLSchema" xmlns:xs="http://www.w3.org/2001/XMLSchema" xmlns:p="http://schemas.microsoft.com/office/2006/metadata/properties" xmlns:ns2="fe8e9ee1-c2e3-4952-8c38-c734ea004ddf" xmlns:ns3="e75b8da0-2475-4e39-99e2-00680a850146" targetNamespace="http://schemas.microsoft.com/office/2006/metadata/properties" ma:root="true" ma:fieldsID="3df98d8d024c24262a452ea5b6f90bd5" ns2:_="" ns3:_="">
    <xsd:import namespace="fe8e9ee1-c2e3-4952-8c38-c734ea004ddf"/>
    <xsd:import namespace="e75b8da0-2475-4e39-99e2-00680a8501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9ee1-c2e3-4952-8c38-c734ea004d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b8da0-2475-4e39-99e2-00680a8501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AA46F7-B259-4BAB-86F9-550F93216AF4}">
  <ds:schemaRefs>
    <ds:schemaRef ds:uri="http://schemas.openxmlformats.org/officeDocument/2006/bibliography"/>
  </ds:schemaRefs>
</ds:datastoreItem>
</file>

<file path=customXml/itemProps2.xml><?xml version="1.0" encoding="utf-8"?>
<ds:datastoreItem xmlns:ds="http://schemas.openxmlformats.org/officeDocument/2006/customXml" ds:itemID="{E3B0F93B-4531-426A-8BDE-F604F55EF9D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e8e9ee1-c2e3-4952-8c38-c734ea004ddf"/>
    <ds:schemaRef ds:uri="http://purl.org/dc/terms/"/>
    <ds:schemaRef ds:uri="e75b8da0-2475-4e39-99e2-00680a850146"/>
    <ds:schemaRef ds:uri="http://www.w3.org/XML/1998/namespace"/>
    <ds:schemaRef ds:uri="http://purl.org/dc/dcmitype/"/>
  </ds:schemaRefs>
</ds:datastoreItem>
</file>

<file path=customXml/itemProps3.xml><?xml version="1.0" encoding="utf-8"?>
<ds:datastoreItem xmlns:ds="http://schemas.openxmlformats.org/officeDocument/2006/customXml" ds:itemID="{78D0261B-1048-45B2-9C3C-DC3F6AC1F200}">
  <ds:schemaRefs>
    <ds:schemaRef ds:uri="http://schemas.microsoft.com/sharepoint/v3/contenttype/forms"/>
  </ds:schemaRefs>
</ds:datastoreItem>
</file>

<file path=customXml/itemProps4.xml><?xml version="1.0" encoding="utf-8"?>
<ds:datastoreItem xmlns:ds="http://schemas.openxmlformats.org/officeDocument/2006/customXml" ds:itemID="{605D1FD9-BAC7-427C-B024-B21C2C787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9ee1-c2e3-4952-8c38-c734ea004ddf"/>
    <ds:schemaRef ds:uri="e75b8da0-2475-4e39-99e2-00680a850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9916</Words>
  <Characters>56524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66308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Elasomeran</dc:title>
  <dc:subject>prescription medicines</dc:subject>
  <dc:creator>Therapeutic Goods Administration</dc:creator>
  <cp:keywords/>
  <cp:lastModifiedBy>LACK, Janet</cp:lastModifiedBy>
  <cp:revision>2</cp:revision>
  <cp:lastPrinted>2022-07-18T23:14:00Z</cp:lastPrinted>
  <dcterms:created xsi:type="dcterms:W3CDTF">2022-08-04T06:14:00Z</dcterms:created>
  <dcterms:modified xsi:type="dcterms:W3CDTF">2022-08-04T06:14:00Z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0x010100A0478049D6F4B4408C09CDB7EF399612</vt:lpwstr>
  </property>
</Properties>
</file>