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04A58" w14:paraId="4BA1E724" w14:textId="77777777" w:rsidTr="00BF1190">
        <w:trPr>
          <w:trHeight w:val="1863"/>
        </w:trPr>
        <w:tc>
          <w:tcPr>
            <w:tcW w:w="3652" w:type="dxa"/>
            <w:tcBorders>
              <w:top w:val="nil"/>
              <w:left w:val="nil"/>
              <w:bottom w:val="nil"/>
              <w:right w:val="nil"/>
            </w:tcBorders>
          </w:tcPr>
          <w:p w14:paraId="4752B977" w14:textId="5CBCC0CA" w:rsidR="008E7846" w:rsidRPr="00404A58" w:rsidRDefault="00DF4356" w:rsidP="00F931CE">
            <w:pPr>
              <w:pStyle w:val="Date"/>
              <w:framePr w:hSpace="0" w:wrap="auto" w:vAnchor="margin" w:hAnchor="text" w:yAlign="inline"/>
              <w:suppressOverlap w:val="0"/>
            </w:pPr>
            <w:r>
              <w:t>August</w:t>
            </w:r>
            <w:r w:rsidR="005918DD" w:rsidRPr="00404A58">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404A58" w14:paraId="6A06DE86" w14:textId="77777777" w:rsidTr="0032583B">
        <w:trPr>
          <w:trHeight w:val="868"/>
        </w:trPr>
        <w:tc>
          <w:tcPr>
            <w:tcW w:w="9079" w:type="dxa"/>
          </w:tcPr>
          <w:p w14:paraId="1D2D32E9" w14:textId="272FC133" w:rsidR="0032583B" w:rsidRPr="00404A58" w:rsidRDefault="0032583B" w:rsidP="00F931CE">
            <w:pPr>
              <w:pStyle w:val="Title"/>
              <w:framePr w:hSpace="0" w:wrap="auto" w:vAnchor="margin" w:yAlign="inline"/>
            </w:pPr>
            <w:r w:rsidRPr="00404A58">
              <w:t>Australian Public Assessment Report for</w:t>
            </w:r>
            <w:r w:rsidR="00AF2313" w:rsidRPr="00404A58">
              <w:t xml:space="preserve"> </w:t>
            </w:r>
            <w:r w:rsidR="005918DD" w:rsidRPr="00404A58">
              <w:t>Brukinsa</w:t>
            </w:r>
          </w:p>
        </w:tc>
      </w:tr>
      <w:tr w:rsidR="0032583B" w:rsidRPr="00404A58" w14:paraId="4D453D85" w14:textId="77777777" w:rsidTr="0032583B">
        <w:tc>
          <w:tcPr>
            <w:tcW w:w="9079" w:type="dxa"/>
          </w:tcPr>
          <w:p w14:paraId="24939844" w14:textId="64D4D8AC" w:rsidR="0032583B" w:rsidRPr="00404A58" w:rsidRDefault="00BB75D6" w:rsidP="00F931CE">
            <w:pPr>
              <w:pStyle w:val="Subtitle"/>
              <w:framePr w:hSpace="0" w:wrap="auto" w:vAnchor="margin" w:yAlign="inline"/>
            </w:pPr>
            <w:r w:rsidRPr="00404A58">
              <w:t>Active ingredients</w:t>
            </w:r>
            <w:r w:rsidR="0032583B" w:rsidRPr="00404A58">
              <w:t xml:space="preserve">: </w:t>
            </w:r>
            <w:r w:rsidR="005918DD" w:rsidRPr="00404A58">
              <w:t>Zanubrutinib</w:t>
            </w:r>
          </w:p>
        </w:tc>
      </w:tr>
      <w:tr w:rsidR="0032583B" w:rsidRPr="00404A58" w14:paraId="239DB457" w14:textId="77777777" w:rsidTr="0032583B">
        <w:trPr>
          <w:trHeight w:val="486"/>
        </w:trPr>
        <w:tc>
          <w:tcPr>
            <w:tcW w:w="9079" w:type="dxa"/>
          </w:tcPr>
          <w:p w14:paraId="745608D4" w14:textId="2BBC4644" w:rsidR="0032583B" w:rsidRPr="00404A58" w:rsidRDefault="00460036" w:rsidP="009556D7">
            <w:pPr>
              <w:pStyle w:val="Subtitle"/>
              <w:framePr w:hSpace="0" w:wrap="auto" w:vAnchor="margin" w:yAlign="inline"/>
            </w:pPr>
            <w:r w:rsidRPr="00404A58">
              <w:t xml:space="preserve">Sponsor: </w:t>
            </w:r>
            <w:proofErr w:type="spellStart"/>
            <w:r w:rsidR="005918DD" w:rsidRPr="00404A58">
              <w:t>BeiGene</w:t>
            </w:r>
            <w:proofErr w:type="spellEnd"/>
            <w:r w:rsidR="005918DD" w:rsidRPr="00404A58">
              <w:t xml:space="preserve"> AUS Pty Ltd</w:t>
            </w:r>
          </w:p>
        </w:tc>
      </w:tr>
    </w:tbl>
    <w:p w14:paraId="741C22E0" w14:textId="77777777" w:rsidR="008E7846" w:rsidRPr="00404A58" w:rsidRDefault="008E7846" w:rsidP="0085156D">
      <w:r w:rsidRPr="00404A58">
        <w:br w:type="page"/>
      </w:r>
    </w:p>
    <w:p w14:paraId="7672F132" w14:textId="77777777" w:rsidR="008E7846" w:rsidRPr="00404A58" w:rsidRDefault="008E7846" w:rsidP="008E7846">
      <w:pPr>
        <w:pStyle w:val="NonTOCHeading2"/>
      </w:pPr>
      <w:r w:rsidRPr="00404A58">
        <w:lastRenderedPageBreak/>
        <w:t>About the Therapeutic Goods Administration (TGA)</w:t>
      </w:r>
    </w:p>
    <w:p w14:paraId="329BF4E4" w14:textId="77777777" w:rsidR="00AF2313" w:rsidRPr="00404A58" w:rsidRDefault="00AF2313" w:rsidP="00AF2313">
      <w:pPr>
        <w:pStyle w:val="ListBullet"/>
      </w:pPr>
      <w:r w:rsidRPr="00404A58">
        <w:t>The Therapeutic Goods Administration (TGA) is part of the Australian Government Department of Health and is responsible for regulating therapeutic goods, including medicines, medical devices, and biologicals.</w:t>
      </w:r>
    </w:p>
    <w:p w14:paraId="240E8DB2" w14:textId="77777777" w:rsidR="00AF2313" w:rsidRPr="00404A58" w:rsidRDefault="00AF2313" w:rsidP="00AF2313">
      <w:pPr>
        <w:pStyle w:val="ListBullet"/>
      </w:pPr>
      <w:r w:rsidRPr="00404A58">
        <w:t xml:space="preserve">The TGA administers the </w:t>
      </w:r>
      <w:r w:rsidRPr="00404A58">
        <w:rPr>
          <w:i/>
          <w:iCs/>
        </w:rPr>
        <w:t>Therapeutic Goods Act 1989</w:t>
      </w:r>
      <w:r w:rsidRPr="00404A58">
        <w:t xml:space="preserve"> (the Act), applying a risk management approach designed to ensure therapeutic goods supplied in Australia meet acceptable standards of quality, </w:t>
      </w:r>
      <w:r w:rsidR="00CC5044" w:rsidRPr="00404A58">
        <w:t>safety,</w:t>
      </w:r>
      <w:r w:rsidRPr="00404A58">
        <w:t xml:space="preserve"> and efficacy.</w:t>
      </w:r>
    </w:p>
    <w:p w14:paraId="5D5EA859" w14:textId="77777777" w:rsidR="00AF2313" w:rsidRPr="00404A58" w:rsidRDefault="00AF2313" w:rsidP="00AF2313">
      <w:pPr>
        <w:pStyle w:val="ListBullet"/>
      </w:pPr>
      <w:r w:rsidRPr="00404A58">
        <w:t>The work of the TGA is based on applying scientific and clinical expertise to decision-making, to ensure that the benefits to the Australian public outweigh any risks associated with the use of therapeutic goods.</w:t>
      </w:r>
    </w:p>
    <w:p w14:paraId="136D5180" w14:textId="77777777" w:rsidR="00AF2313" w:rsidRPr="00404A58" w:rsidRDefault="00AF2313" w:rsidP="00AF2313">
      <w:pPr>
        <w:pStyle w:val="ListBullet"/>
      </w:pPr>
      <w:r w:rsidRPr="00404A58">
        <w:t>The TGA relies on the public, healthcare professionals and industry to report problems with therapeutic goods. The TGA investigates reports received to determine any necessary regulatory action.</w:t>
      </w:r>
    </w:p>
    <w:p w14:paraId="63DC55F1" w14:textId="7ADAFB87" w:rsidR="00AF2313" w:rsidRPr="00404A58" w:rsidRDefault="00AF2313" w:rsidP="00AF2313">
      <w:pPr>
        <w:pStyle w:val="ListBullet"/>
      </w:pPr>
      <w:r w:rsidRPr="00404A58">
        <w:t xml:space="preserve">To report a problem with a therapeutic good, please see the information on the </w:t>
      </w:r>
      <w:hyperlink r:id="rId8" w:history="1">
        <w:r w:rsidRPr="00404A58">
          <w:rPr>
            <w:rStyle w:val="Hyperlink"/>
          </w:rPr>
          <w:t>TGA website</w:t>
        </w:r>
      </w:hyperlink>
      <w:r w:rsidRPr="00404A58">
        <w:t>.</w:t>
      </w:r>
    </w:p>
    <w:p w14:paraId="16D9F278" w14:textId="77777777" w:rsidR="008E7846" w:rsidRPr="00404A58" w:rsidRDefault="008E7846" w:rsidP="00875A6B">
      <w:pPr>
        <w:pStyle w:val="NonTOCHeading2"/>
      </w:pPr>
      <w:r w:rsidRPr="00404A58">
        <w:t xml:space="preserve">About </w:t>
      </w:r>
      <w:proofErr w:type="spellStart"/>
      <w:r w:rsidRPr="00404A58">
        <w:t>AusPARs</w:t>
      </w:r>
      <w:proofErr w:type="spellEnd"/>
    </w:p>
    <w:p w14:paraId="423798FF" w14:textId="3DF05B8F" w:rsidR="00AF2313" w:rsidRPr="00404A58" w:rsidRDefault="00AF2313" w:rsidP="00AF2313">
      <w:pPr>
        <w:pStyle w:val="ListBullet"/>
      </w:pPr>
      <w:r w:rsidRPr="00404A58">
        <w:t xml:space="preserve">The Australian Public Assessment Report (AusPAR) provides information about the evaluation of a prescription medicine and the considerations that led the TGA to approve or not approve a prescription medicine submission. Further information can be found in </w:t>
      </w:r>
      <w:hyperlink r:id="rId9" w:history="1">
        <w:r w:rsidRPr="00404A58">
          <w:rPr>
            <w:rStyle w:val="Hyperlink"/>
          </w:rPr>
          <w:t>Australian Public Assessment Report (AusPAR) guidance</w:t>
        </w:r>
      </w:hyperlink>
      <w:r w:rsidRPr="00404A58">
        <w:t>.</w:t>
      </w:r>
    </w:p>
    <w:p w14:paraId="69F53957" w14:textId="77777777" w:rsidR="00AF2313" w:rsidRPr="00404A58" w:rsidRDefault="00AF2313" w:rsidP="00AF2313">
      <w:pPr>
        <w:pStyle w:val="ListBullet"/>
      </w:pPr>
      <w:proofErr w:type="spellStart"/>
      <w:r w:rsidRPr="00404A58">
        <w:t>AusPARs</w:t>
      </w:r>
      <w:proofErr w:type="spellEnd"/>
      <w:r w:rsidRPr="00404A58">
        <w:t xml:space="preserve"> are prepared and published by the TGA.</w:t>
      </w:r>
    </w:p>
    <w:p w14:paraId="7FA59C1D" w14:textId="77777777" w:rsidR="00AF2313" w:rsidRPr="00404A58" w:rsidRDefault="00AF2313" w:rsidP="00AF2313">
      <w:pPr>
        <w:pStyle w:val="ListBullet"/>
      </w:pPr>
      <w:proofErr w:type="spellStart"/>
      <w:r w:rsidRPr="00404A58">
        <w:t>AusPARs</w:t>
      </w:r>
      <w:proofErr w:type="spellEnd"/>
      <w:r w:rsidRPr="00404A58">
        <w:t xml:space="preserve"> are static documents that provide information that relates to a submission at a particular point in time.</w:t>
      </w:r>
      <w:r w:rsidR="008110BC" w:rsidRPr="00404A58">
        <w:t xml:space="preserve"> The publication of an AusPAR is an important part of the transparency of the TGA’s decision-making process.</w:t>
      </w:r>
    </w:p>
    <w:p w14:paraId="0F62F8C1" w14:textId="77777777" w:rsidR="00AF2313" w:rsidRPr="00404A58" w:rsidRDefault="00AF2313" w:rsidP="00AF2313">
      <w:pPr>
        <w:pStyle w:val="ListBullet"/>
      </w:pPr>
      <w:r w:rsidRPr="00404A58">
        <w:t>A new AusPAR may be provided to reflect changes to indications or major variations to a prescription medicine subject to evaluation by the TGA.</w:t>
      </w:r>
    </w:p>
    <w:p w14:paraId="62EDAD19" w14:textId="77777777" w:rsidR="00924482" w:rsidRPr="00404A58" w:rsidRDefault="00924482" w:rsidP="00F54B65">
      <w:pPr>
        <w:pStyle w:val="LegalSubheading"/>
        <w:spacing w:before="3120"/>
      </w:pPr>
      <w:r w:rsidRPr="00404A58">
        <w:t>Copyright</w:t>
      </w:r>
    </w:p>
    <w:p w14:paraId="53167FA2" w14:textId="48F55DFB" w:rsidR="00924482" w:rsidRPr="00404A58" w:rsidRDefault="00924482" w:rsidP="00924482">
      <w:pPr>
        <w:pStyle w:val="LegalCopy"/>
      </w:pPr>
      <w:r w:rsidRPr="00404A58">
        <w:rPr>
          <w:rFonts w:cs="Arial"/>
          <w:lang w:val="en-GB"/>
        </w:rPr>
        <w:t>© Commonwealth of Australia 20</w:t>
      </w:r>
      <w:r w:rsidR="00460036" w:rsidRPr="00404A58">
        <w:rPr>
          <w:rFonts w:cs="Arial"/>
          <w:lang w:val="en-GB"/>
        </w:rPr>
        <w:t>2</w:t>
      </w:r>
      <w:r w:rsidR="00AF2313" w:rsidRPr="00404A58">
        <w:rPr>
          <w:rFonts w:cs="Arial"/>
          <w:lang w:val="en-GB"/>
        </w:rPr>
        <w:t>2</w:t>
      </w:r>
      <w:r w:rsidRPr="00404A58">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404A58">
        <w:rPr>
          <w:rFonts w:cs="Arial"/>
          <w:i/>
          <w:lang w:val="en-GB"/>
        </w:rPr>
        <w:t>Copyright Act 1968</w:t>
      </w:r>
      <w:r w:rsidRPr="00404A58">
        <w:rPr>
          <w:rFonts w:cs="Arial"/>
          <w:lang w:val="en-GB"/>
        </w:rPr>
        <w:t xml:space="preserve"> or allowed by this copyright notice, all other rights are </w:t>
      </w:r>
      <w:r w:rsidR="00EB36D6" w:rsidRPr="00404A58">
        <w:rPr>
          <w:rFonts w:cs="Arial"/>
          <w:lang w:val="en-GB"/>
        </w:rPr>
        <w:t>reserved,</w:t>
      </w:r>
      <w:r w:rsidRPr="00404A58">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404A58">
        <w:rPr>
          <w:rFonts w:cs="Arial"/>
          <w:lang w:val="en-GB"/>
        </w:rPr>
        <w:t>Woden</w:t>
      </w:r>
      <w:proofErr w:type="spellEnd"/>
      <w:r w:rsidRPr="00404A58">
        <w:rPr>
          <w:rFonts w:cs="Arial"/>
          <w:lang w:val="en-GB"/>
        </w:rPr>
        <w:t xml:space="preserve"> ACT 2606 or emailed to &lt;</w:t>
      </w:r>
      <w:hyperlink r:id="rId10" w:history="1">
        <w:r w:rsidRPr="00404A58">
          <w:rPr>
            <w:rStyle w:val="Hyperlink"/>
            <w:rFonts w:cs="Arial"/>
            <w:lang w:val="en-GB"/>
          </w:rPr>
          <w:t>tga.copyright@tga.gov.au</w:t>
        </w:r>
      </w:hyperlink>
      <w:r w:rsidRPr="00404A58">
        <w:rPr>
          <w:rFonts w:cs="Arial"/>
        </w:rPr>
        <w:t>&gt;.</w:t>
      </w:r>
    </w:p>
    <w:p w14:paraId="212B44BE" w14:textId="77777777" w:rsidR="00924482" w:rsidRPr="00404A58" w:rsidRDefault="00924482" w:rsidP="00924482">
      <w:pPr>
        <w:pStyle w:val="LegalCopy"/>
        <w:sectPr w:rsidR="00924482" w:rsidRPr="00404A58"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13F8ED2A" w14:textId="77777777" w:rsidR="0089635C" w:rsidRPr="00404A58" w:rsidRDefault="0089635C" w:rsidP="0010788A">
          <w:pPr>
            <w:pStyle w:val="Contents"/>
          </w:pPr>
          <w:r w:rsidRPr="00404A58">
            <w:t>Contents</w:t>
          </w:r>
        </w:p>
        <w:p w14:paraId="2D764AD6" w14:textId="7E62B66A" w:rsidR="00271F2E" w:rsidRDefault="00C525A2">
          <w:pPr>
            <w:pStyle w:val="TOC1"/>
            <w:rPr>
              <w:rFonts w:asciiTheme="minorHAnsi" w:eastAsiaTheme="minorEastAsia" w:hAnsiTheme="minorHAnsi" w:cstheme="minorBidi"/>
              <w:b w:val="0"/>
              <w:noProof/>
              <w:sz w:val="22"/>
              <w:lang w:eastAsia="en-AU"/>
            </w:rPr>
          </w:pPr>
          <w:r w:rsidRPr="00404A58">
            <w:fldChar w:fldCharType="begin"/>
          </w:r>
          <w:r w:rsidRPr="00404A58">
            <w:instrText xml:space="preserve"> TOC \h \z \t "Heading 2,1,Heading 3,2" </w:instrText>
          </w:r>
          <w:r w:rsidRPr="00404A58">
            <w:fldChar w:fldCharType="separate"/>
          </w:r>
          <w:hyperlink w:anchor="_Toc110965752" w:history="1">
            <w:r w:rsidR="00271F2E" w:rsidRPr="00765365">
              <w:rPr>
                <w:rStyle w:val="Hyperlink"/>
                <w:noProof/>
              </w:rPr>
              <w:t>List of abbreviations</w:t>
            </w:r>
            <w:r w:rsidR="00271F2E">
              <w:rPr>
                <w:noProof/>
                <w:webHidden/>
              </w:rPr>
              <w:tab/>
            </w:r>
            <w:r w:rsidR="00271F2E">
              <w:rPr>
                <w:noProof/>
                <w:webHidden/>
              </w:rPr>
              <w:fldChar w:fldCharType="begin"/>
            </w:r>
            <w:r w:rsidR="00271F2E">
              <w:rPr>
                <w:noProof/>
                <w:webHidden/>
              </w:rPr>
              <w:instrText xml:space="preserve"> PAGEREF _Toc110965752 \h </w:instrText>
            </w:r>
            <w:r w:rsidR="00271F2E">
              <w:rPr>
                <w:noProof/>
                <w:webHidden/>
              </w:rPr>
            </w:r>
            <w:r w:rsidR="00271F2E">
              <w:rPr>
                <w:noProof/>
                <w:webHidden/>
              </w:rPr>
              <w:fldChar w:fldCharType="separate"/>
            </w:r>
            <w:r w:rsidR="00271F2E">
              <w:rPr>
                <w:noProof/>
                <w:webHidden/>
              </w:rPr>
              <w:t>4</w:t>
            </w:r>
            <w:r w:rsidR="00271F2E">
              <w:rPr>
                <w:noProof/>
                <w:webHidden/>
              </w:rPr>
              <w:fldChar w:fldCharType="end"/>
            </w:r>
          </w:hyperlink>
        </w:p>
        <w:p w14:paraId="2E21C4D1" w14:textId="5B73B9C6" w:rsidR="00271F2E" w:rsidRDefault="004247C9">
          <w:pPr>
            <w:pStyle w:val="TOC1"/>
            <w:rPr>
              <w:rFonts w:asciiTheme="minorHAnsi" w:eastAsiaTheme="minorEastAsia" w:hAnsiTheme="minorHAnsi" w:cstheme="minorBidi"/>
              <w:b w:val="0"/>
              <w:noProof/>
              <w:sz w:val="22"/>
              <w:lang w:eastAsia="en-AU"/>
            </w:rPr>
          </w:pPr>
          <w:hyperlink w:anchor="_Toc110965753" w:history="1">
            <w:r w:rsidR="00271F2E" w:rsidRPr="00765365">
              <w:rPr>
                <w:rStyle w:val="Hyperlink"/>
                <w:noProof/>
              </w:rPr>
              <w:t>Product submission</w:t>
            </w:r>
            <w:r w:rsidR="00271F2E">
              <w:rPr>
                <w:noProof/>
                <w:webHidden/>
              </w:rPr>
              <w:tab/>
            </w:r>
            <w:r w:rsidR="00271F2E">
              <w:rPr>
                <w:noProof/>
                <w:webHidden/>
              </w:rPr>
              <w:fldChar w:fldCharType="begin"/>
            </w:r>
            <w:r w:rsidR="00271F2E">
              <w:rPr>
                <w:noProof/>
                <w:webHidden/>
              </w:rPr>
              <w:instrText xml:space="preserve"> PAGEREF _Toc110965753 \h </w:instrText>
            </w:r>
            <w:r w:rsidR="00271F2E">
              <w:rPr>
                <w:noProof/>
                <w:webHidden/>
              </w:rPr>
            </w:r>
            <w:r w:rsidR="00271F2E">
              <w:rPr>
                <w:noProof/>
                <w:webHidden/>
              </w:rPr>
              <w:fldChar w:fldCharType="separate"/>
            </w:r>
            <w:r w:rsidR="00271F2E">
              <w:rPr>
                <w:noProof/>
                <w:webHidden/>
              </w:rPr>
              <w:t>7</w:t>
            </w:r>
            <w:r w:rsidR="00271F2E">
              <w:rPr>
                <w:noProof/>
                <w:webHidden/>
              </w:rPr>
              <w:fldChar w:fldCharType="end"/>
            </w:r>
          </w:hyperlink>
        </w:p>
        <w:p w14:paraId="60884DEE" w14:textId="1D487161" w:rsidR="00271F2E" w:rsidRDefault="004247C9">
          <w:pPr>
            <w:pStyle w:val="TOC2"/>
            <w:rPr>
              <w:rFonts w:asciiTheme="minorHAnsi" w:eastAsiaTheme="minorEastAsia" w:hAnsiTheme="minorHAnsi" w:cstheme="minorBidi"/>
              <w:b w:val="0"/>
              <w:noProof/>
              <w:sz w:val="22"/>
              <w:lang w:eastAsia="en-AU"/>
            </w:rPr>
          </w:pPr>
          <w:hyperlink w:anchor="_Toc110965754" w:history="1">
            <w:r w:rsidR="00271F2E" w:rsidRPr="00765365">
              <w:rPr>
                <w:rStyle w:val="Hyperlink"/>
                <w:noProof/>
                <w:lang w:eastAsia="en-AU"/>
              </w:rPr>
              <w:t>Submission details</w:t>
            </w:r>
            <w:r w:rsidR="00271F2E">
              <w:rPr>
                <w:noProof/>
                <w:webHidden/>
              </w:rPr>
              <w:tab/>
            </w:r>
            <w:r w:rsidR="00271F2E">
              <w:rPr>
                <w:noProof/>
                <w:webHidden/>
              </w:rPr>
              <w:fldChar w:fldCharType="begin"/>
            </w:r>
            <w:r w:rsidR="00271F2E">
              <w:rPr>
                <w:noProof/>
                <w:webHidden/>
              </w:rPr>
              <w:instrText xml:space="preserve"> PAGEREF _Toc110965754 \h </w:instrText>
            </w:r>
            <w:r w:rsidR="00271F2E">
              <w:rPr>
                <w:noProof/>
                <w:webHidden/>
              </w:rPr>
            </w:r>
            <w:r w:rsidR="00271F2E">
              <w:rPr>
                <w:noProof/>
                <w:webHidden/>
              </w:rPr>
              <w:fldChar w:fldCharType="separate"/>
            </w:r>
            <w:r w:rsidR="00271F2E">
              <w:rPr>
                <w:noProof/>
                <w:webHidden/>
              </w:rPr>
              <w:t>7</w:t>
            </w:r>
            <w:r w:rsidR="00271F2E">
              <w:rPr>
                <w:noProof/>
                <w:webHidden/>
              </w:rPr>
              <w:fldChar w:fldCharType="end"/>
            </w:r>
          </w:hyperlink>
        </w:p>
        <w:p w14:paraId="682292A7" w14:textId="517FDD3E" w:rsidR="00271F2E" w:rsidRDefault="004247C9">
          <w:pPr>
            <w:pStyle w:val="TOC2"/>
            <w:rPr>
              <w:rFonts w:asciiTheme="minorHAnsi" w:eastAsiaTheme="minorEastAsia" w:hAnsiTheme="minorHAnsi" w:cstheme="minorBidi"/>
              <w:b w:val="0"/>
              <w:noProof/>
              <w:sz w:val="22"/>
              <w:lang w:eastAsia="en-AU"/>
            </w:rPr>
          </w:pPr>
          <w:hyperlink w:anchor="_Toc110965755" w:history="1">
            <w:r w:rsidR="00271F2E" w:rsidRPr="00765365">
              <w:rPr>
                <w:rStyle w:val="Hyperlink"/>
                <w:noProof/>
              </w:rPr>
              <w:t>Product background</w:t>
            </w:r>
            <w:r w:rsidR="00271F2E">
              <w:rPr>
                <w:noProof/>
                <w:webHidden/>
              </w:rPr>
              <w:tab/>
            </w:r>
            <w:r w:rsidR="00271F2E">
              <w:rPr>
                <w:noProof/>
                <w:webHidden/>
              </w:rPr>
              <w:fldChar w:fldCharType="begin"/>
            </w:r>
            <w:r w:rsidR="00271F2E">
              <w:rPr>
                <w:noProof/>
                <w:webHidden/>
              </w:rPr>
              <w:instrText xml:space="preserve"> PAGEREF _Toc110965755 \h </w:instrText>
            </w:r>
            <w:r w:rsidR="00271F2E">
              <w:rPr>
                <w:noProof/>
                <w:webHidden/>
              </w:rPr>
            </w:r>
            <w:r w:rsidR="00271F2E">
              <w:rPr>
                <w:noProof/>
                <w:webHidden/>
              </w:rPr>
              <w:fldChar w:fldCharType="separate"/>
            </w:r>
            <w:r w:rsidR="00271F2E">
              <w:rPr>
                <w:noProof/>
                <w:webHidden/>
              </w:rPr>
              <w:t>8</w:t>
            </w:r>
            <w:r w:rsidR="00271F2E">
              <w:rPr>
                <w:noProof/>
                <w:webHidden/>
              </w:rPr>
              <w:fldChar w:fldCharType="end"/>
            </w:r>
          </w:hyperlink>
        </w:p>
        <w:p w14:paraId="1160FFCA" w14:textId="3295ED79" w:rsidR="00271F2E" w:rsidRDefault="004247C9">
          <w:pPr>
            <w:pStyle w:val="TOC2"/>
            <w:rPr>
              <w:rFonts w:asciiTheme="minorHAnsi" w:eastAsiaTheme="minorEastAsia" w:hAnsiTheme="minorHAnsi" w:cstheme="minorBidi"/>
              <w:b w:val="0"/>
              <w:noProof/>
              <w:sz w:val="22"/>
              <w:lang w:eastAsia="en-AU"/>
            </w:rPr>
          </w:pPr>
          <w:hyperlink w:anchor="_Toc110965756" w:history="1">
            <w:r w:rsidR="00271F2E" w:rsidRPr="00765365">
              <w:rPr>
                <w:rStyle w:val="Hyperlink"/>
                <w:noProof/>
              </w:rPr>
              <w:t>Regulatory status</w:t>
            </w:r>
            <w:r w:rsidR="00271F2E">
              <w:rPr>
                <w:noProof/>
                <w:webHidden/>
              </w:rPr>
              <w:tab/>
            </w:r>
            <w:r w:rsidR="00271F2E">
              <w:rPr>
                <w:noProof/>
                <w:webHidden/>
              </w:rPr>
              <w:fldChar w:fldCharType="begin"/>
            </w:r>
            <w:r w:rsidR="00271F2E">
              <w:rPr>
                <w:noProof/>
                <w:webHidden/>
              </w:rPr>
              <w:instrText xml:space="preserve"> PAGEREF _Toc110965756 \h </w:instrText>
            </w:r>
            <w:r w:rsidR="00271F2E">
              <w:rPr>
                <w:noProof/>
                <w:webHidden/>
              </w:rPr>
            </w:r>
            <w:r w:rsidR="00271F2E">
              <w:rPr>
                <w:noProof/>
                <w:webHidden/>
              </w:rPr>
              <w:fldChar w:fldCharType="separate"/>
            </w:r>
            <w:r w:rsidR="00271F2E">
              <w:rPr>
                <w:noProof/>
                <w:webHidden/>
              </w:rPr>
              <w:t>10</w:t>
            </w:r>
            <w:r w:rsidR="00271F2E">
              <w:rPr>
                <w:noProof/>
                <w:webHidden/>
              </w:rPr>
              <w:fldChar w:fldCharType="end"/>
            </w:r>
          </w:hyperlink>
        </w:p>
        <w:p w14:paraId="5141AA2B" w14:textId="1FE64EB1" w:rsidR="00271F2E" w:rsidRDefault="004247C9">
          <w:pPr>
            <w:pStyle w:val="TOC2"/>
            <w:rPr>
              <w:rFonts w:asciiTheme="minorHAnsi" w:eastAsiaTheme="minorEastAsia" w:hAnsiTheme="minorHAnsi" w:cstheme="minorBidi"/>
              <w:b w:val="0"/>
              <w:noProof/>
              <w:sz w:val="22"/>
              <w:lang w:eastAsia="en-AU"/>
            </w:rPr>
          </w:pPr>
          <w:hyperlink w:anchor="_Toc110965757" w:history="1">
            <w:r w:rsidR="00271F2E" w:rsidRPr="00765365">
              <w:rPr>
                <w:rStyle w:val="Hyperlink"/>
                <w:noProof/>
              </w:rPr>
              <w:t>Product Information</w:t>
            </w:r>
            <w:r w:rsidR="00271F2E">
              <w:rPr>
                <w:noProof/>
                <w:webHidden/>
              </w:rPr>
              <w:tab/>
            </w:r>
            <w:r w:rsidR="00271F2E">
              <w:rPr>
                <w:noProof/>
                <w:webHidden/>
              </w:rPr>
              <w:fldChar w:fldCharType="begin"/>
            </w:r>
            <w:r w:rsidR="00271F2E">
              <w:rPr>
                <w:noProof/>
                <w:webHidden/>
              </w:rPr>
              <w:instrText xml:space="preserve"> PAGEREF _Toc110965757 \h </w:instrText>
            </w:r>
            <w:r w:rsidR="00271F2E">
              <w:rPr>
                <w:noProof/>
                <w:webHidden/>
              </w:rPr>
            </w:r>
            <w:r w:rsidR="00271F2E">
              <w:rPr>
                <w:noProof/>
                <w:webHidden/>
              </w:rPr>
              <w:fldChar w:fldCharType="separate"/>
            </w:r>
            <w:r w:rsidR="00271F2E">
              <w:rPr>
                <w:noProof/>
                <w:webHidden/>
              </w:rPr>
              <w:t>10</w:t>
            </w:r>
            <w:r w:rsidR="00271F2E">
              <w:rPr>
                <w:noProof/>
                <w:webHidden/>
              </w:rPr>
              <w:fldChar w:fldCharType="end"/>
            </w:r>
          </w:hyperlink>
        </w:p>
        <w:p w14:paraId="5F2A1FE4" w14:textId="6826BDE9" w:rsidR="00271F2E" w:rsidRDefault="004247C9">
          <w:pPr>
            <w:pStyle w:val="TOC1"/>
            <w:rPr>
              <w:rFonts w:asciiTheme="minorHAnsi" w:eastAsiaTheme="minorEastAsia" w:hAnsiTheme="minorHAnsi" w:cstheme="minorBidi"/>
              <w:b w:val="0"/>
              <w:noProof/>
              <w:sz w:val="22"/>
              <w:lang w:eastAsia="en-AU"/>
            </w:rPr>
          </w:pPr>
          <w:hyperlink w:anchor="_Toc110965758" w:history="1">
            <w:r w:rsidR="00271F2E" w:rsidRPr="00765365">
              <w:rPr>
                <w:rStyle w:val="Hyperlink"/>
                <w:noProof/>
              </w:rPr>
              <w:t>Registration timeline</w:t>
            </w:r>
            <w:r w:rsidR="00271F2E">
              <w:rPr>
                <w:noProof/>
                <w:webHidden/>
              </w:rPr>
              <w:tab/>
            </w:r>
            <w:r w:rsidR="00271F2E">
              <w:rPr>
                <w:noProof/>
                <w:webHidden/>
              </w:rPr>
              <w:fldChar w:fldCharType="begin"/>
            </w:r>
            <w:r w:rsidR="00271F2E">
              <w:rPr>
                <w:noProof/>
                <w:webHidden/>
              </w:rPr>
              <w:instrText xml:space="preserve"> PAGEREF _Toc110965758 \h </w:instrText>
            </w:r>
            <w:r w:rsidR="00271F2E">
              <w:rPr>
                <w:noProof/>
                <w:webHidden/>
              </w:rPr>
            </w:r>
            <w:r w:rsidR="00271F2E">
              <w:rPr>
                <w:noProof/>
                <w:webHidden/>
              </w:rPr>
              <w:fldChar w:fldCharType="separate"/>
            </w:r>
            <w:r w:rsidR="00271F2E">
              <w:rPr>
                <w:noProof/>
                <w:webHidden/>
              </w:rPr>
              <w:t>11</w:t>
            </w:r>
            <w:r w:rsidR="00271F2E">
              <w:rPr>
                <w:noProof/>
                <w:webHidden/>
              </w:rPr>
              <w:fldChar w:fldCharType="end"/>
            </w:r>
          </w:hyperlink>
        </w:p>
        <w:p w14:paraId="6E1659B9" w14:textId="7E76D3CD" w:rsidR="00271F2E" w:rsidRDefault="004247C9">
          <w:pPr>
            <w:pStyle w:val="TOC1"/>
            <w:rPr>
              <w:rFonts w:asciiTheme="minorHAnsi" w:eastAsiaTheme="minorEastAsia" w:hAnsiTheme="minorHAnsi" w:cstheme="minorBidi"/>
              <w:b w:val="0"/>
              <w:noProof/>
              <w:sz w:val="22"/>
              <w:lang w:eastAsia="en-AU"/>
            </w:rPr>
          </w:pPr>
          <w:hyperlink w:anchor="_Toc110965759" w:history="1">
            <w:r w:rsidR="00271F2E" w:rsidRPr="00765365">
              <w:rPr>
                <w:rStyle w:val="Hyperlink"/>
                <w:noProof/>
              </w:rPr>
              <w:t>Submission overview and risk/benefit assessment</w:t>
            </w:r>
            <w:r w:rsidR="00271F2E">
              <w:rPr>
                <w:noProof/>
                <w:webHidden/>
              </w:rPr>
              <w:tab/>
            </w:r>
            <w:r w:rsidR="00271F2E">
              <w:rPr>
                <w:noProof/>
                <w:webHidden/>
              </w:rPr>
              <w:fldChar w:fldCharType="begin"/>
            </w:r>
            <w:r w:rsidR="00271F2E">
              <w:rPr>
                <w:noProof/>
                <w:webHidden/>
              </w:rPr>
              <w:instrText xml:space="preserve"> PAGEREF _Toc110965759 \h </w:instrText>
            </w:r>
            <w:r w:rsidR="00271F2E">
              <w:rPr>
                <w:noProof/>
                <w:webHidden/>
              </w:rPr>
            </w:r>
            <w:r w:rsidR="00271F2E">
              <w:rPr>
                <w:noProof/>
                <w:webHidden/>
              </w:rPr>
              <w:fldChar w:fldCharType="separate"/>
            </w:r>
            <w:r w:rsidR="00271F2E">
              <w:rPr>
                <w:noProof/>
                <w:webHidden/>
              </w:rPr>
              <w:t>11</w:t>
            </w:r>
            <w:r w:rsidR="00271F2E">
              <w:rPr>
                <w:noProof/>
                <w:webHidden/>
              </w:rPr>
              <w:fldChar w:fldCharType="end"/>
            </w:r>
          </w:hyperlink>
        </w:p>
        <w:p w14:paraId="6A7CFDA0" w14:textId="391D8187" w:rsidR="00271F2E" w:rsidRDefault="004247C9">
          <w:pPr>
            <w:pStyle w:val="TOC2"/>
            <w:rPr>
              <w:rFonts w:asciiTheme="minorHAnsi" w:eastAsiaTheme="minorEastAsia" w:hAnsiTheme="minorHAnsi" w:cstheme="minorBidi"/>
              <w:b w:val="0"/>
              <w:noProof/>
              <w:sz w:val="22"/>
              <w:lang w:eastAsia="en-AU"/>
            </w:rPr>
          </w:pPr>
          <w:hyperlink w:anchor="_Toc110965760" w:history="1">
            <w:r w:rsidR="00271F2E" w:rsidRPr="00765365">
              <w:rPr>
                <w:rStyle w:val="Hyperlink"/>
                <w:noProof/>
              </w:rPr>
              <w:t>Quality</w:t>
            </w:r>
            <w:r w:rsidR="00271F2E">
              <w:rPr>
                <w:noProof/>
                <w:webHidden/>
              </w:rPr>
              <w:tab/>
            </w:r>
            <w:r w:rsidR="00271F2E">
              <w:rPr>
                <w:noProof/>
                <w:webHidden/>
              </w:rPr>
              <w:fldChar w:fldCharType="begin"/>
            </w:r>
            <w:r w:rsidR="00271F2E">
              <w:rPr>
                <w:noProof/>
                <w:webHidden/>
              </w:rPr>
              <w:instrText xml:space="preserve"> PAGEREF _Toc110965760 \h </w:instrText>
            </w:r>
            <w:r w:rsidR="00271F2E">
              <w:rPr>
                <w:noProof/>
                <w:webHidden/>
              </w:rPr>
            </w:r>
            <w:r w:rsidR="00271F2E">
              <w:rPr>
                <w:noProof/>
                <w:webHidden/>
              </w:rPr>
              <w:fldChar w:fldCharType="separate"/>
            </w:r>
            <w:r w:rsidR="00271F2E">
              <w:rPr>
                <w:noProof/>
                <w:webHidden/>
              </w:rPr>
              <w:t>12</w:t>
            </w:r>
            <w:r w:rsidR="00271F2E">
              <w:rPr>
                <w:noProof/>
                <w:webHidden/>
              </w:rPr>
              <w:fldChar w:fldCharType="end"/>
            </w:r>
          </w:hyperlink>
        </w:p>
        <w:p w14:paraId="581AC0DC" w14:textId="6FE72037" w:rsidR="00271F2E" w:rsidRDefault="004247C9">
          <w:pPr>
            <w:pStyle w:val="TOC2"/>
            <w:rPr>
              <w:rFonts w:asciiTheme="minorHAnsi" w:eastAsiaTheme="minorEastAsia" w:hAnsiTheme="minorHAnsi" w:cstheme="minorBidi"/>
              <w:b w:val="0"/>
              <w:noProof/>
              <w:sz w:val="22"/>
              <w:lang w:eastAsia="en-AU"/>
            </w:rPr>
          </w:pPr>
          <w:hyperlink w:anchor="_Toc110965761" w:history="1">
            <w:r w:rsidR="00271F2E" w:rsidRPr="00765365">
              <w:rPr>
                <w:rStyle w:val="Hyperlink"/>
                <w:noProof/>
              </w:rPr>
              <w:t>Nonclinical</w:t>
            </w:r>
            <w:r w:rsidR="00271F2E">
              <w:rPr>
                <w:noProof/>
                <w:webHidden/>
              </w:rPr>
              <w:tab/>
            </w:r>
            <w:r w:rsidR="00271F2E">
              <w:rPr>
                <w:noProof/>
                <w:webHidden/>
              </w:rPr>
              <w:fldChar w:fldCharType="begin"/>
            </w:r>
            <w:r w:rsidR="00271F2E">
              <w:rPr>
                <w:noProof/>
                <w:webHidden/>
              </w:rPr>
              <w:instrText xml:space="preserve"> PAGEREF _Toc110965761 \h </w:instrText>
            </w:r>
            <w:r w:rsidR="00271F2E">
              <w:rPr>
                <w:noProof/>
                <w:webHidden/>
              </w:rPr>
            </w:r>
            <w:r w:rsidR="00271F2E">
              <w:rPr>
                <w:noProof/>
                <w:webHidden/>
              </w:rPr>
              <w:fldChar w:fldCharType="separate"/>
            </w:r>
            <w:r w:rsidR="00271F2E">
              <w:rPr>
                <w:noProof/>
                <w:webHidden/>
              </w:rPr>
              <w:t>12</w:t>
            </w:r>
            <w:r w:rsidR="00271F2E">
              <w:rPr>
                <w:noProof/>
                <w:webHidden/>
              </w:rPr>
              <w:fldChar w:fldCharType="end"/>
            </w:r>
          </w:hyperlink>
        </w:p>
        <w:p w14:paraId="15659AAE" w14:textId="7B87F161" w:rsidR="00271F2E" w:rsidRDefault="004247C9">
          <w:pPr>
            <w:pStyle w:val="TOC2"/>
            <w:rPr>
              <w:rFonts w:asciiTheme="minorHAnsi" w:eastAsiaTheme="minorEastAsia" w:hAnsiTheme="minorHAnsi" w:cstheme="minorBidi"/>
              <w:b w:val="0"/>
              <w:noProof/>
              <w:sz w:val="22"/>
              <w:lang w:eastAsia="en-AU"/>
            </w:rPr>
          </w:pPr>
          <w:hyperlink w:anchor="_Toc110965762" w:history="1">
            <w:r w:rsidR="00271F2E" w:rsidRPr="00765365">
              <w:rPr>
                <w:rStyle w:val="Hyperlink"/>
                <w:noProof/>
              </w:rPr>
              <w:t>Clinical</w:t>
            </w:r>
            <w:r w:rsidR="00271F2E">
              <w:rPr>
                <w:noProof/>
                <w:webHidden/>
              </w:rPr>
              <w:tab/>
            </w:r>
            <w:r w:rsidR="00271F2E">
              <w:rPr>
                <w:noProof/>
                <w:webHidden/>
              </w:rPr>
              <w:fldChar w:fldCharType="begin"/>
            </w:r>
            <w:r w:rsidR="00271F2E">
              <w:rPr>
                <w:noProof/>
                <w:webHidden/>
              </w:rPr>
              <w:instrText xml:space="preserve"> PAGEREF _Toc110965762 \h </w:instrText>
            </w:r>
            <w:r w:rsidR="00271F2E">
              <w:rPr>
                <w:noProof/>
                <w:webHidden/>
              </w:rPr>
            </w:r>
            <w:r w:rsidR="00271F2E">
              <w:rPr>
                <w:noProof/>
                <w:webHidden/>
              </w:rPr>
              <w:fldChar w:fldCharType="separate"/>
            </w:r>
            <w:r w:rsidR="00271F2E">
              <w:rPr>
                <w:noProof/>
                <w:webHidden/>
              </w:rPr>
              <w:t>12</w:t>
            </w:r>
            <w:r w:rsidR="00271F2E">
              <w:rPr>
                <w:noProof/>
                <w:webHidden/>
              </w:rPr>
              <w:fldChar w:fldCharType="end"/>
            </w:r>
          </w:hyperlink>
        </w:p>
        <w:p w14:paraId="75EBC81E" w14:textId="26161E61" w:rsidR="00271F2E" w:rsidRDefault="004247C9">
          <w:pPr>
            <w:pStyle w:val="TOC2"/>
            <w:rPr>
              <w:rFonts w:asciiTheme="minorHAnsi" w:eastAsiaTheme="minorEastAsia" w:hAnsiTheme="minorHAnsi" w:cstheme="minorBidi"/>
              <w:b w:val="0"/>
              <w:noProof/>
              <w:sz w:val="22"/>
              <w:lang w:eastAsia="en-AU"/>
            </w:rPr>
          </w:pPr>
          <w:hyperlink w:anchor="_Toc110965763" w:history="1">
            <w:r w:rsidR="00271F2E" w:rsidRPr="00765365">
              <w:rPr>
                <w:rStyle w:val="Hyperlink"/>
                <w:noProof/>
                <w:lang w:eastAsia="en-AU"/>
              </w:rPr>
              <w:t>Risk management plan</w:t>
            </w:r>
            <w:r w:rsidR="00271F2E">
              <w:rPr>
                <w:noProof/>
                <w:webHidden/>
              </w:rPr>
              <w:tab/>
            </w:r>
            <w:r w:rsidR="00271F2E">
              <w:rPr>
                <w:noProof/>
                <w:webHidden/>
              </w:rPr>
              <w:fldChar w:fldCharType="begin"/>
            </w:r>
            <w:r w:rsidR="00271F2E">
              <w:rPr>
                <w:noProof/>
                <w:webHidden/>
              </w:rPr>
              <w:instrText xml:space="preserve"> PAGEREF _Toc110965763 \h </w:instrText>
            </w:r>
            <w:r w:rsidR="00271F2E">
              <w:rPr>
                <w:noProof/>
                <w:webHidden/>
              </w:rPr>
            </w:r>
            <w:r w:rsidR="00271F2E">
              <w:rPr>
                <w:noProof/>
                <w:webHidden/>
              </w:rPr>
              <w:fldChar w:fldCharType="separate"/>
            </w:r>
            <w:r w:rsidR="00271F2E">
              <w:rPr>
                <w:noProof/>
                <w:webHidden/>
              </w:rPr>
              <w:t>21</w:t>
            </w:r>
            <w:r w:rsidR="00271F2E">
              <w:rPr>
                <w:noProof/>
                <w:webHidden/>
              </w:rPr>
              <w:fldChar w:fldCharType="end"/>
            </w:r>
          </w:hyperlink>
        </w:p>
        <w:p w14:paraId="71692EF7" w14:textId="2AD2915F" w:rsidR="00271F2E" w:rsidRDefault="004247C9">
          <w:pPr>
            <w:pStyle w:val="TOC2"/>
            <w:rPr>
              <w:rFonts w:asciiTheme="minorHAnsi" w:eastAsiaTheme="minorEastAsia" w:hAnsiTheme="minorHAnsi" w:cstheme="minorBidi"/>
              <w:b w:val="0"/>
              <w:noProof/>
              <w:sz w:val="22"/>
              <w:lang w:eastAsia="en-AU"/>
            </w:rPr>
          </w:pPr>
          <w:hyperlink w:anchor="_Toc110965764" w:history="1">
            <w:r w:rsidR="00271F2E" w:rsidRPr="00765365">
              <w:rPr>
                <w:rStyle w:val="Hyperlink"/>
                <w:noProof/>
              </w:rPr>
              <w:t>Risk-benefit analysis</w:t>
            </w:r>
            <w:r w:rsidR="00271F2E">
              <w:rPr>
                <w:noProof/>
                <w:webHidden/>
              </w:rPr>
              <w:tab/>
            </w:r>
            <w:r w:rsidR="00271F2E">
              <w:rPr>
                <w:noProof/>
                <w:webHidden/>
              </w:rPr>
              <w:fldChar w:fldCharType="begin"/>
            </w:r>
            <w:r w:rsidR="00271F2E">
              <w:rPr>
                <w:noProof/>
                <w:webHidden/>
              </w:rPr>
              <w:instrText xml:space="preserve"> PAGEREF _Toc110965764 \h </w:instrText>
            </w:r>
            <w:r w:rsidR="00271F2E">
              <w:rPr>
                <w:noProof/>
                <w:webHidden/>
              </w:rPr>
            </w:r>
            <w:r w:rsidR="00271F2E">
              <w:rPr>
                <w:noProof/>
                <w:webHidden/>
              </w:rPr>
              <w:fldChar w:fldCharType="separate"/>
            </w:r>
            <w:r w:rsidR="00271F2E">
              <w:rPr>
                <w:noProof/>
                <w:webHidden/>
              </w:rPr>
              <w:t>22</w:t>
            </w:r>
            <w:r w:rsidR="00271F2E">
              <w:rPr>
                <w:noProof/>
                <w:webHidden/>
              </w:rPr>
              <w:fldChar w:fldCharType="end"/>
            </w:r>
          </w:hyperlink>
        </w:p>
        <w:p w14:paraId="6B3BB489" w14:textId="2DAD62D7" w:rsidR="00271F2E" w:rsidRDefault="004247C9">
          <w:pPr>
            <w:pStyle w:val="TOC1"/>
            <w:rPr>
              <w:rFonts w:asciiTheme="minorHAnsi" w:eastAsiaTheme="minorEastAsia" w:hAnsiTheme="minorHAnsi" w:cstheme="minorBidi"/>
              <w:b w:val="0"/>
              <w:noProof/>
              <w:sz w:val="22"/>
              <w:lang w:eastAsia="en-AU"/>
            </w:rPr>
          </w:pPr>
          <w:hyperlink w:anchor="_Toc110965765" w:history="1">
            <w:r w:rsidR="00271F2E" w:rsidRPr="00765365">
              <w:rPr>
                <w:rStyle w:val="Hyperlink"/>
                <w:noProof/>
              </w:rPr>
              <w:t>Outcome</w:t>
            </w:r>
            <w:r w:rsidR="00271F2E">
              <w:rPr>
                <w:noProof/>
                <w:webHidden/>
              </w:rPr>
              <w:tab/>
            </w:r>
            <w:r w:rsidR="00271F2E">
              <w:rPr>
                <w:noProof/>
                <w:webHidden/>
              </w:rPr>
              <w:fldChar w:fldCharType="begin"/>
            </w:r>
            <w:r w:rsidR="00271F2E">
              <w:rPr>
                <w:noProof/>
                <w:webHidden/>
              </w:rPr>
              <w:instrText xml:space="preserve"> PAGEREF _Toc110965765 \h </w:instrText>
            </w:r>
            <w:r w:rsidR="00271F2E">
              <w:rPr>
                <w:noProof/>
                <w:webHidden/>
              </w:rPr>
            </w:r>
            <w:r w:rsidR="00271F2E">
              <w:rPr>
                <w:noProof/>
                <w:webHidden/>
              </w:rPr>
              <w:fldChar w:fldCharType="separate"/>
            </w:r>
            <w:r w:rsidR="00271F2E">
              <w:rPr>
                <w:noProof/>
                <w:webHidden/>
              </w:rPr>
              <w:t>31</w:t>
            </w:r>
            <w:r w:rsidR="00271F2E">
              <w:rPr>
                <w:noProof/>
                <w:webHidden/>
              </w:rPr>
              <w:fldChar w:fldCharType="end"/>
            </w:r>
          </w:hyperlink>
        </w:p>
        <w:p w14:paraId="6C89E0E1" w14:textId="03DB468E" w:rsidR="00271F2E" w:rsidRDefault="004247C9">
          <w:pPr>
            <w:pStyle w:val="TOC2"/>
            <w:rPr>
              <w:rFonts w:asciiTheme="minorHAnsi" w:eastAsiaTheme="minorEastAsia" w:hAnsiTheme="minorHAnsi" w:cstheme="minorBidi"/>
              <w:b w:val="0"/>
              <w:noProof/>
              <w:sz w:val="22"/>
              <w:lang w:eastAsia="en-AU"/>
            </w:rPr>
          </w:pPr>
          <w:hyperlink w:anchor="_Toc110965766" w:history="1">
            <w:r w:rsidR="00271F2E" w:rsidRPr="00765365">
              <w:rPr>
                <w:rStyle w:val="Hyperlink"/>
                <w:noProof/>
              </w:rPr>
              <w:t>Specific conditions of registration applying to these goods</w:t>
            </w:r>
            <w:r w:rsidR="00271F2E">
              <w:rPr>
                <w:noProof/>
                <w:webHidden/>
              </w:rPr>
              <w:tab/>
            </w:r>
            <w:r w:rsidR="00271F2E">
              <w:rPr>
                <w:noProof/>
                <w:webHidden/>
              </w:rPr>
              <w:fldChar w:fldCharType="begin"/>
            </w:r>
            <w:r w:rsidR="00271F2E">
              <w:rPr>
                <w:noProof/>
                <w:webHidden/>
              </w:rPr>
              <w:instrText xml:space="preserve"> PAGEREF _Toc110965766 \h </w:instrText>
            </w:r>
            <w:r w:rsidR="00271F2E">
              <w:rPr>
                <w:noProof/>
                <w:webHidden/>
              </w:rPr>
            </w:r>
            <w:r w:rsidR="00271F2E">
              <w:rPr>
                <w:noProof/>
                <w:webHidden/>
              </w:rPr>
              <w:fldChar w:fldCharType="separate"/>
            </w:r>
            <w:r w:rsidR="00271F2E">
              <w:rPr>
                <w:noProof/>
                <w:webHidden/>
              </w:rPr>
              <w:t>32</w:t>
            </w:r>
            <w:r w:rsidR="00271F2E">
              <w:rPr>
                <w:noProof/>
                <w:webHidden/>
              </w:rPr>
              <w:fldChar w:fldCharType="end"/>
            </w:r>
          </w:hyperlink>
        </w:p>
        <w:p w14:paraId="00851459" w14:textId="145CCD4F" w:rsidR="00271F2E" w:rsidRDefault="004247C9">
          <w:pPr>
            <w:pStyle w:val="TOC1"/>
            <w:rPr>
              <w:rFonts w:asciiTheme="minorHAnsi" w:eastAsiaTheme="minorEastAsia" w:hAnsiTheme="minorHAnsi" w:cstheme="minorBidi"/>
              <w:b w:val="0"/>
              <w:noProof/>
              <w:sz w:val="22"/>
              <w:lang w:eastAsia="en-AU"/>
            </w:rPr>
          </w:pPr>
          <w:hyperlink w:anchor="_Toc110965767" w:history="1">
            <w:r w:rsidR="00271F2E" w:rsidRPr="00765365">
              <w:rPr>
                <w:rStyle w:val="Hyperlink"/>
                <w:noProof/>
              </w:rPr>
              <w:t>Attachment 1. Product Information</w:t>
            </w:r>
            <w:r w:rsidR="00271F2E">
              <w:rPr>
                <w:noProof/>
                <w:webHidden/>
              </w:rPr>
              <w:tab/>
            </w:r>
            <w:r w:rsidR="00271F2E">
              <w:rPr>
                <w:noProof/>
                <w:webHidden/>
              </w:rPr>
              <w:fldChar w:fldCharType="begin"/>
            </w:r>
            <w:r w:rsidR="00271F2E">
              <w:rPr>
                <w:noProof/>
                <w:webHidden/>
              </w:rPr>
              <w:instrText xml:space="preserve"> PAGEREF _Toc110965767 \h </w:instrText>
            </w:r>
            <w:r w:rsidR="00271F2E">
              <w:rPr>
                <w:noProof/>
                <w:webHidden/>
              </w:rPr>
            </w:r>
            <w:r w:rsidR="00271F2E">
              <w:rPr>
                <w:noProof/>
                <w:webHidden/>
              </w:rPr>
              <w:fldChar w:fldCharType="separate"/>
            </w:r>
            <w:r w:rsidR="00271F2E">
              <w:rPr>
                <w:noProof/>
                <w:webHidden/>
              </w:rPr>
              <w:t>32</w:t>
            </w:r>
            <w:r w:rsidR="00271F2E">
              <w:rPr>
                <w:noProof/>
                <w:webHidden/>
              </w:rPr>
              <w:fldChar w:fldCharType="end"/>
            </w:r>
          </w:hyperlink>
        </w:p>
        <w:p w14:paraId="4AB2E587" w14:textId="0C6A5082" w:rsidR="003A7F6C" w:rsidRPr="00404A58" w:rsidRDefault="00C525A2" w:rsidP="00EB36D6">
          <w:r w:rsidRPr="00404A58">
            <w:fldChar w:fldCharType="end"/>
          </w:r>
        </w:p>
      </w:sdtContent>
    </w:sdt>
    <w:bookmarkStart w:id="2" w:name="_Toc314842482" w:displacedByCustomXml="prev"/>
    <w:p w14:paraId="4C1C4415" w14:textId="77777777" w:rsidR="00FD119B" w:rsidRPr="00404A58" w:rsidRDefault="00FD119B">
      <w:pPr>
        <w:spacing w:before="0" w:after="200" w:line="0" w:lineRule="auto"/>
      </w:pPr>
      <w:r w:rsidRPr="00404A58">
        <w:br w:type="page"/>
      </w:r>
    </w:p>
    <w:p w14:paraId="736CC3E0" w14:textId="77777777" w:rsidR="00AF2313" w:rsidRPr="00404A58" w:rsidRDefault="00AF2313" w:rsidP="00AF2313">
      <w:pPr>
        <w:pStyle w:val="Heading2"/>
      </w:pPr>
      <w:bookmarkStart w:id="3" w:name="_Toc98931917"/>
      <w:bookmarkStart w:id="4" w:name="_Toc110965752"/>
      <w:r w:rsidRPr="00404A58">
        <w:lastRenderedPageBreak/>
        <w:t>List of abbreviations</w:t>
      </w:r>
      <w:bookmarkEnd w:id="3"/>
      <w:bookmarkEnd w:id="4"/>
    </w:p>
    <w:tbl>
      <w:tblPr>
        <w:tblStyle w:val="TableTGAblue"/>
        <w:tblW w:w="5000" w:type="pct"/>
        <w:tblLook w:val="04A0" w:firstRow="1" w:lastRow="0" w:firstColumn="1" w:lastColumn="0" w:noHBand="0" w:noVBand="1"/>
      </w:tblPr>
      <w:tblGrid>
        <w:gridCol w:w="1552"/>
        <w:gridCol w:w="1227"/>
        <w:gridCol w:w="5705"/>
      </w:tblGrid>
      <w:tr w:rsidR="00AF2313" w:rsidRPr="00404A58" w14:paraId="034A1913" w14:textId="77777777" w:rsidTr="00F350BD">
        <w:trPr>
          <w:cnfStyle w:val="100000000000" w:firstRow="1" w:lastRow="0" w:firstColumn="0" w:lastColumn="0" w:oddVBand="0" w:evenVBand="0" w:oddHBand="0" w:evenHBand="0" w:firstRowFirstColumn="0" w:firstRowLastColumn="0" w:lastRowFirstColumn="0" w:lastRowLastColumn="0"/>
          <w:cantSplit/>
        </w:trPr>
        <w:tc>
          <w:tcPr>
            <w:tcW w:w="1638" w:type="pct"/>
            <w:gridSpan w:val="2"/>
            <w:hideMark/>
          </w:tcPr>
          <w:p w14:paraId="500C1F64" w14:textId="77777777" w:rsidR="00AF2313" w:rsidRPr="00404A58" w:rsidRDefault="00AF2313" w:rsidP="0067177E">
            <w:r w:rsidRPr="00404A58">
              <w:t>Abbreviation</w:t>
            </w:r>
          </w:p>
        </w:tc>
        <w:tc>
          <w:tcPr>
            <w:tcW w:w="3362" w:type="pct"/>
            <w:hideMark/>
          </w:tcPr>
          <w:p w14:paraId="7C1D18B7" w14:textId="77777777" w:rsidR="00AF2313" w:rsidRPr="00404A58" w:rsidRDefault="00AF2313" w:rsidP="0067177E">
            <w:r w:rsidRPr="00404A58">
              <w:t>Meaning</w:t>
            </w:r>
          </w:p>
        </w:tc>
      </w:tr>
      <w:tr w:rsidR="00903125" w:rsidRPr="00404A58" w14:paraId="5AA86DE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729327F" w14:textId="14398326" w:rsidR="00903125" w:rsidRPr="00404A58" w:rsidRDefault="00903125" w:rsidP="0067177E">
            <w:r w:rsidRPr="00404A58">
              <w:t>ACM</w:t>
            </w:r>
          </w:p>
        </w:tc>
        <w:tc>
          <w:tcPr>
            <w:tcW w:w="4085" w:type="pct"/>
            <w:gridSpan w:val="2"/>
            <w:tcBorders>
              <w:top w:val="single" w:sz="8" w:space="0" w:color="002C47"/>
              <w:left w:val="single" w:sz="8" w:space="0" w:color="002C47"/>
              <w:bottom w:val="single" w:sz="8" w:space="0" w:color="002C47"/>
              <w:right w:val="single" w:sz="8" w:space="0" w:color="002C47"/>
            </w:tcBorders>
          </w:tcPr>
          <w:p w14:paraId="62831ACF" w14:textId="7C75C3F3" w:rsidR="00903125" w:rsidRPr="00404A58" w:rsidRDefault="00903125" w:rsidP="0067177E">
            <w:r w:rsidRPr="00404A58">
              <w:t>Advisory Committee on Medicines</w:t>
            </w:r>
          </w:p>
        </w:tc>
      </w:tr>
      <w:tr w:rsidR="0067177E" w:rsidRPr="00404A58" w14:paraId="2DBDA3CC"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A0EBCAB" w14:textId="35AE962E" w:rsidR="0067177E" w:rsidRPr="00404A58" w:rsidRDefault="0067177E" w:rsidP="0067177E">
            <w:r w:rsidRPr="00404A58">
              <w:t>AE</w:t>
            </w:r>
          </w:p>
        </w:tc>
        <w:tc>
          <w:tcPr>
            <w:tcW w:w="4085" w:type="pct"/>
            <w:gridSpan w:val="2"/>
            <w:tcBorders>
              <w:top w:val="single" w:sz="8" w:space="0" w:color="002C47"/>
              <w:left w:val="single" w:sz="8" w:space="0" w:color="002C47"/>
              <w:bottom w:val="single" w:sz="8" w:space="0" w:color="002C47"/>
              <w:right w:val="single" w:sz="8" w:space="0" w:color="002C47"/>
            </w:tcBorders>
          </w:tcPr>
          <w:p w14:paraId="2268E8F4" w14:textId="05C437E9" w:rsidR="0067177E" w:rsidRPr="00404A58" w:rsidRDefault="0067177E" w:rsidP="0067177E">
            <w:r w:rsidRPr="00404A58">
              <w:t>Adverse event</w:t>
            </w:r>
          </w:p>
        </w:tc>
      </w:tr>
      <w:tr w:rsidR="006F4D7A" w:rsidRPr="00404A58" w14:paraId="7BEB318D"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913D28D" w14:textId="6B1C7DF4" w:rsidR="006F4D7A" w:rsidRPr="00404A58" w:rsidRDefault="006F4D7A" w:rsidP="0067177E">
            <w:r w:rsidRPr="00404A58">
              <w:t>AESI</w:t>
            </w:r>
          </w:p>
        </w:tc>
        <w:tc>
          <w:tcPr>
            <w:tcW w:w="4085" w:type="pct"/>
            <w:gridSpan w:val="2"/>
            <w:tcBorders>
              <w:top w:val="single" w:sz="8" w:space="0" w:color="002C47"/>
              <w:left w:val="single" w:sz="8" w:space="0" w:color="002C47"/>
              <w:bottom w:val="single" w:sz="8" w:space="0" w:color="002C47"/>
              <w:right w:val="single" w:sz="8" w:space="0" w:color="002C47"/>
            </w:tcBorders>
          </w:tcPr>
          <w:p w14:paraId="28811ABB" w14:textId="73480B30" w:rsidR="006F4D7A" w:rsidRPr="00404A58" w:rsidRDefault="006F4D7A" w:rsidP="0067177E">
            <w:r w:rsidRPr="00404A58">
              <w:t>Adverse event of special interest</w:t>
            </w:r>
          </w:p>
        </w:tc>
      </w:tr>
      <w:tr w:rsidR="003C4B7E" w:rsidRPr="00404A58" w14:paraId="132B94AC"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660B46F" w14:textId="7DB7A6D9" w:rsidR="003C4B7E" w:rsidRPr="00404A58" w:rsidRDefault="003C4B7E" w:rsidP="0067177E">
            <w:proofErr w:type="spellStart"/>
            <w:r w:rsidRPr="00404A58">
              <w:t>aPTT</w:t>
            </w:r>
            <w:proofErr w:type="spellEnd"/>
          </w:p>
        </w:tc>
        <w:tc>
          <w:tcPr>
            <w:tcW w:w="4085" w:type="pct"/>
            <w:gridSpan w:val="2"/>
            <w:tcBorders>
              <w:top w:val="single" w:sz="8" w:space="0" w:color="002C47"/>
              <w:left w:val="single" w:sz="8" w:space="0" w:color="002C47"/>
              <w:bottom w:val="single" w:sz="8" w:space="0" w:color="002C47"/>
              <w:right w:val="single" w:sz="8" w:space="0" w:color="002C47"/>
            </w:tcBorders>
          </w:tcPr>
          <w:p w14:paraId="16F6BFDF" w14:textId="5E8C7E78" w:rsidR="003C4B7E" w:rsidRPr="00404A58" w:rsidRDefault="003C4B7E" w:rsidP="0067177E">
            <w:r w:rsidRPr="00404A58">
              <w:t>Activated partial thromboplastin time</w:t>
            </w:r>
          </w:p>
        </w:tc>
      </w:tr>
      <w:tr w:rsidR="00271F2E" w:rsidRPr="00404A58" w14:paraId="091CAB7F"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64EA1FC7" w14:textId="5F2CB43E" w:rsidR="00271F2E" w:rsidRPr="00404A58" w:rsidRDefault="00271F2E" w:rsidP="0067177E">
            <w:r w:rsidRPr="00271F2E">
              <w:t>ARTG</w:t>
            </w:r>
          </w:p>
        </w:tc>
        <w:tc>
          <w:tcPr>
            <w:tcW w:w="4085" w:type="pct"/>
            <w:gridSpan w:val="2"/>
            <w:tcBorders>
              <w:top w:val="single" w:sz="8" w:space="0" w:color="002C47"/>
              <w:left w:val="single" w:sz="8" w:space="0" w:color="002C47"/>
              <w:bottom w:val="single" w:sz="8" w:space="0" w:color="002C47"/>
              <w:right w:val="single" w:sz="8" w:space="0" w:color="002C47"/>
            </w:tcBorders>
          </w:tcPr>
          <w:p w14:paraId="04D20BD5" w14:textId="118DD727" w:rsidR="00271F2E" w:rsidRPr="00404A58" w:rsidRDefault="00271F2E" w:rsidP="0067177E">
            <w:r w:rsidRPr="00271F2E">
              <w:t>Australian Register of Therapeutic Goods</w:t>
            </w:r>
          </w:p>
        </w:tc>
      </w:tr>
      <w:tr w:rsidR="00903125" w:rsidRPr="00404A58" w14:paraId="5D776266"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FF79874" w14:textId="3EE7527F" w:rsidR="00903125" w:rsidRPr="00404A58" w:rsidRDefault="00903125" w:rsidP="0067177E">
            <w:r w:rsidRPr="00404A58">
              <w:t>ASA</w:t>
            </w:r>
          </w:p>
        </w:tc>
        <w:tc>
          <w:tcPr>
            <w:tcW w:w="4085" w:type="pct"/>
            <w:gridSpan w:val="2"/>
            <w:tcBorders>
              <w:top w:val="single" w:sz="8" w:space="0" w:color="002C47"/>
              <w:left w:val="single" w:sz="8" w:space="0" w:color="002C47"/>
              <w:bottom w:val="single" w:sz="8" w:space="0" w:color="002C47"/>
              <w:right w:val="single" w:sz="8" w:space="0" w:color="002C47"/>
            </w:tcBorders>
          </w:tcPr>
          <w:p w14:paraId="18A06CB7" w14:textId="4C9905C4" w:rsidR="00903125" w:rsidRPr="00404A58" w:rsidRDefault="00903125" w:rsidP="0067177E">
            <w:r w:rsidRPr="00404A58">
              <w:t>Australia specific annex</w:t>
            </w:r>
          </w:p>
        </w:tc>
      </w:tr>
      <w:tr w:rsidR="0067177E" w:rsidRPr="00404A58" w14:paraId="35B84316"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6975BDC" w14:textId="53E4753B" w:rsidR="0067177E" w:rsidRPr="00404A58" w:rsidRDefault="0067177E" w:rsidP="0067177E">
            <w:r w:rsidRPr="00404A58">
              <w:t>AUC</w:t>
            </w:r>
          </w:p>
        </w:tc>
        <w:tc>
          <w:tcPr>
            <w:tcW w:w="4085" w:type="pct"/>
            <w:gridSpan w:val="2"/>
            <w:tcBorders>
              <w:top w:val="single" w:sz="8" w:space="0" w:color="002C47"/>
              <w:left w:val="single" w:sz="8" w:space="0" w:color="002C47"/>
              <w:bottom w:val="single" w:sz="8" w:space="0" w:color="002C47"/>
              <w:right w:val="single" w:sz="8" w:space="0" w:color="002C47"/>
            </w:tcBorders>
          </w:tcPr>
          <w:p w14:paraId="17ABD287" w14:textId="7E722C93" w:rsidR="0067177E" w:rsidRPr="00404A58" w:rsidRDefault="0067177E" w:rsidP="0067177E">
            <w:r w:rsidRPr="00404A58">
              <w:t>Area under the concentration time curve</w:t>
            </w:r>
          </w:p>
        </w:tc>
      </w:tr>
      <w:tr w:rsidR="000114EC" w:rsidRPr="00404A58" w14:paraId="79F309DE"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87B62F9" w14:textId="5BCD9BD1" w:rsidR="000114EC" w:rsidRPr="00404A58" w:rsidRDefault="000114EC" w:rsidP="0067177E">
            <w:r w:rsidRPr="00404A58">
              <w:t>AUC</w:t>
            </w:r>
            <w:r w:rsidRPr="00404A58">
              <w:rPr>
                <w:vertAlign w:val="subscript"/>
              </w:rPr>
              <w:t>0</w:t>
            </w:r>
            <w:r w:rsidRPr="00404A58">
              <w:rPr>
                <w:vertAlign w:val="subscript"/>
              </w:rPr>
              <w:noBreakHyphen/>
              <w:t>∞</w:t>
            </w:r>
          </w:p>
        </w:tc>
        <w:tc>
          <w:tcPr>
            <w:tcW w:w="4085" w:type="pct"/>
            <w:gridSpan w:val="2"/>
            <w:tcBorders>
              <w:top w:val="single" w:sz="8" w:space="0" w:color="002C47"/>
              <w:left w:val="single" w:sz="8" w:space="0" w:color="002C47"/>
              <w:bottom w:val="single" w:sz="8" w:space="0" w:color="002C47"/>
              <w:right w:val="single" w:sz="8" w:space="0" w:color="002C47"/>
            </w:tcBorders>
          </w:tcPr>
          <w:p w14:paraId="7090B169" w14:textId="6E602CA1" w:rsidR="000114EC" w:rsidRPr="00404A58" w:rsidRDefault="000114EC" w:rsidP="0067177E">
            <w:r w:rsidRPr="00404A58">
              <w:t>Area under the concentration time curve from time zero to infinity</w:t>
            </w:r>
          </w:p>
        </w:tc>
      </w:tr>
      <w:tr w:rsidR="006F4D7A" w:rsidRPr="00404A58" w14:paraId="31BFB815"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19711C2" w14:textId="28DF9499" w:rsidR="006F4D7A" w:rsidRPr="00404A58" w:rsidRDefault="006F4D7A" w:rsidP="0067177E">
            <w:r w:rsidRPr="00404A58">
              <w:t>AUC</w:t>
            </w:r>
            <w:r w:rsidRPr="00404A58">
              <w:rPr>
                <w:vertAlign w:val="subscript"/>
              </w:rPr>
              <w:t>0-24</w:t>
            </w:r>
            <w:proofErr w:type="gramStart"/>
            <w:r w:rsidR="00FE69F1">
              <w:rPr>
                <w:vertAlign w:val="subscript"/>
              </w:rPr>
              <w:t>h</w:t>
            </w:r>
            <w:r w:rsidRPr="00404A58">
              <w:rPr>
                <w:vertAlign w:val="subscript"/>
              </w:rPr>
              <w:t>,ss</w:t>
            </w:r>
            <w:proofErr w:type="gramEnd"/>
          </w:p>
        </w:tc>
        <w:tc>
          <w:tcPr>
            <w:tcW w:w="4085" w:type="pct"/>
            <w:gridSpan w:val="2"/>
            <w:tcBorders>
              <w:top w:val="single" w:sz="8" w:space="0" w:color="002C47"/>
              <w:left w:val="single" w:sz="8" w:space="0" w:color="002C47"/>
              <w:bottom w:val="single" w:sz="8" w:space="0" w:color="002C47"/>
              <w:right w:val="single" w:sz="8" w:space="0" w:color="002C47"/>
            </w:tcBorders>
          </w:tcPr>
          <w:p w14:paraId="6B90EC22" w14:textId="3C9A9E6D" w:rsidR="006F4D7A" w:rsidRPr="00404A58" w:rsidRDefault="006F4D7A" w:rsidP="0067177E">
            <w:r w:rsidRPr="00404A58">
              <w:t>Area under the concentration time curve from time zero to 24 hour at steady state</w:t>
            </w:r>
          </w:p>
        </w:tc>
      </w:tr>
      <w:tr w:rsidR="0067177E" w:rsidRPr="00404A58" w14:paraId="696179A0"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EDC04EC" w14:textId="5B83D39A" w:rsidR="0067177E" w:rsidRPr="00404A58" w:rsidRDefault="0067177E" w:rsidP="0067177E">
            <w:r w:rsidRPr="00404A58">
              <w:t>BTK</w:t>
            </w:r>
          </w:p>
        </w:tc>
        <w:tc>
          <w:tcPr>
            <w:tcW w:w="4085" w:type="pct"/>
            <w:gridSpan w:val="2"/>
            <w:tcBorders>
              <w:top w:val="single" w:sz="8" w:space="0" w:color="002C47"/>
              <w:left w:val="single" w:sz="8" w:space="0" w:color="002C47"/>
              <w:bottom w:val="single" w:sz="8" w:space="0" w:color="002C47"/>
              <w:right w:val="single" w:sz="8" w:space="0" w:color="002C47"/>
            </w:tcBorders>
          </w:tcPr>
          <w:p w14:paraId="19B5AAAD" w14:textId="6B59AB09" w:rsidR="0067177E" w:rsidRPr="00404A58" w:rsidRDefault="0067177E" w:rsidP="0067177E">
            <w:r w:rsidRPr="00404A58">
              <w:t>Bruton’s tyrosine kinase</w:t>
            </w:r>
          </w:p>
        </w:tc>
      </w:tr>
      <w:tr w:rsidR="003C4B7E" w:rsidRPr="00404A58" w14:paraId="124CF37C"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F12E975" w14:textId="1354823E" w:rsidR="003C4B7E" w:rsidRPr="00404A58" w:rsidRDefault="003C4B7E" w:rsidP="0067177E">
            <w:r w:rsidRPr="00404A58">
              <w:t>CVAD</w:t>
            </w:r>
          </w:p>
        </w:tc>
        <w:tc>
          <w:tcPr>
            <w:tcW w:w="4085" w:type="pct"/>
            <w:gridSpan w:val="2"/>
            <w:tcBorders>
              <w:top w:val="single" w:sz="8" w:space="0" w:color="002C47"/>
              <w:left w:val="single" w:sz="8" w:space="0" w:color="002C47"/>
              <w:bottom w:val="single" w:sz="8" w:space="0" w:color="002C47"/>
              <w:right w:val="single" w:sz="8" w:space="0" w:color="002C47"/>
            </w:tcBorders>
          </w:tcPr>
          <w:p w14:paraId="13933B0C" w14:textId="366504E0" w:rsidR="003C4B7E" w:rsidRPr="00404A58" w:rsidRDefault="003C4B7E" w:rsidP="0067177E">
            <w:r w:rsidRPr="00404A58">
              <w:t>Cyclophosphamide/vincristine/doxorubicin/dexamethasone</w:t>
            </w:r>
          </w:p>
        </w:tc>
      </w:tr>
      <w:tr w:rsidR="003C4B7E" w:rsidRPr="00404A58" w14:paraId="7D647BE1"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74AEA73" w14:textId="3DF19667" w:rsidR="003C4B7E" w:rsidRPr="00404A58" w:rsidRDefault="003C4B7E" w:rsidP="0067177E">
            <w:r w:rsidRPr="00404A58">
              <w:t>CHOP</w:t>
            </w:r>
          </w:p>
        </w:tc>
        <w:tc>
          <w:tcPr>
            <w:tcW w:w="4085" w:type="pct"/>
            <w:gridSpan w:val="2"/>
            <w:tcBorders>
              <w:top w:val="single" w:sz="8" w:space="0" w:color="002C47"/>
              <w:left w:val="single" w:sz="8" w:space="0" w:color="002C47"/>
              <w:bottom w:val="single" w:sz="8" w:space="0" w:color="002C47"/>
              <w:right w:val="single" w:sz="8" w:space="0" w:color="002C47"/>
            </w:tcBorders>
          </w:tcPr>
          <w:p w14:paraId="10112927" w14:textId="3598B1A1" w:rsidR="003C4B7E" w:rsidRPr="00404A58" w:rsidRDefault="003C4B7E" w:rsidP="0067177E">
            <w:r w:rsidRPr="00404A58">
              <w:t>Cyclophosphamide/doxorubicin/vincristine/prednisone</w:t>
            </w:r>
          </w:p>
        </w:tc>
      </w:tr>
      <w:tr w:rsidR="0067177E" w:rsidRPr="00404A58" w14:paraId="341C3E81"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C61179E" w14:textId="3A96A51E" w:rsidR="0067177E" w:rsidRPr="00404A58" w:rsidRDefault="0067177E" w:rsidP="0067177E">
            <w:r w:rsidRPr="00404A58">
              <w:t>CI</w:t>
            </w:r>
          </w:p>
        </w:tc>
        <w:tc>
          <w:tcPr>
            <w:tcW w:w="4085" w:type="pct"/>
            <w:gridSpan w:val="2"/>
            <w:tcBorders>
              <w:top w:val="single" w:sz="8" w:space="0" w:color="002C47"/>
              <w:left w:val="single" w:sz="8" w:space="0" w:color="002C47"/>
              <w:bottom w:val="single" w:sz="8" w:space="0" w:color="002C47"/>
              <w:right w:val="single" w:sz="8" w:space="0" w:color="002C47"/>
            </w:tcBorders>
          </w:tcPr>
          <w:p w14:paraId="43D3EC47" w14:textId="404949F6" w:rsidR="0067177E" w:rsidRPr="00404A58" w:rsidRDefault="0067177E" w:rsidP="0067177E">
            <w:bookmarkStart w:id="5" w:name="_Hlk105352911"/>
            <w:r w:rsidRPr="00404A58">
              <w:t>Confidence interval</w:t>
            </w:r>
            <w:bookmarkEnd w:id="5"/>
          </w:p>
        </w:tc>
      </w:tr>
      <w:tr w:rsidR="0067177E" w:rsidRPr="00404A58" w14:paraId="6EAF216C"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D696133" w14:textId="4FA224A5" w:rsidR="0067177E" w:rsidRPr="00404A58" w:rsidRDefault="0067177E" w:rsidP="0067177E">
            <w:r w:rsidRPr="00404A58">
              <w:t>C</w:t>
            </w:r>
            <w:r w:rsidRPr="00404A58">
              <w:rPr>
                <w:vertAlign w:val="subscript"/>
              </w:rPr>
              <w:t>max</w:t>
            </w:r>
          </w:p>
        </w:tc>
        <w:tc>
          <w:tcPr>
            <w:tcW w:w="4085" w:type="pct"/>
            <w:gridSpan w:val="2"/>
            <w:tcBorders>
              <w:top w:val="single" w:sz="8" w:space="0" w:color="002C47"/>
              <w:left w:val="single" w:sz="8" w:space="0" w:color="002C47"/>
              <w:bottom w:val="single" w:sz="8" w:space="0" w:color="002C47"/>
              <w:right w:val="single" w:sz="8" w:space="0" w:color="002C47"/>
            </w:tcBorders>
          </w:tcPr>
          <w:p w14:paraId="5EC2B538" w14:textId="29971FD9" w:rsidR="0067177E" w:rsidRPr="00404A58" w:rsidRDefault="000114EC">
            <w:r w:rsidRPr="00404A58">
              <w:t>Maximum concentration</w:t>
            </w:r>
          </w:p>
        </w:tc>
      </w:tr>
      <w:tr w:rsidR="0067177E" w:rsidRPr="00404A58" w14:paraId="54EC921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B9077F6" w14:textId="12ADC2B2" w:rsidR="0067177E" w:rsidRPr="00404A58" w:rsidRDefault="0067177E" w:rsidP="0067177E">
            <w:proofErr w:type="spellStart"/>
            <w:proofErr w:type="gramStart"/>
            <w:r w:rsidRPr="00404A58">
              <w:t>C</w:t>
            </w:r>
            <w:r w:rsidRPr="00404A58">
              <w:rPr>
                <w:vertAlign w:val="subscript"/>
              </w:rPr>
              <w:t>max,ss</w:t>
            </w:r>
            <w:proofErr w:type="spellEnd"/>
            <w:proofErr w:type="gramEnd"/>
          </w:p>
        </w:tc>
        <w:tc>
          <w:tcPr>
            <w:tcW w:w="4085" w:type="pct"/>
            <w:gridSpan w:val="2"/>
            <w:tcBorders>
              <w:top w:val="single" w:sz="8" w:space="0" w:color="002C47"/>
              <w:left w:val="single" w:sz="8" w:space="0" w:color="002C47"/>
              <w:bottom w:val="single" w:sz="8" w:space="0" w:color="002C47"/>
              <w:right w:val="single" w:sz="8" w:space="0" w:color="002C47"/>
            </w:tcBorders>
          </w:tcPr>
          <w:p w14:paraId="705701CA" w14:textId="04324CC6" w:rsidR="0067177E" w:rsidRPr="00404A58" w:rsidRDefault="00602EC2" w:rsidP="0067177E">
            <w:r w:rsidRPr="00404A58">
              <w:t>Maximum concentration at steady state</w:t>
            </w:r>
          </w:p>
        </w:tc>
      </w:tr>
      <w:tr w:rsidR="00903125" w:rsidRPr="00404A58" w14:paraId="6D6A758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16D8A44" w14:textId="259E20AC" w:rsidR="00903125" w:rsidRPr="00404A58" w:rsidRDefault="00903125" w:rsidP="0067177E">
            <w:r w:rsidRPr="00404A58">
              <w:t>CMI</w:t>
            </w:r>
          </w:p>
        </w:tc>
        <w:tc>
          <w:tcPr>
            <w:tcW w:w="4085" w:type="pct"/>
            <w:gridSpan w:val="2"/>
            <w:tcBorders>
              <w:top w:val="single" w:sz="8" w:space="0" w:color="002C47"/>
              <w:left w:val="single" w:sz="8" w:space="0" w:color="002C47"/>
              <w:bottom w:val="single" w:sz="8" w:space="0" w:color="002C47"/>
              <w:right w:val="single" w:sz="8" w:space="0" w:color="002C47"/>
            </w:tcBorders>
          </w:tcPr>
          <w:p w14:paraId="025E0ECD" w14:textId="319812CC" w:rsidR="00903125" w:rsidRPr="00404A58" w:rsidRDefault="00903125" w:rsidP="0067177E">
            <w:r w:rsidRPr="00404A58">
              <w:t>Consumer Medicines Information</w:t>
            </w:r>
          </w:p>
        </w:tc>
      </w:tr>
      <w:tr w:rsidR="0067177E" w:rsidRPr="00404A58" w14:paraId="2449D9F4"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A87F9D4" w14:textId="403B312B" w:rsidR="0067177E" w:rsidRPr="00404A58" w:rsidRDefault="0067177E" w:rsidP="0067177E">
            <w:proofErr w:type="spellStart"/>
            <w:r w:rsidRPr="00404A58">
              <w:t>C</w:t>
            </w:r>
            <w:r w:rsidRPr="00404A58">
              <w:rPr>
                <w:vertAlign w:val="subscript"/>
              </w:rPr>
              <w:t>min</w:t>
            </w:r>
            <w:proofErr w:type="spellEnd"/>
          </w:p>
        </w:tc>
        <w:tc>
          <w:tcPr>
            <w:tcW w:w="4085" w:type="pct"/>
            <w:gridSpan w:val="2"/>
            <w:tcBorders>
              <w:top w:val="single" w:sz="8" w:space="0" w:color="002C47"/>
              <w:left w:val="single" w:sz="8" w:space="0" w:color="002C47"/>
              <w:bottom w:val="single" w:sz="8" w:space="0" w:color="002C47"/>
              <w:right w:val="single" w:sz="8" w:space="0" w:color="002C47"/>
            </w:tcBorders>
          </w:tcPr>
          <w:p w14:paraId="3D87F835" w14:textId="5A6229F8" w:rsidR="0067177E" w:rsidRPr="00404A58" w:rsidRDefault="0069053A">
            <w:r w:rsidRPr="00404A58">
              <w:t>Minimum concentration</w:t>
            </w:r>
          </w:p>
        </w:tc>
      </w:tr>
      <w:tr w:rsidR="0067177E" w:rsidRPr="00404A58" w14:paraId="2DE24326"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A1CEFB7" w14:textId="5C36DF88" w:rsidR="0067177E" w:rsidRPr="00404A58" w:rsidRDefault="0067177E" w:rsidP="0067177E">
            <w:proofErr w:type="spellStart"/>
            <w:proofErr w:type="gramStart"/>
            <w:r w:rsidRPr="00404A58">
              <w:t>C</w:t>
            </w:r>
            <w:r w:rsidRPr="00404A58">
              <w:rPr>
                <w:vertAlign w:val="subscript"/>
              </w:rPr>
              <w:t>min,ss</w:t>
            </w:r>
            <w:proofErr w:type="spellEnd"/>
            <w:proofErr w:type="gramEnd"/>
          </w:p>
        </w:tc>
        <w:tc>
          <w:tcPr>
            <w:tcW w:w="4085" w:type="pct"/>
            <w:gridSpan w:val="2"/>
            <w:tcBorders>
              <w:top w:val="single" w:sz="8" w:space="0" w:color="002C47"/>
              <w:left w:val="single" w:sz="8" w:space="0" w:color="002C47"/>
              <w:bottom w:val="single" w:sz="8" w:space="0" w:color="002C47"/>
              <w:right w:val="single" w:sz="8" w:space="0" w:color="002C47"/>
            </w:tcBorders>
          </w:tcPr>
          <w:p w14:paraId="3325029E" w14:textId="0C8F6B84" w:rsidR="0067177E" w:rsidRPr="00404A58" w:rsidRDefault="006F4D7A">
            <w:r w:rsidRPr="00404A58">
              <w:t>Minimum concentration</w:t>
            </w:r>
            <w:r w:rsidR="0067177E" w:rsidRPr="00404A58">
              <w:t xml:space="preserve"> at steady</w:t>
            </w:r>
            <w:r w:rsidR="000114EC" w:rsidRPr="00404A58">
              <w:t xml:space="preserve"> </w:t>
            </w:r>
            <w:r w:rsidR="0067177E" w:rsidRPr="00404A58">
              <w:t>state</w:t>
            </w:r>
          </w:p>
        </w:tc>
      </w:tr>
      <w:tr w:rsidR="0067177E" w:rsidRPr="00404A58" w14:paraId="10817FA3"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1840589" w14:textId="530A4916" w:rsidR="0067177E" w:rsidRPr="00404A58" w:rsidRDefault="0067177E" w:rsidP="0067177E">
            <w:r w:rsidRPr="00404A58">
              <w:t>CR</w:t>
            </w:r>
          </w:p>
        </w:tc>
        <w:tc>
          <w:tcPr>
            <w:tcW w:w="4085" w:type="pct"/>
            <w:gridSpan w:val="2"/>
            <w:tcBorders>
              <w:top w:val="single" w:sz="8" w:space="0" w:color="002C47"/>
              <w:left w:val="single" w:sz="8" w:space="0" w:color="002C47"/>
              <w:bottom w:val="single" w:sz="8" w:space="0" w:color="002C47"/>
              <w:right w:val="single" w:sz="8" w:space="0" w:color="002C47"/>
            </w:tcBorders>
          </w:tcPr>
          <w:p w14:paraId="00D5433F" w14:textId="4CA2B12A" w:rsidR="0067177E" w:rsidRPr="00404A58" w:rsidRDefault="0067177E" w:rsidP="0067177E">
            <w:bookmarkStart w:id="6" w:name="_Hlk105346948"/>
            <w:r w:rsidRPr="00404A58">
              <w:t>Complete response</w:t>
            </w:r>
            <w:bookmarkEnd w:id="6"/>
          </w:p>
        </w:tc>
      </w:tr>
      <w:tr w:rsidR="0067177E" w:rsidRPr="00404A58" w14:paraId="33C34A6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67319467" w14:textId="66095629" w:rsidR="0067177E" w:rsidRPr="00404A58" w:rsidRDefault="0067177E" w:rsidP="0067177E">
            <w:r w:rsidRPr="00404A58">
              <w:t>CT</w:t>
            </w:r>
          </w:p>
        </w:tc>
        <w:tc>
          <w:tcPr>
            <w:tcW w:w="4085" w:type="pct"/>
            <w:gridSpan w:val="2"/>
            <w:tcBorders>
              <w:top w:val="single" w:sz="8" w:space="0" w:color="002C47"/>
              <w:left w:val="single" w:sz="8" w:space="0" w:color="002C47"/>
              <w:bottom w:val="single" w:sz="8" w:space="0" w:color="002C47"/>
              <w:right w:val="single" w:sz="8" w:space="0" w:color="002C47"/>
            </w:tcBorders>
          </w:tcPr>
          <w:p w14:paraId="74170FBA" w14:textId="327DFD36" w:rsidR="0067177E" w:rsidRPr="00404A58" w:rsidRDefault="00602EC2" w:rsidP="0067177E">
            <w:r w:rsidRPr="00404A58">
              <w:t>Computerised tomography</w:t>
            </w:r>
          </w:p>
        </w:tc>
      </w:tr>
      <w:tr w:rsidR="0067177E" w:rsidRPr="00404A58" w14:paraId="3C16661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7D080CC" w14:textId="4256A312" w:rsidR="0067177E" w:rsidRPr="00404A58" w:rsidRDefault="0067177E" w:rsidP="0067177E">
            <w:r w:rsidRPr="00404A58">
              <w:t>CYP</w:t>
            </w:r>
          </w:p>
        </w:tc>
        <w:tc>
          <w:tcPr>
            <w:tcW w:w="4085" w:type="pct"/>
            <w:gridSpan w:val="2"/>
            <w:tcBorders>
              <w:top w:val="single" w:sz="8" w:space="0" w:color="002C47"/>
              <w:left w:val="single" w:sz="8" w:space="0" w:color="002C47"/>
              <w:bottom w:val="single" w:sz="8" w:space="0" w:color="002C47"/>
              <w:right w:val="single" w:sz="8" w:space="0" w:color="002C47"/>
            </w:tcBorders>
          </w:tcPr>
          <w:p w14:paraId="24E9E582" w14:textId="10BABDE9" w:rsidR="0067177E" w:rsidRPr="00404A58" w:rsidRDefault="0067177E" w:rsidP="0067177E">
            <w:r w:rsidRPr="00404A58">
              <w:t>Cytochrome P450</w:t>
            </w:r>
          </w:p>
        </w:tc>
      </w:tr>
      <w:tr w:rsidR="006F4D7A" w:rsidRPr="00404A58" w14:paraId="3A955B7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2908FC2" w14:textId="63040205" w:rsidR="006F4D7A" w:rsidRPr="00404A58" w:rsidRDefault="006F4D7A" w:rsidP="0067177E">
            <w:r w:rsidRPr="00404A58">
              <w:t>DLP</w:t>
            </w:r>
          </w:p>
        </w:tc>
        <w:tc>
          <w:tcPr>
            <w:tcW w:w="4085" w:type="pct"/>
            <w:gridSpan w:val="2"/>
            <w:tcBorders>
              <w:top w:val="single" w:sz="8" w:space="0" w:color="002C47"/>
              <w:left w:val="single" w:sz="8" w:space="0" w:color="002C47"/>
              <w:bottom w:val="single" w:sz="8" w:space="0" w:color="002C47"/>
              <w:right w:val="single" w:sz="8" w:space="0" w:color="002C47"/>
            </w:tcBorders>
          </w:tcPr>
          <w:p w14:paraId="1EE7B848" w14:textId="59B0EEE3" w:rsidR="006F4D7A" w:rsidRPr="00404A58" w:rsidRDefault="006F4D7A" w:rsidP="0067177E">
            <w:r w:rsidRPr="00404A58">
              <w:t>Data lock point</w:t>
            </w:r>
          </w:p>
        </w:tc>
      </w:tr>
      <w:tr w:rsidR="0069053A" w:rsidRPr="00404A58" w14:paraId="16D17B87"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67F7D38F" w14:textId="62E20DE3" w:rsidR="0069053A" w:rsidRPr="00404A58" w:rsidRDefault="0069053A" w:rsidP="0067177E">
            <w:r w:rsidRPr="00404A58">
              <w:t>DOR</w:t>
            </w:r>
          </w:p>
        </w:tc>
        <w:tc>
          <w:tcPr>
            <w:tcW w:w="4085" w:type="pct"/>
            <w:gridSpan w:val="2"/>
            <w:tcBorders>
              <w:top w:val="single" w:sz="8" w:space="0" w:color="002C47"/>
              <w:left w:val="single" w:sz="8" w:space="0" w:color="002C47"/>
              <w:bottom w:val="single" w:sz="8" w:space="0" w:color="002C47"/>
              <w:right w:val="single" w:sz="8" w:space="0" w:color="002C47"/>
            </w:tcBorders>
          </w:tcPr>
          <w:p w14:paraId="297C0B7D" w14:textId="7E8FD8EC" w:rsidR="0069053A" w:rsidRPr="00404A58" w:rsidRDefault="0069053A" w:rsidP="0067177E">
            <w:r w:rsidRPr="00404A58">
              <w:t>Duration of response</w:t>
            </w:r>
          </w:p>
        </w:tc>
      </w:tr>
      <w:tr w:rsidR="000114EC" w:rsidRPr="00404A58" w14:paraId="371F30BF"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C61E3F1" w14:textId="7851E675" w:rsidR="000114EC" w:rsidRPr="00404A58" w:rsidRDefault="000114EC" w:rsidP="0067177E">
            <w:r w:rsidRPr="00404A58">
              <w:t>EGFR</w:t>
            </w:r>
          </w:p>
        </w:tc>
        <w:tc>
          <w:tcPr>
            <w:tcW w:w="4085" w:type="pct"/>
            <w:gridSpan w:val="2"/>
            <w:tcBorders>
              <w:top w:val="single" w:sz="8" w:space="0" w:color="002C47"/>
              <w:left w:val="single" w:sz="8" w:space="0" w:color="002C47"/>
              <w:bottom w:val="single" w:sz="8" w:space="0" w:color="002C47"/>
              <w:right w:val="single" w:sz="8" w:space="0" w:color="002C47"/>
            </w:tcBorders>
          </w:tcPr>
          <w:p w14:paraId="42725477" w14:textId="0F409DF1" w:rsidR="000114EC" w:rsidRPr="00404A58" w:rsidRDefault="000114EC" w:rsidP="0067177E">
            <w:r w:rsidRPr="00404A58">
              <w:t>Epidermal growth factor receptor</w:t>
            </w:r>
          </w:p>
        </w:tc>
      </w:tr>
      <w:tr w:rsidR="0067177E" w:rsidRPr="00404A58" w14:paraId="5D5008F4"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439CF49" w14:textId="62746CC7" w:rsidR="0067177E" w:rsidRPr="00404A58" w:rsidRDefault="0067177E" w:rsidP="0067177E">
            <w:r w:rsidRPr="00404A58">
              <w:lastRenderedPageBreak/>
              <w:t>EU</w:t>
            </w:r>
          </w:p>
        </w:tc>
        <w:tc>
          <w:tcPr>
            <w:tcW w:w="4085" w:type="pct"/>
            <w:gridSpan w:val="2"/>
            <w:tcBorders>
              <w:top w:val="single" w:sz="8" w:space="0" w:color="002C47"/>
              <w:left w:val="single" w:sz="8" w:space="0" w:color="002C47"/>
              <w:bottom w:val="single" w:sz="8" w:space="0" w:color="002C47"/>
              <w:right w:val="single" w:sz="8" w:space="0" w:color="002C47"/>
            </w:tcBorders>
          </w:tcPr>
          <w:p w14:paraId="68D20D2B" w14:textId="277DFCF7" w:rsidR="0067177E" w:rsidRPr="00404A58" w:rsidRDefault="0067177E" w:rsidP="0067177E">
            <w:r w:rsidRPr="00404A58">
              <w:t>European Union</w:t>
            </w:r>
          </w:p>
        </w:tc>
      </w:tr>
      <w:tr w:rsidR="0067177E" w:rsidRPr="00404A58" w14:paraId="4BC82800"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8E5D8F8" w14:textId="58B3558D" w:rsidR="0067177E" w:rsidRPr="00404A58" w:rsidRDefault="0067177E" w:rsidP="0067177E">
            <w:r w:rsidRPr="00404A58">
              <w:t>FDA</w:t>
            </w:r>
          </w:p>
        </w:tc>
        <w:tc>
          <w:tcPr>
            <w:tcW w:w="4085" w:type="pct"/>
            <w:gridSpan w:val="2"/>
            <w:tcBorders>
              <w:top w:val="single" w:sz="8" w:space="0" w:color="002C47"/>
              <w:left w:val="single" w:sz="8" w:space="0" w:color="002C47"/>
              <w:bottom w:val="single" w:sz="8" w:space="0" w:color="002C47"/>
              <w:right w:val="single" w:sz="8" w:space="0" w:color="002C47"/>
            </w:tcBorders>
          </w:tcPr>
          <w:p w14:paraId="44C16EE5" w14:textId="7321D55D" w:rsidR="0067177E" w:rsidRPr="00404A58" w:rsidRDefault="0067177E" w:rsidP="0067177E">
            <w:r w:rsidRPr="00404A58">
              <w:t>Food and Drug Administration</w:t>
            </w:r>
            <w:r w:rsidR="000114EC" w:rsidRPr="00404A58">
              <w:t xml:space="preserve"> (United States of America)</w:t>
            </w:r>
          </w:p>
        </w:tc>
      </w:tr>
      <w:tr w:rsidR="00903125" w:rsidRPr="00404A58" w14:paraId="4D5A4E03"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A5F9649" w14:textId="48B64D70" w:rsidR="00903125" w:rsidRPr="00404A58" w:rsidRDefault="00903125" w:rsidP="0067177E">
            <w:r w:rsidRPr="00404A58">
              <w:t>GVP</w:t>
            </w:r>
          </w:p>
        </w:tc>
        <w:tc>
          <w:tcPr>
            <w:tcW w:w="4085" w:type="pct"/>
            <w:gridSpan w:val="2"/>
            <w:tcBorders>
              <w:top w:val="single" w:sz="8" w:space="0" w:color="002C47"/>
              <w:left w:val="single" w:sz="8" w:space="0" w:color="002C47"/>
              <w:bottom w:val="single" w:sz="8" w:space="0" w:color="002C47"/>
              <w:right w:val="single" w:sz="8" w:space="0" w:color="002C47"/>
            </w:tcBorders>
          </w:tcPr>
          <w:p w14:paraId="00155493" w14:textId="3D88BBB1" w:rsidR="00903125" w:rsidRPr="00404A58" w:rsidRDefault="00903125" w:rsidP="0067177E">
            <w:r w:rsidRPr="00404A58">
              <w:t>Good Pharmacovigilance Practices</w:t>
            </w:r>
          </w:p>
        </w:tc>
      </w:tr>
      <w:tr w:rsidR="003C4B7E" w:rsidRPr="00404A58" w14:paraId="4025107B"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24D76DA1" w14:textId="60C9154C" w:rsidR="003C4B7E" w:rsidRPr="00404A58" w:rsidRDefault="003C4B7E" w:rsidP="0067177E">
            <w:r w:rsidRPr="00404A58">
              <w:t>INR</w:t>
            </w:r>
          </w:p>
        </w:tc>
        <w:tc>
          <w:tcPr>
            <w:tcW w:w="4085" w:type="pct"/>
            <w:gridSpan w:val="2"/>
            <w:tcBorders>
              <w:top w:val="single" w:sz="8" w:space="0" w:color="002C47"/>
              <w:left w:val="single" w:sz="8" w:space="0" w:color="002C47"/>
              <w:bottom w:val="single" w:sz="8" w:space="0" w:color="002C47"/>
              <w:right w:val="single" w:sz="8" w:space="0" w:color="002C47"/>
            </w:tcBorders>
          </w:tcPr>
          <w:p w14:paraId="77959293" w14:textId="4A6C6444" w:rsidR="003C4B7E" w:rsidRPr="00404A58" w:rsidRDefault="003C4B7E" w:rsidP="0067177E">
            <w:r w:rsidRPr="00404A58">
              <w:t>International normalised ratio</w:t>
            </w:r>
          </w:p>
        </w:tc>
      </w:tr>
      <w:tr w:rsidR="0067177E" w:rsidRPr="00404A58" w14:paraId="28A6D30F"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7F93057" w14:textId="22FBAE88" w:rsidR="0067177E" w:rsidRPr="00404A58" w:rsidRDefault="0067177E" w:rsidP="0067177E">
            <w:r w:rsidRPr="00404A58">
              <w:t>IRC</w:t>
            </w:r>
          </w:p>
        </w:tc>
        <w:tc>
          <w:tcPr>
            <w:tcW w:w="4085" w:type="pct"/>
            <w:gridSpan w:val="2"/>
            <w:tcBorders>
              <w:top w:val="single" w:sz="8" w:space="0" w:color="002C47"/>
              <w:left w:val="single" w:sz="8" w:space="0" w:color="002C47"/>
              <w:bottom w:val="single" w:sz="8" w:space="0" w:color="002C47"/>
              <w:right w:val="single" w:sz="8" w:space="0" w:color="002C47"/>
            </w:tcBorders>
          </w:tcPr>
          <w:p w14:paraId="0DC0631C" w14:textId="7CB5B876" w:rsidR="0067177E" w:rsidRPr="00404A58" w:rsidRDefault="0067177E" w:rsidP="0067177E">
            <w:r w:rsidRPr="00404A58">
              <w:t>Independent Review Committee</w:t>
            </w:r>
          </w:p>
        </w:tc>
      </w:tr>
      <w:tr w:rsidR="000114EC" w:rsidRPr="00404A58" w14:paraId="0A6E7651"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AC45267" w14:textId="527384B4" w:rsidR="000114EC" w:rsidRPr="00404A58" w:rsidRDefault="000114EC" w:rsidP="0067177E">
            <w:r w:rsidRPr="00404A58">
              <w:t>ITK</w:t>
            </w:r>
          </w:p>
        </w:tc>
        <w:tc>
          <w:tcPr>
            <w:tcW w:w="4085" w:type="pct"/>
            <w:gridSpan w:val="2"/>
            <w:tcBorders>
              <w:top w:val="single" w:sz="8" w:space="0" w:color="002C47"/>
              <w:left w:val="single" w:sz="8" w:space="0" w:color="002C47"/>
              <w:bottom w:val="single" w:sz="8" w:space="0" w:color="002C47"/>
              <w:right w:val="single" w:sz="8" w:space="0" w:color="002C47"/>
            </w:tcBorders>
          </w:tcPr>
          <w:p w14:paraId="389A16EE" w14:textId="79E06AD0" w:rsidR="000114EC" w:rsidRPr="00404A58" w:rsidRDefault="000114EC" w:rsidP="0067177E">
            <w:r w:rsidRPr="00404A58">
              <w:t>Interleukin-2 inducible T-cell kinase</w:t>
            </w:r>
          </w:p>
        </w:tc>
      </w:tr>
      <w:tr w:rsidR="0069053A" w:rsidRPr="00404A58" w14:paraId="15823C08"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4936393" w14:textId="21488D8F" w:rsidR="0069053A" w:rsidRPr="00404A58" w:rsidRDefault="0069053A" w:rsidP="0067177E">
            <w:proofErr w:type="spellStart"/>
            <w:r w:rsidRPr="00404A58">
              <w:t>LDi</w:t>
            </w:r>
            <w:proofErr w:type="spellEnd"/>
          </w:p>
        </w:tc>
        <w:tc>
          <w:tcPr>
            <w:tcW w:w="4085" w:type="pct"/>
            <w:gridSpan w:val="2"/>
            <w:tcBorders>
              <w:top w:val="single" w:sz="8" w:space="0" w:color="002C47"/>
              <w:left w:val="single" w:sz="8" w:space="0" w:color="002C47"/>
              <w:bottom w:val="single" w:sz="8" w:space="0" w:color="002C47"/>
              <w:right w:val="single" w:sz="8" w:space="0" w:color="002C47"/>
            </w:tcBorders>
          </w:tcPr>
          <w:p w14:paraId="155FC12B" w14:textId="62728A37" w:rsidR="0069053A" w:rsidRPr="00404A58" w:rsidRDefault="00411A20" w:rsidP="0067177E">
            <w:r>
              <w:t>L</w:t>
            </w:r>
            <w:r w:rsidR="0069053A" w:rsidRPr="00404A58">
              <w:t>ongest transvers diameter of lesion</w:t>
            </w:r>
          </w:p>
        </w:tc>
      </w:tr>
      <w:tr w:rsidR="0067177E" w:rsidRPr="00404A58" w14:paraId="35A7316E"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D2E2D18" w14:textId="6A2023FF" w:rsidR="0067177E" w:rsidRPr="00404A58" w:rsidRDefault="0067177E" w:rsidP="0067177E">
            <w:r w:rsidRPr="00404A58">
              <w:t>MCL</w:t>
            </w:r>
          </w:p>
        </w:tc>
        <w:tc>
          <w:tcPr>
            <w:tcW w:w="4085" w:type="pct"/>
            <w:gridSpan w:val="2"/>
            <w:tcBorders>
              <w:top w:val="single" w:sz="8" w:space="0" w:color="002C47"/>
              <w:left w:val="single" w:sz="8" w:space="0" w:color="002C47"/>
              <w:bottom w:val="single" w:sz="8" w:space="0" w:color="002C47"/>
              <w:right w:val="single" w:sz="8" w:space="0" w:color="002C47"/>
            </w:tcBorders>
          </w:tcPr>
          <w:p w14:paraId="4F84D333" w14:textId="6E11E213" w:rsidR="0067177E" w:rsidRPr="00404A58" w:rsidRDefault="0067177E" w:rsidP="0067177E">
            <w:r w:rsidRPr="00404A58">
              <w:t>Mantle cell lymphoma</w:t>
            </w:r>
          </w:p>
        </w:tc>
      </w:tr>
      <w:tr w:rsidR="0067177E" w:rsidRPr="00404A58" w14:paraId="4A5650F0"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4C188D7" w14:textId="6C6BF15C" w:rsidR="0067177E" w:rsidRPr="00404A58" w:rsidRDefault="0067177E" w:rsidP="0067177E">
            <w:r w:rsidRPr="00404A58">
              <w:t>MedDRA</w:t>
            </w:r>
          </w:p>
        </w:tc>
        <w:tc>
          <w:tcPr>
            <w:tcW w:w="4085" w:type="pct"/>
            <w:gridSpan w:val="2"/>
            <w:tcBorders>
              <w:top w:val="single" w:sz="8" w:space="0" w:color="002C47"/>
              <w:left w:val="single" w:sz="8" w:space="0" w:color="002C47"/>
              <w:bottom w:val="single" w:sz="8" w:space="0" w:color="002C47"/>
              <w:right w:val="single" w:sz="8" w:space="0" w:color="002C47"/>
            </w:tcBorders>
          </w:tcPr>
          <w:p w14:paraId="5FAB512F" w14:textId="04173F07" w:rsidR="0067177E" w:rsidRPr="00404A58" w:rsidRDefault="0067177E" w:rsidP="0067177E">
            <w:r w:rsidRPr="00404A58">
              <w:t>Medical Dictionary for Regulatory Activities</w:t>
            </w:r>
          </w:p>
        </w:tc>
      </w:tr>
      <w:tr w:rsidR="003C4B7E" w:rsidRPr="00404A58" w14:paraId="0E72ABF3"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017CC915" w14:textId="01F677E3" w:rsidR="003C4B7E" w:rsidRPr="00404A58" w:rsidRDefault="003C4B7E" w:rsidP="0067177E">
            <w:r w:rsidRPr="00404A58">
              <w:t>MIPI</w:t>
            </w:r>
            <w:r w:rsidR="007E2311">
              <w:t>-</w:t>
            </w:r>
            <w:r w:rsidRPr="00404A58">
              <w:t>b</w:t>
            </w:r>
          </w:p>
        </w:tc>
        <w:tc>
          <w:tcPr>
            <w:tcW w:w="4085" w:type="pct"/>
            <w:gridSpan w:val="2"/>
            <w:tcBorders>
              <w:top w:val="single" w:sz="8" w:space="0" w:color="002C47"/>
              <w:left w:val="single" w:sz="8" w:space="0" w:color="002C47"/>
              <w:bottom w:val="single" w:sz="8" w:space="0" w:color="002C47"/>
              <w:right w:val="single" w:sz="8" w:space="0" w:color="002C47"/>
            </w:tcBorders>
          </w:tcPr>
          <w:p w14:paraId="2B3AEBBE" w14:textId="31A990A2" w:rsidR="003C4B7E" w:rsidRPr="00404A58" w:rsidRDefault="003C4B7E">
            <w:r w:rsidRPr="00404A58">
              <w:t>Mantle Cell Lymphoma Prognostic Index</w:t>
            </w:r>
            <w:r w:rsidR="007E2311">
              <w:t xml:space="preserve"> (biological) score</w:t>
            </w:r>
          </w:p>
        </w:tc>
      </w:tr>
      <w:tr w:rsidR="0067177E" w:rsidRPr="00404A58" w14:paraId="14A3DE04"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611E3D49" w14:textId="6D88F39A" w:rsidR="0067177E" w:rsidRPr="00404A58" w:rsidRDefault="0067177E" w:rsidP="0067177E">
            <w:r w:rsidRPr="00404A58">
              <w:t>MRI</w:t>
            </w:r>
          </w:p>
        </w:tc>
        <w:tc>
          <w:tcPr>
            <w:tcW w:w="4085" w:type="pct"/>
            <w:gridSpan w:val="2"/>
            <w:tcBorders>
              <w:top w:val="single" w:sz="8" w:space="0" w:color="002C47"/>
              <w:left w:val="single" w:sz="8" w:space="0" w:color="002C47"/>
              <w:bottom w:val="single" w:sz="8" w:space="0" w:color="002C47"/>
              <w:right w:val="single" w:sz="8" w:space="0" w:color="002C47"/>
            </w:tcBorders>
          </w:tcPr>
          <w:p w14:paraId="60220843" w14:textId="2647A8C0" w:rsidR="0067177E" w:rsidRPr="00404A58" w:rsidRDefault="00602EC2" w:rsidP="0067177E">
            <w:r w:rsidRPr="00404A58">
              <w:t>Magnetic resonance imaging</w:t>
            </w:r>
          </w:p>
        </w:tc>
      </w:tr>
      <w:tr w:rsidR="0068710F" w:rsidRPr="00404A58" w14:paraId="1DE72EF7"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6E85C6F" w14:textId="4AF71D76" w:rsidR="0068710F" w:rsidRPr="00404A58" w:rsidRDefault="0068710F" w:rsidP="0067177E">
            <w:r w:rsidRPr="00404A58">
              <w:t>NYHA</w:t>
            </w:r>
          </w:p>
        </w:tc>
        <w:tc>
          <w:tcPr>
            <w:tcW w:w="4085" w:type="pct"/>
            <w:gridSpan w:val="2"/>
            <w:tcBorders>
              <w:top w:val="single" w:sz="8" w:space="0" w:color="002C47"/>
              <w:left w:val="single" w:sz="8" w:space="0" w:color="002C47"/>
              <w:bottom w:val="single" w:sz="8" w:space="0" w:color="002C47"/>
              <w:right w:val="single" w:sz="8" w:space="0" w:color="002C47"/>
            </w:tcBorders>
          </w:tcPr>
          <w:p w14:paraId="0B2ECFD1" w14:textId="67772348" w:rsidR="0068710F" w:rsidRPr="00404A58" w:rsidRDefault="0068710F">
            <w:r w:rsidRPr="00404A58">
              <w:t>New York Heart Association</w:t>
            </w:r>
          </w:p>
        </w:tc>
      </w:tr>
      <w:tr w:rsidR="0067177E" w:rsidRPr="00404A58" w14:paraId="1E4DC02D"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3C9AD7C" w14:textId="27D24F59" w:rsidR="0067177E" w:rsidRPr="00404A58" w:rsidRDefault="0067177E" w:rsidP="0067177E">
            <w:r w:rsidRPr="00404A58">
              <w:t>ORR</w:t>
            </w:r>
          </w:p>
        </w:tc>
        <w:tc>
          <w:tcPr>
            <w:tcW w:w="4085" w:type="pct"/>
            <w:gridSpan w:val="2"/>
            <w:tcBorders>
              <w:top w:val="single" w:sz="8" w:space="0" w:color="002C47"/>
              <w:left w:val="single" w:sz="8" w:space="0" w:color="002C47"/>
              <w:bottom w:val="single" w:sz="8" w:space="0" w:color="002C47"/>
              <w:right w:val="single" w:sz="8" w:space="0" w:color="002C47"/>
            </w:tcBorders>
          </w:tcPr>
          <w:p w14:paraId="3B1135E7" w14:textId="4A3ACA5F" w:rsidR="0067177E" w:rsidRPr="00404A58" w:rsidRDefault="0067177E" w:rsidP="0067177E">
            <w:bookmarkStart w:id="7" w:name="_Hlk105352972"/>
            <w:r w:rsidRPr="00404A58">
              <w:t>Overall response rate</w:t>
            </w:r>
            <w:bookmarkEnd w:id="7"/>
          </w:p>
        </w:tc>
      </w:tr>
      <w:tr w:rsidR="0067177E" w:rsidRPr="00404A58" w14:paraId="4EF051C4"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4E63048" w14:textId="747DA72A" w:rsidR="0067177E" w:rsidRPr="00404A58" w:rsidRDefault="0067177E" w:rsidP="0067177E">
            <w:r w:rsidRPr="00404A58">
              <w:t>PD</w:t>
            </w:r>
          </w:p>
        </w:tc>
        <w:tc>
          <w:tcPr>
            <w:tcW w:w="4085" w:type="pct"/>
            <w:gridSpan w:val="2"/>
            <w:tcBorders>
              <w:top w:val="single" w:sz="8" w:space="0" w:color="002C47"/>
              <w:left w:val="single" w:sz="8" w:space="0" w:color="002C47"/>
              <w:bottom w:val="single" w:sz="8" w:space="0" w:color="002C47"/>
              <w:right w:val="single" w:sz="8" w:space="0" w:color="002C47"/>
            </w:tcBorders>
          </w:tcPr>
          <w:p w14:paraId="4DD71292" w14:textId="4D7AAB2D" w:rsidR="0067177E" w:rsidRPr="00404A58" w:rsidRDefault="0067177E" w:rsidP="0067177E">
            <w:r w:rsidRPr="00404A58">
              <w:t>Pharmacodynamic</w:t>
            </w:r>
            <w:r w:rsidR="000114EC" w:rsidRPr="00404A58">
              <w:t>(</w:t>
            </w:r>
            <w:r w:rsidRPr="00404A58">
              <w:t>s</w:t>
            </w:r>
            <w:r w:rsidR="000114EC" w:rsidRPr="00404A58">
              <w:t>)</w:t>
            </w:r>
          </w:p>
        </w:tc>
      </w:tr>
      <w:tr w:rsidR="0067177E" w:rsidRPr="00404A58" w14:paraId="1DE02D14"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913442D" w14:textId="3C2E225F" w:rsidR="0067177E" w:rsidRPr="00404A58" w:rsidRDefault="0067177E" w:rsidP="0067177E">
            <w:r w:rsidRPr="00404A58">
              <w:t>PET</w:t>
            </w:r>
          </w:p>
        </w:tc>
        <w:tc>
          <w:tcPr>
            <w:tcW w:w="4085" w:type="pct"/>
            <w:gridSpan w:val="2"/>
            <w:tcBorders>
              <w:top w:val="single" w:sz="8" w:space="0" w:color="002C47"/>
              <w:left w:val="single" w:sz="8" w:space="0" w:color="002C47"/>
              <w:bottom w:val="single" w:sz="8" w:space="0" w:color="002C47"/>
              <w:right w:val="single" w:sz="8" w:space="0" w:color="002C47"/>
            </w:tcBorders>
          </w:tcPr>
          <w:p w14:paraId="332B4418" w14:textId="2897C4EE" w:rsidR="0067177E" w:rsidRPr="00404A58" w:rsidRDefault="00602EC2" w:rsidP="0067177E">
            <w:r w:rsidRPr="00404A58">
              <w:t>Positron emission tomography</w:t>
            </w:r>
          </w:p>
        </w:tc>
      </w:tr>
      <w:tr w:rsidR="0067177E" w:rsidRPr="00404A58" w14:paraId="2A101C5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41236841" w14:textId="471B2EA9" w:rsidR="0067177E" w:rsidRPr="00404A58" w:rsidRDefault="0067177E" w:rsidP="0067177E">
            <w:r w:rsidRPr="00404A58">
              <w:t>PFS</w:t>
            </w:r>
          </w:p>
        </w:tc>
        <w:tc>
          <w:tcPr>
            <w:tcW w:w="4085" w:type="pct"/>
            <w:gridSpan w:val="2"/>
            <w:tcBorders>
              <w:top w:val="single" w:sz="8" w:space="0" w:color="002C47"/>
              <w:left w:val="single" w:sz="8" w:space="0" w:color="002C47"/>
              <w:bottom w:val="single" w:sz="8" w:space="0" w:color="002C47"/>
              <w:right w:val="single" w:sz="8" w:space="0" w:color="002C47"/>
            </w:tcBorders>
          </w:tcPr>
          <w:p w14:paraId="066349BA" w14:textId="6091815B" w:rsidR="0067177E" w:rsidRPr="00404A58" w:rsidRDefault="0069053A" w:rsidP="0067177E">
            <w:r w:rsidRPr="00404A58">
              <w:t>Progression</w:t>
            </w:r>
            <w:r w:rsidR="00411A20">
              <w:t>-</w:t>
            </w:r>
            <w:r w:rsidRPr="00404A58">
              <w:t>free survival</w:t>
            </w:r>
          </w:p>
        </w:tc>
      </w:tr>
      <w:tr w:rsidR="0067177E" w:rsidRPr="00404A58" w14:paraId="1B96CA8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B25AB1A" w14:textId="02E4C749" w:rsidR="0067177E" w:rsidRPr="00404A58" w:rsidRDefault="0067177E" w:rsidP="0067177E">
            <w:r w:rsidRPr="00404A58">
              <w:t>PI</w:t>
            </w:r>
          </w:p>
        </w:tc>
        <w:tc>
          <w:tcPr>
            <w:tcW w:w="4085" w:type="pct"/>
            <w:gridSpan w:val="2"/>
            <w:tcBorders>
              <w:top w:val="single" w:sz="8" w:space="0" w:color="002C47"/>
              <w:left w:val="single" w:sz="8" w:space="0" w:color="002C47"/>
              <w:bottom w:val="single" w:sz="8" w:space="0" w:color="002C47"/>
              <w:right w:val="single" w:sz="8" w:space="0" w:color="002C47"/>
            </w:tcBorders>
          </w:tcPr>
          <w:p w14:paraId="0F21B7D9" w14:textId="1DBDE302" w:rsidR="0067177E" w:rsidRPr="00404A58" w:rsidRDefault="0067177E" w:rsidP="0067177E">
            <w:r w:rsidRPr="00404A58">
              <w:t>Product Information</w:t>
            </w:r>
          </w:p>
        </w:tc>
      </w:tr>
      <w:tr w:rsidR="0067177E" w:rsidRPr="00404A58" w14:paraId="46A1D84C"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1877670" w14:textId="49F3BCB7" w:rsidR="0067177E" w:rsidRPr="00404A58" w:rsidRDefault="0067177E" w:rsidP="0067177E">
            <w:r w:rsidRPr="00404A58">
              <w:t>PK</w:t>
            </w:r>
          </w:p>
        </w:tc>
        <w:tc>
          <w:tcPr>
            <w:tcW w:w="4085" w:type="pct"/>
            <w:gridSpan w:val="2"/>
            <w:tcBorders>
              <w:top w:val="single" w:sz="8" w:space="0" w:color="002C47"/>
              <w:left w:val="single" w:sz="8" w:space="0" w:color="002C47"/>
              <w:bottom w:val="single" w:sz="8" w:space="0" w:color="002C47"/>
              <w:right w:val="single" w:sz="8" w:space="0" w:color="002C47"/>
            </w:tcBorders>
          </w:tcPr>
          <w:p w14:paraId="34D76747" w14:textId="66558D81" w:rsidR="0067177E" w:rsidRPr="00404A58" w:rsidRDefault="0067177E" w:rsidP="0067177E">
            <w:r w:rsidRPr="00404A58">
              <w:t>Pharmacokinetic</w:t>
            </w:r>
            <w:r w:rsidR="000114EC" w:rsidRPr="00404A58">
              <w:t>(</w:t>
            </w:r>
            <w:r w:rsidRPr="00404A58">
              <w:t>s</w:t>
            </w:r>
            <w:r w:rsidR="000114EC" w:rsidRPr="00404A58">
              <w:t>)</w:t>
            </w:r>
          </w:p>
        </w:tc>
      </w:tr>
      <w:tr w:rsidR="0067177E" w:rsidRPr="00404A58" w14:paraId="2F22B83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1FE12E7B" w14:textId="62011926" w:rsidR="0067177E" w:rsidRPr="00404A58" w:rsidRDefault="0067177E" w:rsidP="0067177E">
            <w:r w:rsidRPr="00404A58">
              <w:t>PR</w:t>
            </w:r>
          </w:p>
        </w:tc>
        <w:tc>
          <w:tcPr>
            <w:tcW w:w="4085" w:type="pct"/>
            <w:gridSpan w:val="2"/>
            <w:tcBorders>
              <w:top w:val="single" w:sz="8" w:space="0" w:color="002C47"/>
              <w:left w:val="single" w:sz="8" w:space="0" w:color="002C47"/>
              <w:bottom w:val="single" w:sz="8" w:space="0" w:color="002C47"/>
              <w:right w:val="single" w:sz="8" w:space="0" w:color="002C47"/>
            </w:tcBorders>
          </w:tcPr>
          <w:p w14:paraId="1CC0E520" w14:textId="665DC7C3" w:rsidR="0067177E" w:rsidRPr="00404A58" w:rsidRDefault="0067177E" w:rsidP="0067177E">
            <w:bookmarkStart w:id="8" w:name="_Hlk105352958"/>
            <w:r w:rsidRPr="00404A58">
              <w:t xml:space="preserve">Partial </w:t>
            </w:r>
            <w:r w:rsidR="0069053A" w:rsidRPr="00404A58">
              <w:t>response</w:t>
            </w:r>
            <w:bookmarkEnd w:id="8"/>
          </w:p>
        </w:tc>
      </w:tr>
      <w:tr w:rsidR="00903125" w:rsidRPr="00404A58" w14:paraId="474B1D6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54D44CA" w14:textId="0A560C8A" w:rsidR="00903125" w:rsidRPr="00404A58" w:rsidRDefault="00903125" w:rsidP="0067177E">
            <w:r w:rsidRPr="00404A58">
              <w:t>PSUR</w:t>
            </w:r>
          </w:p>
        </w:tc>
        <w:tc>
          <w:tcPr>
            <w:tcW w:w="4085" w:type="pct"/>
            <w:gridSpan w:val="2"/>
            <w:tcBorders>
              <w:top w:val="single" w:sz="8" w:space="0" w:color="002C47"/>
              <w:left w:val="single" w:sz="8" w:space="0" w:color="002C47"/>
              <w:bottom w:val="single" w:sz="8" w:space="0" w:color="002C47"/>
              <w:right w:val="single" w:sz="8" w:space="0" w:color="002C47"/>
            </w:tcBorders>
          </w:tcPr>
          <w:p w14:paraId="3054FBC2" w14:textId="5A656220" w:rsidR="00903125" w:rsidRPr="00404A58" w:rsidRDefault="00903125" w:rsidP="0067177E">
            <w:r w:rsidRPr="00404A58">
              <w:t>Periodic safety update report</w:t>
            </w:r>
          </w:p>
        </w:tc>
      </w:tr>
      <w:tr w:rsidR="0067177E" w:rsidRPr="00404A58" w14:paraId="6F3CAEE6"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0314A847" w14:textId="060E9FAD" w:rsidR="0067177E" w:rsidRPr="00404A58" w:rsidRDefault="0067177E" w:rsidP="0067177E">
            <w:proofErr w:type="spellStart"/>
            <w:r w:rsidRPr="00404A58">
              <w:t>QTcF</w:t>
            </w:r>
            <w:proofErr w:type="spellEnd"/>
          </w:p>
        </w:tc>
        <w:tc>
          <w:tcPr>
            <w:tcW w:w="4085" w:type="pct"/>
            <w:gridSpan w:val="2"/>
            <w:tcBorders>
              <w:top w:val="single" w:sz="8" w:space="0" w:color="002C47"/>
              <w:left w:val="single" w:sz="8" w:space="0" w:color="002C47"/>
              <w:bottom w:val="single" w:sz="8" w:space="0" w:color="002C47"/>
              <w:right w:val="single" w:sz="8" w:space="0" w:color="002C47"/>
            </w:tcBorders>
          </w:tcPr>
          <w:p w14:paraId="4A886FFA" w14:textId="4C8D629B" w:rsidR="0067177E" w:rsidRPr="00404A58" w:rsidRDefault="0069053A" w:rsidP="0067177E">
            <w:r w:rsidRPr="00404A58">
              <w:t>QT</w:t>
            </w:r>
            <w:r w:rsidR="00411A20">
              <w:t>-interval</w:t>
            </w:r>
            <w:r w:rsidRPr="00404A58">
              <w:t xml:space="preserve"> corrected using Fridericia’s formula</w:t>
            </w:r>
          </w:p>
        </w:tc>
      </w:tr>
      <w:tr w:rsidR="003C4B7E" w:rsidRPr="00404A58" w14:paraId="54E1EBC2"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CF6DF26" w14:textId="79C0322B" w:rsidR="003C4B7E" w:rsidRPr="00404A58" w:rsidRDefault="003C4B7E" w:rsidP="0067177E">
            <w:r w:rsidRPr="00404A58">
              <w:t>R-CHOP</w:t>
            </w:r>
          </w:p>
        </w:tc>
        <w:tc>
          <w:tcPr>
            <w:tcW w:w="4085" w:type="pct"/>
            <w:gridSpan w:val="2"/>
            <w:tcBorders>
              <w:top w:val="single" w:sz="8" w:space="0" w:color="002C47"/>
              <w:left w:val="single" w:sz="8" w:space="0" w:color="002C47"/>
              <w:bottom w:val="single" w:sz="8" w:space="0" w:color="002C47"/>
              <w:right w:val="single" w:sz="8" w:space="0" w:color="002C47"/>
            </w:tcBorders>
          </w:tcPr>
          <w:p w14:paraId="05DB9B4F" w14:textId="1A93BFB1" w:rsidR="003C4B7E" w:rsidRPr="00404A58" w:rsidRDefault="003C4B7E" w:rsidP="0067177E">
            <w:r w:rsidRPr="00404A58">
              <w:t>Rituximab/cyclophosphamide/doxorubicin/vincristine/prednisone</w:t>
            </w:r>
          </w:p>
        </w:tc>
      </w:tr>
      <w:tr w:rsidR="006F4D7A" w:rsidRPr="00404A58" w14:paraId="2E6EE963"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0E220CF" w14:textId="2867CF3B" w:rsidR="006F4D7A" w:rsidRPr="00404A58" w:rsidRDefault="006F4D7A" w:rsidP="0067177E">
            <w:r w:rsidRPr="00404A58">
              <w:t>RMP</w:t>
            </w:r>
          </w:p>
        </w:tc>
        <w:tc>
          <w:tcPr>
            <w:tcW w:w="4085" w:type="pct"/>
            <w:gridSpan w:val="2"/>
            <w:tcBorders>
              <w:top w:val="single" w:sz="8" w:space="0" w:color="002C47"/>
              <w:left w:val="single" w:sz="8" w:space="0" w:color="002C47"/>
              <w:bottom w:val="single" w:sz="8" w:space="0" w:color="002C47"/>
              <w:right w:val="single" w:sz="8" w:space="0" w:color="002C47"/>
            </w:tcBorders>
          </w:tcPr>
          <w:p w14:paraId="6E1172D3" w14:textId="00133BC6" w:rsidR="006F4D7A" w:rsidRPr="00404A58" w:rsidRDefault="006F4D7A" w:rsidP="0067177E">
            <w:r w:rsidRPr="00404A58">
              <w:t>Risk management plan</w:t>
            </w:r>
          </w:p>
        </w:tc>
      </w:tr>
      <w:tr w:rsidR="0067177E" w:rsidRPr="00404A58" w14:paraId="79FB6676"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68AD1EA7" w14:textId="2B482373" w:rsidR="0067177E" w:rsidRPr="00404A58" w:rsidRDefault="000114EC" w:rsidP="0067177E">
            <w:r w:rsidRPr="00404A58">
              <w:t>r/r</w:t>
            </w:r>
          </w:p>
        </w:tc>
        <w:tc>
          <w:tcPr>
            <w:tcW w:w="4085" w:type="pct"/>
            <w:gridSpan w:val="2"/>
            <w:tcBorders>
              <w:top w:val="single" w:sz="8" w:space="0" w:color="002C47"/>
              <w:left w:val="single" w:sz="8" w:space="0" w:color="002C47"/>
              <w:bottom w:val="single" w:sz="8" w:space="0" w:color="002C47"/>
              <w:right w:val="single" w:sz="8" w:space="0" w:color="002C47"/>
            </w:tcBorders>
          </w:tcPr>
          <w:p w14:paraId="547DD258" w14:textId="1EB425E0" w:rsidR="0067177E" w:rsidRPr="00404A58" w:rsidRDefault="0069053A" w:rsidP="0067177E">
            <w:r w:rsidRPr="00404A58">
              <w:t xml:space="preserve">Relapsed </w:t>
            </w:r>
            <w:r w:rsidR="0067177E" w:rsidRPr="00404A58">
              <w:t>or refractory</w:t>
            </w:r>
          </w:p>
        </w:tc>
      </w:tr>
      <w:tr w:rsidR="0067177E" w:rsidRPr="00404A58" w14:paraId="4A2EC34B"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10FB34A" w14:textId="7F06E7F0" w:rsidR="0067177E" w:rsidRPr="00404A58" w:rsidRDefault="0067177E" w:rsidP="0067177E">
            <w:r w:rsidRPr="00404A58">
              <w:t>SAE</w:t>
            </w:r>
          </w:p>
        </w:tc>
        <w:tc>
          <w:tcPr>
            <w:tcW w:w="4085" w:type="pct"/>
            <w:gridSpan w:val="2"/>
            <w:tcBorders>
              <w:top w:val="single" w:sz="8" w:space="0" w:color="002C47"/>
              <w:left w:val="single" w:sz="8" w:space="0" w:color="002C47"/>
              <w:bottom w:val="single" w:sz="8" w:space="0" w:color="002C47"/>
              <w:right w:val="single" w:sz="8" w:space="0" w:color="002C47"/>
            </w:tcBorders>
          </w:tcPr>
          <w:p w14:paraId="625DF938" w14:textId="46FCDE45" w:rsidR="0067177E" w:rsidRPr="00404A58" w:rsidRDefault="0067177E" w:rsidP="0067177E">
            <w:r w:rsidRPr="00404A58">
              <w:t>Serious adverse event</w:t>
            </w:r>
          </w:p>
        </w:tc>
      </w:tr>
      <w:tr w:rsidR="0067177E" w:rsidRPr="00404A58" w14:paraId="6289B45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50A01D11" w14:textId="57D8C5B3" w:rsidR="0067177E" w:rsidRPr="00404A58" w:rsidRDefault="0067177E" w:rsidP="0067177E">
            <w:r w:rsidRPr="00404A58">
              <w:t>SMQ</w:t>
            </w:r>
          </w:p>
        </w:tc>
        <w:tc>
          <w:tcPr>
            <w:tcW w:w="4085" w:type="pct"/>
            <w:gridSpan w:val="2"/>
            <w:tcBorders>
              <w:top w:val="single" w:sz="8" w:space="0" w:color="002C47"/>
              <w:left w:val="single" w:sz="8" w:space="0" w:color="002C47"/>
              <w:bottom w:val="single" w:sz="8" w:space="0" w:color="002C47"/>
              <w:right w:val="single" w:sz="8" w:space="0" w:color="002C47"/>
            </w:tcBorders>
          </w:tcPr>
          <w:p w14:paraId="29880738" w14:textId="1B093E1D" w:rsidR="0067177E" w:rsidRPr="00404A58" w:rsidRDefault="0067177E" w:rsidP="0067177E">
            <w:r w:rsidRPr="00404A58">
              <w:t xml:space="preserve">Standardised </w:t>
            </w:r>
            <w:r w:rsidR="003C4B7E" w:rsidRPr="00404A58">
              <w:t xml:space="preserve">Medical Dictionary for Regulatory Activities </w:t>
            </w:r>
            <w:r w:rsidRPr="00404A58">
              <w:t>queries</w:t>
            </w:r>
          </w:p>
        </w:tc>
      </w:tr>
      <w:tr w:rsidR="0067177E" w:rsidRPr="00404A58" w14:paraId="0CF7E15A"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76CF0F52" w14:textId="1C8CDF76" w:rsidR="0067177E" w:rsidRPr="00404A58" w:rsidRDefault="0067177E" w:rsidP="0067177E">
            <w:r w:rsidRPr="00404A58">
              <w:lastRenderedPageBreak/>
              <w:t>TTR</w:t>
            </w:r>
          </w:p>
        </w:tc>
        <w:tc>
          <w:tcPr>
            <w:tcW w:w="4085" w:type="pct"/>
            <w:gridSpan w:val="2"/>
            <w:tcBorders>
              <w:top w:val="single" w:sz="8" w:space="0" w:color="002C47"/>
              <w:left w:val="single" w:sz="8" w:space="0" w:color="002C47"/>
              <w:bottom w:val="single" w:sz="8" w:space="0" w:color="002C47"/>
              <w:right w:val="single" w:sz="8" w:space="0" w:color="002C47"/>
            </w:tcBorders>
          </w:tcPr>
          <w:p w14:paraId="008BC457" w14:textId="5ACF16D3" w:rsidR="0067177E" w:rsidRPr="00404A58" w:rsidRDefault="0069053A" w:rsidP="0067177E">
            <w:r w:rsidRPr="00404A58">
              <w:t xml:space="preserve">Time </w:t>
            </w:r>
            <w:r w:rsidR="0067177E" w:rsidRPr="00404A58">
              <w:t>to response</w:t>
            </w:r>
          </w:p>
        </w:tc>
      </w:tr>
      <w:tr w:rsidR="0067177E" w:rsidRPr="00404A58" w14:paraId="1CE68DAE"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FAD61F1" w14:textId="56F113AA" w:rsidR="0067177E" w:rsidRPr="00404A58" w:rsidRDefault="0067177E" w:rsidP="0067177E">
            <w:r w:rsidRPr="00404A58">
              <w:t>US</w:t>
            </w:r>
            <w:r w:rsidR="000114EC" w:rsidRPr="00404A58">
              <w:t>(A)</w:t>
            </w:r>
          </w:p>
        </w:tc>
        <w:tc>
          <w:tcPr>
            <w:tcW w:w="4085" w:type="pct"/>
            <w:gridSpan w:val="2"/>
            <w:tcBorders>
              <w:top w:val="single" w:sz="8" w:space="0" w:color="002C47"/>
              <w:left w:val="single" w:sz="8" w:space="0" w:color="002C47"/>
              <w:bottom w:val="single" w:sz="8" w:space="0" w:color="002C47"/>
              <w:right w:val="single" w:sz="8" w:space="0" w:color="002C47"/>
            </w:tcBorders>
          </w:tcPr>
          <w:p w14:paraId="7993245A" w14:textId="06AE15D8" w:rsidR="0067177E" w:rsidRPr="00404A58" w:rsidRDefault="0067177E" w:rsidP="0067177E">
            <w:r w:rsidRPr="00404A58">
              <w:t xml:space="preserve">United States </w:t>
            </w:r>
            <w:r w:rsidR="000114EC" w:rsidRPr="00404A58">
              <w:t>(of America)</w:t>
            </w:r>
          </w:p>
        </w:tc>
      </w:tr>
      <w:tr w:rsidR="0067177E" w:rsidRPr="00404A58" w14:paraId="7BDEB995" w14:textId="77777777" w:rsidTr="00F350BD">
        <w:trPr>
          <w:cantSplit/>
        </w:trPr>
        <w:tc>
          <w:tcPr>
            <w:tcW w:w="915" w:type="pct"/>
            <w:tcBorders>
              <w:top w:val="single" w:sz="8" w:space="0" w:color="002C47"/>
              <w:left w:val="single" w:sz="8" w:space="0" w:color="002C47"/>
              <w:bottom w:val="single" w:sz="8" w:space="0" w:color="002C47"/>
              <w:right w:val="single" w:sz="8" w:space="0" w:color="002C47"/>
            </w:tcBorders>
          </w:tcPr>
          <w:p w14:paraId="3E022392" w14:textId="2A82916D" w:rsidR="0067177E" w:rsidRPr="00404A58" w:rsidRDefault="0067177E" w:rsidP="0067177E">
            <w:r w:rsidRPr="00404A58">
              <w:t>WM</w:t>
            </w:r>
          </w:p>
        </w:tc>
        <w:tc>
          <w:tcPr>
            <w:tcW w:w="4085" w:type="pct"/>
            <w:gridSpan w:val="2"/>
            <w:tcBorders>
              <w:top w:val="single" w:sz="8" w:space="0" w:color="002C47"/>
              <w:left w:val="single" w:sz="8" w:space="0" w:color="002C47"/>
              <w:bottom w:val="single" w:sz="8" w:space="0" w:color="002C47"/>
              <w:right w:val="single" w:sz="8" w:space="0" w:color="002C47"/>
            </w:tcBorders>
          </w:tcPr>
          <w:p w14:paraId="731B5D7F" w14:textId="6E11C5A8" w:rsidR="0067177E" w:rsidRPr="00404A58" w:rsidRDefault="0067177E" w:rsidP="0067177E">
            <w:r w:rsidRPr="00404A58">
              <w:t>Waldenström’s macroglobulinaemia</w:t>
            </w:r>
          </w:p>
        </w:tc>
      </w:tr>
    </w:tbl>
    <w:p w14:paraId="23049DEA" w14:textId="77777777" w:rsidR="00FD119B" w:rsidRPr="00404A58" w:rsidRDefault="00FD119B" w:rsidP="00FD119B">
      <w:pPr>
        <w:spacing w:before="0" w:after="200" w:line="0" w:lineRule="auto"/>
        <w:rPr>
          <w:b/>
          <w:i/>
          <w:sz w:val="24"/>
          <w:szCs w:val="24"/>
        </w:rPr>
      </w:pPr>
      <w:r w:rsidRPr="00404A58">
        <w:rPr>
          <w:b/>
          <w:i/>
          <w:sz w:val="24"/>
          <w:szCs w:val="24"/>
        </w:rPr>
        <w:br w:type="page"/>
      </w:r>
    </w:p>
    <w:p w14:paraId="6FF9374E" w14:textId="77777777" w:rsidR="008E7846" w:rsidRPr="00404A58" w:rsidRDefault="009F2673" w:rsidP="008E7846">
      <w:pPr>
        <w:pStyle w:val="Heading2"/>
      </w:pPr>
      <w:bookmarkStart w:id="9" w:name="_Toc110965753"/>
      <w:r w:rsidRPr="00404A58">
        <w:lastRenderedPageBreak/>
        <w:t>Pr</w:t>
      </w:r>
      <w:r w:rsidR="008E7846" w:rsidRPr="00404A58">
        <w:t>oduct submission</w:t>
      </w:r>
      <w:bookmarkEnd w:id="9"/>
      <w:bookmarkEnd w:id="2"/>
      <w:bookmarkEnd w:id="0"/>
    </w:p>
    <w:p w14:paraId="0F5B150E" w14:textId="77777777" w:rsidR="008E7846" w:rsidRPr="00404A58" w:rsidRDefault="008E7846" w:rsidP="009E5A87">
      <w:pPr>
        <w:pStyle w:val="Heading3"/>
        <w:rPr>
          <w:lang w:eastAsia="en-AU"/>
        </w:rPr>
      </w:pPr>
      <w:bookmarkStart w:id="10" w:name="_Toc247691502"/>
      <w:bookmarkStart w:id="11" w:name="_Toc314842483"/>
      <w:bookmarkStart w:id="12" w:name="_Toc110965754"/>
      <w:r w:rsidRPr="00404A58">
        <w:rPr>
          <w:lang w:eastAsia="en-AU"/>
        </w:rPr>
        <w:t>Submission details</w:t>
      </w:r>
      <w:bookmarkEnd w:id="10"/>
      <w:bookmarkEnd w:id="11"/>
      <w:bookmarkEnd w:id="12"/>
    </w:p>
    <w:tbl>
      <w:tblPr>
        <w:tblW w:w="5000" w:type="pct"/>
        <w:tblLook w:val="01E0" w:firstRow="1" w:lastRow="1" w:firstColumn="1" w:lastColumn="1" w:noHBand="0" w:noVBand="0"/>
      </w:tblPr>
      <w:tblGrid>
        <w:gridCol w:w="2682"/>
        <w:gridCol w:w="5822"/>
      </w:tblGrid>
      <w:tr w:rsidR="009F2673" w:rsidRPr="00404A58" w14:paraId="7FEC209B" w14:textId="77777777" w:rsidTr="005918DD">
        <w:tc>
          <w:tcPr>
            <w:tcW w:w="1577" w:type="pct"/>
          </w:tcPr>
          <w:p w14:paraId="34436DCA" w14:textId="77777777" w:rsidR="009F2673" w:rsidRPr="00404A58" w:rsidRDefault="009F2673" w:rsidP="009E5A87">
            <w:pPr>
              <w:rPr>
                <w:i/>
              </w:rPr>
            </w:pPr>
            <w:r w:rsidRPr="00404A58">
              <w:rPr>
                <w:i/>
              </w:rPr>
              <w:t>Type of submission:</w:t>
            </w:r>
          </w:p>
        </w:tc>
        <w:tc>
          <w:tcPr>
            <w:tcW w:w="3423" w:type="pct"/>
          </w:tcPr>
          <w:p w14:paraId="19D79E99" w14:textId="14773F66" w:rsidR="009F2673" w:rsidRPr="00404A58" w:rsidRDefault="005918DD" w:rsidP="009E5A87">
            <w:bookmarkStart w:id="13" w:name="_Hlk111637598"/>
            <w:r w:rsidRPr="00404A58">
              <w:t>New chemical entity</w:t>
            </w:r>
            <w:bookmarkEnd w:id="13"/>
          </w:p>
        </w:tc>
      </w:tr>
      <w:tr w:rsidR="009F2673" w:rsidRPr="00404A58" w14:paraId="2553CBE9" w14:textId="77777777" w:rsidTr="005918DD">
        <w:tc>
          <w:tcPr>
            <w:tcW w:w="1577" w:type="pct"/>
          </w:tcPr>
          <w:p w14:paraId="20ABD006" w14:textId="3F497D19" w:rsidR="009F2673" w:rsidRPr="00404A58" w:rsidRDefault="009F2673" w:rsidP="009E5A87">
            <w:pPr>
              <w:rPr>
                <w:i/>
              </w:rPr>
            </w:pPr>
            <w:r w:rsidRPr="00404A58">
              <w:rPr>
                <w:i/>
              </w:rPr>
              <w:t>Product name:</w:t>
            </w:r>
          </w:p>
        </w:tc>
        <w:tc>
          <w:tcPr>
            <w:tcW w:w="3423" w:type="pct"/>
          </w:tcPr>
          <w:p w14:paraId="7A583770" w14:textId="73E3F251" w:rsidR="009F2673" w:rsidRPr="00404A58" w:rsidRDefault="005918DD" w:rsidP="009E5A87">
            <w:r w:rsidRPr="00404A58">
              <w:t>Brukinsa</w:t>
            </w:r>
          </w:p>
        </w:tc>
      </w:tr>
      <w:tr w:rsidR="009F2673" w:rsidRPr="00404A58" w14:paraId="64388887" w14:textId="77777777" w:rsidTr="005918DD">
        <w:tc>
          <w:tcPr>
            <w:tcW w:w="1577" w:type="pct"/>
          </w:tcPr>
          <w:p w14:paraId="1AC265D1" w14:textId="06AE6E15" w:rsidR="009F2673" w:rsidRPr="00404A58" w:rsidRDefault="009F2673" w:rsidP="009E5A87">
            <w:pPr>
              <w:rPr>
                <w:i/>
              </w:rPr>
            </w:pPr>
            <w:r w:rsidRPr="00404A58">
              <w:rPr>
                <w:i/>
              </w:rPr>
              <w:t>Active ingredient:</w:t>
            </w:r>
          </w:p>
        </w:tc>
        <w:tc>
          <w:tcPr>
            <w:tcW w:w="3423" w:type="pct"/>
          </w:tcPr>
          <w:p w14:paraId="2EC8B0EF" w14:textId="58BF8B17" w:rsidR="009F2673" w:rsidRPr="00404A58" w:rsidRDefault="005918DD" w:rsidP="009E5A87">
            <w:r w:rsidRPr="00404A58">
              <w:t>Zanubrutinib</w:t>
            </w:r>
          </w:p>
        </w:tc>
      </w:tr>
      <w:tr w:rsidR="009F2673" w:rsidRPr="00404A58" w14:paraId="58173FDA" w14:textId="77777777" w:rsidTr="005918DD">
        <w:tc>
          <w:tcPr>
            <w:tcW w:w="1577" w:type="pct"/>
          </w:tcPr>
          <w:p w14:paraId="67DA9CB9" w14:textId="77777777" w:rsidR="009F2673" w:rsidRPr="00404A58" w:rsidRDefault="009F2673" w:rsidP="009E5A87">
            <w:pPr>
              <w:rPr>
                <w:i/>
              </w:rPr>
            </w:pPr>
            <w:r w:rsidRPr="00404A58">
              <w:rPr>
                <w:i/>
              </w:rPr>
              <w:t>Decision:</w:t>
            </w:r>
          </w:p>
        </w:tc>
        <w:tc>
          <w:tcPr>
            <w:tcW w:w="3423" w:type="pct"/>
          </w:tcPr>
          <w:p w14:paraId="48BB64CF" w14:textId="0CF72018" w:rsidR="009F2673" w:rsidRPr="00404A58" w:rsidRDefault="005918DD" w:rsidP="009E5A87">
            <w:r w:rsidRPr="00404A58">
              <w:t>Approved for provisional registration</w:t>
            </w:r>
          </w:p>
        </w:tc>
      </w:tr>
      <w:tr w:rsidR="009F2673" w:rsidRPr="00404A58" w14:paraId="6BB89D77" w14:textId="77777777" w:rsidTr="005918DD">
        <w:tc>
          <w:tcPr>
            <w:tcW w:w="1577" w:type="pct"/>
          </w:tcPr>
          <w:p w14:paraId="0EF96231" w14:textId="77777777" w:rsidR="009F2673" w:rsidRPr="00404A58" w:rsidRDefault="009F2673" w:rsidP="009E5A87">
            <w:pPr>
              <w:rPr>
                <w:i/>
              </w:rPr>
            </w:pPr>
            <w:r w:rsidRPr="00404A58">
              <w:rPr>
                <w:i/>
              </w:rPr>
              <w:t>Date of decision:</w:t>
            </w:r>
          </w:p>
        </w:tc>
        <w:tc>
          <w:tcPr>
            <w:tcW w:w="3423" w:type="pct"/>
          </w:tcPr>
          <w:p w14:paraId="1038BD08" w14:textId="0700B998" w:rsidR="009F2673" w:rsidRPr="00404A58" w:rsidRDefault="005918DD" w:rsidP="009E5A87">
            <w:r w:rsidRPr="00404A58">
              <w:t>8 October 2021</w:t>
            </w:r>
          </w:p>
        </w:tc>
      </w:tr>
      <w:tr w:rsidR="009F2673" w:rsidRPr="00404A58" w14:paraId="52A33E60" w14:textId="77777777" w:rsidTr="005918DD">
        <w:tc>
          <w:tcPr>
            <w:tcW w:w="1577" w:type="pct"/>
          </w:tcPr>
          <w:p w14:paraId="247DDBF6" w14:textId="77777777" w:rsidR="009F2673" w:rsidRPr="00404A58" w:rsidRDefault="009F2673" w:rsidP="009E5A87">
            <w:pPr>
              <w:rPr>
                <w:i/>
              </w:rPr>
            </w:pPr>
            <w:r w:rsidRPr="00404A58">
              <w:rPr>
                <w:i/>
              </w:rPr>
              <w:t>Date of entry onto ARTG:</w:t>
            </w:r>
          </w:p>
        </w:tc>
        <w:tc>
          <w:tcPr>
            <w:tcW w:w="3423" w:type="pct"/>
          </w:tcPr>
          <w:p w14:paraId="0B6C3E6B" w14:textId="478ADB54" w:rsidR="009F2673" w:rsidRPr="00404A58" w:rsidRDefault="005918DD" w:rsidP="009E5A87">
            <w:r w:rsidRPr="00404A58">
              <w:t>8 October 2021</w:t>
            </w:r>
          </w:p>
        </w:tc>
      </w:tr>
      <w:tr w:rsidR="009F2673" w:rsidRPr="00404A58" w14:paraId="2BC17498" w14:textId="77777777" w:rsidTr="005918DD">
        <w:tc>
          <w:tcPr>
            <w:tcW w:w="1577" w:type="pct"/>
          </w:tcPr>
          <w:p w14:paraId="5B9CC8DB" w14:textId="406327E2" w:rsidR="009F2673" w:rsidRPr="00404A58" w:rsidRDefault="009F2673" w:rsidP="009E5A87">
            <w:pPr>
              <w:rPr>
                <w:i/>
              </w:rPr>
            </w:pPr>
            <w:r w:rsidRPr="00404A58">
              <w:rPr>
                <w:i/>
              </w:rPr>
              <w:t>ARTG number:</w:t>
            </w:r>
          </w:p>
        </w:tc>
        <w:tc>
          <w:tcPr>
            <w:tcW w:w="3423" w:type="pct"/>
          </w:tcPr>
          <w:p w14:paraId="28D26D8D" w14:textId="430EBBDC" w:rsidR="009F2673" w:rsidRPr="00404A58" w:rsidRDefault="005918DD" w:rsidP="009E5A87">
            <w:r w:rsidRPr="00404A58">
              <w:t>338475</w:t>
            </w:r>
          </w:p>
        </w:tc>
      </w:tr>
      <w:tr w:rsidR="009F2673" w:rsidRPr="00404A58" w14:paraId="784C3CEF" w14:textId="77777777" w:rsidTr="005918DD">
        <w:tc>
          <w:tcPr>
            <w:tcW w:w="1577" w:type="pct"/>
          </w:tcPr>
          <w:p w14:paraId="37A2B1CD" w14:textId="7AB228B0" w:rsidR="009F2673" w:rsidRPr="00404A58" w:rsidRDefault="001B1DA4" w:rsidP="009E5A87">
            <w:pPr>
              <w:rPr>
                <w:i/>
              </w:rPr>
            </w:pPr>
            <w:r w:rsidRPr="00404A58">
              <w:rPr>
                <w:rFonts w:ascii="Wingdings 3" w:hAnsi="Wingdings 3"/>
                <w:sz w:val="34"/>
                <w:szCs w:val="34"/>
                <w:lang w:eastAsia="en-AU"/>
              </w:rPr>
              <w:t></w:t>
            </w:r>
            <w:hyperlink r:id="rId14" w:history="1">
              <w:r w:rsidR="009F2673" w:rsidRPr="00404A58">
                <w:rPr>
                  <w:rStyle w:val="Hyperlink"/>
                  <w:i/>
                </w:rPr>
                <w:t>Black Triangle Scheme</w:t>
              </w:r>
            </w:hyperlink>
            <w:r w:rsidR="009F2673" w:rsidRPr="00404A58">
              <w:rPr>
                <w:i/>
              </w:rPr>
              <w:t>:</w:t>
            </w:r>
          </w:p>
        </w:tc>
        <w:tc>
          <w:tcPr>
            <w:tcW w:w="3423" w:type="pct"/>
          </w:tcPr>
          <w:p w14:paraId="778BE35B" w14:textId="1AF60EDE" w:rsidR="009F2673" w:rsidRPr="00404A58" w:rsidRDefault="009F2673" w:rsidP="009E5A87">
            <w:r w:rsidRPr="00404A58">
              <w:t>Yes</w:t>
            </w:r>
            <w:r w:rsidR="005918DD" w:rsidRPr="00404A58">
              <w:t>.</w:t>
            </w:r>
          </w:p>
          <w:p w14:paraId="7368031C" w14:textId="6CA50CFF" w:rsidR="009F2673" w:rsidRPr="00404A58" w:rsidRDefault="009F2673" w:rsidP="009E5A87">
            <w:r w:rsidRPr="00404A58">
              <w:t>As a provisionally registered product, this medicine will remain in the Black Triangle Scheme for the duration of its provisional registration</w:t>
            </w:r>
          </w:p>
        </w:tc>
      </w:tr>
      <w:tr w:rsidR="009F2673" w:rsidRPr="00404A58" w14:paraId="0DEAF295" w14:textId="77777777" w:rsidTr="005918DD">
        <w:tc>
          <w:tcPr>
            <w:tcW w:w="1577" w:type="pct"/>
          </w:tcPr>
          <w:p w14:paraId="1FCA8F18" w14:textId="77777777" w:rsidR="009F2673" w:rsidRPr="00404A58" w:rsidRDefault="009F2673" w:rsidP="009E5A87">
            <w:pPr>
              <w:rPr>
                <w:i/>
              </w:rPr>
            </w:pPr>
            <w:r w:rsidRPr="00404A58">
              <w:rPr>
                <w:i/>
              </w:rPr>
              <w:t>Sponsor’s name and address:</w:t>
            </w:r>
          </w:p>
        </w:tc>
        <w:tc>
          <w:tcPr>
            <w:tcW w:w="3423" w:type="pct"/>
          </w:tcPr>
          <w:p w14:paraId="67A086B1" w14:textId="77777777" w:rsidR="009F2673" w:rsidRPr="00404A58" w:rsidRDefault="005918DD" w:rsidP="009E5A87">
            <w:pPr>
              <w:rPr>
                <w:lang w:val="es-ES"/>
              </w:rPr>
            </w:pPr>
            <w:proofErr w:type="spellStart"/>
            <w:r w:rsidRPr="00404A58">
              <w:rPr>
                <w:lang w:val="es-ES"/>
              </w:rPr>
              <w:t>BeiGene</w:t>
            </w:r>
            <w:proofErr w:type="spellEnd"/>
            <w:r w:rsidRPr="00404A58">
              <w:rPr>
                <w:lang w:val="es-ES"/>
              </w:rPr>
              <w:t xml:space="preserve"> AUS </w:t>
            </w:r>
            <w:proofErr w:type="spellStart"/>
            <w:r w:rsidRPr="00404A58">
              <w:rPr>
                <w:lang w:val="es-ES"/>
              </w:rPr>
              <w:t>Pty</w:t>
            </w:r>
            <w:proofErr w:type="spellEnd"/>
            <w:r w:rsidRPr="00404A58">
              <w:rPr>
                <w:lang w:val="es-ES"/>
              </w:rPr>
              <w:t xml:space="preserve"> </w:t>
            </w:r>
            <w:proofErr w:type="spellStart"/>
            <w:r w:rsidRPr="00404A58">
              <w:rPr>
                <w:lang w:val="es-ES"/>
              </w:rPr>
              <w:t>Ltd</w:t>
            </w:r>
            <w:proofErr w:type="spellEnd"/>
          </w:p>
          <w:p w14:paraId="7B1E89BE" w14:textId="77777777" w:rsidR="005918DD" w:rsidRPr="00404A58" w:rsidRDefault="005918DD" w:rsidP="005918DD">
            <w:r w:rsidRPr="00404A58">
              <w:t>1C/528 Compton Road</w:t>
            </w:r>
          </w:p>
          <w:p w14:paraId="38E03F58" w14:textId="5D973BAD" w:rsidR="005918DD" w:rsidRPr="00404A58" w:rsidRDefault="005918DD" w:rsidP="005918DD">
            <w:r w:rsidRPr="00404A58">
              <w:t>Stretton QLD 4116</w:t>
            </w:r>
          </w:p>
        </w:tc>
      </w:tr>
      <w:tr w:rsidR="009F2673" w:rsidRPr="00404A58" w14:paraId="0556B343" w14:textId="77777777" w:rsidTr="005918DD">
        <w:tc>
          <w:tcPr>
            <w:tcW w:w="1577" w:type="pct"/>
          </w:tcPr>
          <w:p w14:paraId="0968E8EB" w14:textId="7C8CAA44" w:rsidR="009F2673" w:rsidRPr="00404A58" w:rsidRDefault="009F2673" w:rsidP="009E5A87">
            <w:pPr>
              <w:rPr>
                <w:i/>
              </w:rPr>
            </w:pPr>
            <w:r w:rsidRPr="00404A58">
              <w:rPr>
                <w:i/>
              </w:rPr>
              <w:t>Dose form:</w:t>
            </w:r>
          </w:p>
        </w:tc>
        <w:tc>
          <w:tcPr>
            <w:tcW w:w="3423" w:type="pct"/>
          </w:tcPr>
          <w:p w14:paraId="18BC27FC" w14:textId="65A7D553" w:rsidR="009F2673" w:rsidRPr="00404A58" w:rsidRDefault="005918DD" w:rsidP="009E5A87">
            <w:r w:rsidRPr="00404A58">
              <w:t>Capsule</w:t>
            </w:r>
          </w:p>
        </w:tc>
      </w:tr>
      <w:tr w:rsidR="009F2673" w:rsidRPr="00404A58" w14:paraId="68F5245A" w14:textId="77777777" w:rsidTr="005918DD">
        <w:tc>
          <w:tcPr>
            <w:tcW w:w="1577" w:type="pct"/>
          </w:tcPr>
          <w:p w14:paraId="6A27B41B" w14:textId="764B55B3" w:rsidR="009F2673" w:rsidRPr="00404A58" w:rsidRDefault="009F2673" w:rsidP="009E5A87">
            <w:pPr>
              <w:rPr>
                <w:i/>
              </w:rPr>
            </w:pPr>
            <w:r w:rsidRPr="00404A58">
              <w:rPr>
                <w:i/>
              </w:rPr>
              <w:t>Strength:</w:t>
            </w:r>
          </w:p>
        </w:tc>
        <w:tc>
          <w:tcPr>
            <w:tcW w:w="3423" w:type="pct"/>
          </w:tcPr>
          <w:p w14:paraId="10355471" w14:textId="22EE50B2" w:rsidR="009F2673" w:rsidRPr="00404A58" w:rsidRDefault="005918DD" w:rsidP="009E5A87">
            <w:r w:rsidRPr="00404A58">
              <w:t>80 mg</w:t>
            </w:r>
          </w:p>
        </w:tc>
      </w:tr>
      <w:tr w:rsidR="009F2673" w:rsidRPr="00404A58" w14:paraId="1EB05E5C" w14:textId="77777777" w:rsidTr="005918DD">
        <w:tc>
          <w:tcPr>
            <w:tcW w:w="1577" w:type="pct"/>
          </w:tcPr>
          <w:p w14:paraId="1F807E78" w14:textId="14188519" w:rsidR="009F2673" w:rsidRPr="00404A58" w:rsidRDefault="009F2673" w:rsidP="009E5A87">
            <w:pPr>
              <w:rPr>
                <w:i/>
              </w:rPr>
            </w:pPr>
            <w:r w:rsidRPr="00404A58">
              <w:rPr>
                <w:i/>
              </w:rPr>
              <w:t>Container:</w:t>
            </w:r>
          </w:p>
        </w:tc>
        <w:tc>
          <w:tcPr>
            <w:tcW w:w="3423" w:type="pct"/>
          </w:tcPr>
          <w:p w14:paraId="1F80790B" w14:textId="73F4E305" w:rsidR="009F2673" w:rsidRPr="00404A58" w:rsidRDefault="005918DD" w:rsidP="009E5A87">
            <w:r w:rsidRPr="00404A58">
              <w:t>Bottle</w:t>
            </w:r>
          </w:p>
        </w:tc>
      </w:tr>
      <w:tr w:rsidR="009F2673" w:rsidRPr="00404A58" w14:paraId="41DAB706" w14:textId="77777777" w:rsidTr="005918DD">
        <w:tc>
          <w:tcPr>
            <w:tcW w:w="1577" w:type="pct"/>
          </w:tcPr>
          <w:p w14:paraId="6F20AE36" w14:textId="09FE8147" w:rsidR="009F2673" w:rsidRPr="00404A58" w:rsidRDefault="009F2673" w:rsidP="009E5A87">
            <w:pPr>
              <w:rPr>
                <w:i/>
              </w:rPr>
            </w:pPr>
            <w:r w:rsidRPr="00404A58">
              <w:rPr>
                <w:i/>
              </w:rPr>
              <w:t>Pack size:</w:t>
            </w:r>
          </w:p>
        </w:tc>
        <w:tc>
          <w:tcPr>
            <w:tcW w:w="3423" w:type="pct"/>
          </w:tcPr>
          <w:p w14:paraId="53C82FB3" w14:textId="565B9297" w:rsidR="009F2673" w:rsidRPr="00404A58" w:rsidRDefault="005918DD" w:rsidP="009E5A87">
            <w:r w:rsidRPr="00404A58">
              <w:t>120</w:t>
            </w:r>
          </w:p>
        </w:tc>
      </w:tr>
      <w:tr w:rsidR="009F2673" w:rsidRPr="00404A58" w14:paraId="0C257317" w14:textId="77777777" w:rsidTr="005918DD">
        <w:tc>
          <w:tcPr>
            <w:tcW w:w="1577" w:type="pct"/>
          </w:tcPr>
          <w:p w14:paraId="7EAC4894" w14:textId="77777777" w:rsidR="009F2673" w:rsidRPr="00404A58" w:rsidRDefault="009F2673" w:rsidP="009E5A87">
            <w:pPr>
              <w:rPr>
                <w:i/>
              </w:rPr>
            </w:pPr>
            <w:r w:rsidRPr="00404A58">
              <w:rPr>
                <w:i/>
              </w:rPr>
              <w:t>Approved therapeutic use:</w:t>
            </w:r>
          </w:p>
        </w:tc>
        <w:tc>
          <w:tcPr>
            <w:tcW w:w="3423" w:type="pct"/>
          </w:tcPr>
          <w:p w14:paraId="4B621945" w14:textId="77777777" w:rsidR="005918DD" w:rsidRPr="00404A58" w:rsidRDefault="005918DD" w:rsidP="005918DD">
            <w:pPr>
              <w:rPr>
                <w:b/>
                <w:bCs/>
                <w:i/>
                <w:iCs/>
              </w:rPr>
            </w:pPr>
            <w:r w:rsidRPr="00404A58">
              <w:rPr>
                <w:b/>
                <w:bCs/>
                <w:i/>
                <w:iCs/>
              </w:rPr>
              <w:t>Mantle cell lymphoma (MCL)</w:t>
            </w:r>
          </w:p>
          <w:p w14:paraId="0D7036EC" w14:textId="77777777" w:rsidR="005918DD" w:rsidRPr="00404A58" w:rsidRDefault="005918DD" w:rsidP="005918DD">
            <w:pPr>
              <w:rPr>
                <w:i/>
                <w:iCs/>
              </w:rPr>
            </w:pPr>
            <w:r w:rsidRPr="00404A58">
              <w:rPr>
                <w:i/>
                <w:iCs/>
              </w:rPr>
              <w:t>Brukinsa is indicated for the treatment of adult patients with mantle cell lymphoma (MCL) who have received at least one prior therapy.</w:t>
            </w:r>
          </w:p>
          <w:p w14:paraId="32694915" w14:textId="7F56C269" w:rsidR="009F2673" w:rsidRPr="00404A58" w:rsidRDefault="005918DD" w:rsidP="009E5A87">
            <w:pPr>
              <w:rPr>
                <w:rFonts w:ascii="Cambria-Italic" w:hAnsi="Cambria-Italic" w:cs="Cambria-Italic"/>
                <w:lang w:eastAsia="en-AU"/>
              </w:rPr>
            </w:pPr>
            <w:r w:rsidRPr="00404A58">
              <w:rPr>
                <w:i/>
                <w:iCs/>
              </w:rPr>
              <w:t>This indication was approved via the provisional approval pathway, based on objective response rate. Continued approval for this indication depends on verification and description of clinical benefit in the confirmatory trials.</w:t>
            </w:r>
          </w:p>
        </w:tc>
      </w:tr>
      <w:tr w:rsidR="009F2673" w:rsidRPr="00404A58" w14:paraId="3425E2E7" w14:textId="77777777" w:rsidTr="005918DD">
        <w:tc>
          <w:tcPr>
            <w:tcW w:w="1577" w:type="pct"/>
          </w:tcPr>
          <w:p w14:paraId="13BCDF46" w14:textId="3F45CB86" w:rsidR="009F2673" w:rsidRPr="00404A58" w:rsidRDefault="009F2673" w:rsidP="009E5A87">
            <w:pPr>
              <w:rPr>
                <w:i/>
              </w:rPr>
            </w:pPr>
            <w:r w:rsidRPr="00404A58">
              <w:rPr>
                <w:i/>
              </w:rPr>
              <w:t>Route of administration:</w:t>
            </w:r>
          </w:p>
        </w:tc>
        <w:tc>
          <w:tcPr>
            <w:tcW w:w="3423" w:type="pct"/>
          </w:tcPr>
          <w:p w14:paraId="4FCE3075" w14:textId="649601D4" w:rsidR="009F2673" w:rsidRPr="00404A58" w:rsidRDefault="005918DD" w:rsidP="009E5A87">
            <w:r w:rsidRPr="00404A58">
              <w:t>Oral</w:t>
            </w:r>
          </w:p>
        </w:tc>
      </w:tr>
      <w:tr w:rsidR="009F2673" w:rsidRPr="00404A58" w14:paraId="5AB05D17" w14:textId="77777777" w:rsidTr="005918DD">
        <w:tc>
          <w:tcPr>
            <w:tcW w:w="1577" w:type="pct"/>
          </w:tcPr>
          <w:p w14:paraId="2C7E8F10" w14:textId="77777777" w:rsidR="009F2673" w:rsidRPr="00404A58" w:rsidRDefault="009F2673" w:rsidP="009E5A87">
            <w:pPr>
              <w:rPr>
                <w:i/>
              </w:rPr>
            </w:pPr>
            <w:r w:rsidRPr="00404A58">
              <w:rPr>
                <w:i/>
              </w:rPr>
              <w:t>Dosage:</w:t>
            </w:r>
          </w:p>
        </w:tc>
        <w:tc>
          <w:tcPr>
            <w:tcW w:w="3423" w:type="pct"/>
          </w:tcPr>
          <w:p w14:paraId="0E4315CF" w14:textId="26C1C4A9" w:rsidR="009F2673" w:rsidRPr="00404A58" w:rsidRDefault="005918DD" w:rsidP="009E5A87">
            <w:r w:rsidRPr="00404A58">
              <w:t>The recommended total daily oral dose of zanubrutinib is 320 mg. Zanubrutinib may be taken as either 320 mg (four</w:t>
            </w:r>
            <w:r w:rsidR="00411A20">
              <w:t> </w:t>
            </w:r>
            <w:r w:rsidRPr="00404A58">
              <w:t>80 mg capsules) once daily, or as 160 mg (two 80 mg capsules) twice daily.</w:t>
            </w:r>
          </w:p>
          <w:p w14:paraId="3EA85421" w14:textId="77777777" w:rsidR="009F2673" w:rsidRPr="00404A58" w:rsidRDefault="009F2673" w:rsidP="009E5A87">
            <w:r w:rsidRPr="00404A58">
              <w:lastRenderedPageBreak/>
              <w:t>For further information regarding dosage, refer to the Product Information.</w:t>
            </w:r>
          </w:p>
        </w:tc>
      </w:tr>
      <w:tr w:rsidR="009F2673" w:rsidRPr="00404A58" w14:paraId="76E29521" w14:textId="77777777" w:rsidTr="005918DD">
        <w:tc>
          <w:tcPr>
            <w:tcW w:w="1577" w:type="pct"/>
          </w:tcPr>
          <w:p w14:paraId="3AF012CC" w14:textId="77777777" w:rsidR="009F2673" w:rsidRPr="00404A58" w:rsidRDefault="009F2673" w:rsidP="009E5A87">
            <w:pPr>
              <w:rPr>
                <w:i/>
              </w:rPr>
            </w:pPr>
            <w:r w:rsidRPr="00404A58">
              <w:rPr>
                <w:i/>
              </w:rPr>
              <w:lastRenderedPageBreak/>
              <w:t>Pregnancy category:</w:t>
            </w:r>
          </w:p>
        </w:tc>
        <w:tc>
          <w:tcPr>
            <w:tcW w:w="3423" w:type="pct"/>
          </w:tcPr>
          <w:p w14:paraId="46A56D13" w14:textId="77777777" w:rsidR="005918DD" w:rsidRPr="00404A58" w:rsidRDefault="005918DD" w:rsidP="005918DD">
            <w:r w:rsidRPr="00404A58">
              <w:t>D</w:t>
            </w:r>
          </w:p>
          <w:p w14:paraId="535642E6" w14:textId="77777777" w:rsidR="005918DD" w:rsidRPr="00404A58" w:rsidRDefault="005918DD" w:rsidP="005918DD">
            <w:r w:rsidRPr="00404A58">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4A63EF5D" w14:textId="4639CABF" w:rsidR="009F2673" w:rsidRPr="00404A58" w:rsidRDefault="009F2673" w:rsidP="009E5A87">
            <w:r w:rsidRPr="00404A58">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6D8004BA" w14:textId="77777777" w:rsidR="008E7846" w:rsidRPr="00404A58" w:rsidRDefault="008E7846" w:rsidP="008E7846">
      <w:pPr>
        <w:pStyle w:val="Heading3"/>
      </w:pPr>
      <w:bookmarkStart w:id="14" w:name="_Toc247691503"/>
      <w:bookmarkStart w:id="15" w:name="_Toc314842484"/>
      <w:bookmarkStart w:id="16" w:name="_Toc110965755"/>
      <w:r w:rsidRPr="00404A58">
        <w:t>Product background</w:t>
      </w:r>
      <w:bookmarkEnd w:id="14"/>
      <w:bookmarkEnd w:id="15"/>
      <w:bookmarkEnd w:id="16"/>
    </w:p>
    <w:p w14:paraId="63424995" w14:textId="294C978A" w:rsidR="009F2673" w:rsidRPr="00404A58" w:rsidRDefault="009F2673" w:rsidP="009F2673">
      <w:r w:rsidRPr="00404A58">
        <w:t xml:space="preserve">This </w:t>
      </w:r>
      <w:proofErr w:type="spellStart"/>
      <w:r w:rsidRPr="00404A58">
        <w:t>AusPAR</w:t>
      </w:r>
      <w:proofErr w:type="spellEnd"/>
      <w:r w:rsidRPr="00404A58">
        <w:t xml:space="preserve"> describes the </w:t>
      </w:r>
      <w:r w:rsidR="001E359E" w:rsidRPr="00404A58">
        <w:t>submission</w:t>
      </w:r>
      <w:r w:rsidRPr="00404A58">
        <w:t xml:space="preserve"> by </w:t>
      </w:r>
      <w:proofErr w:type="spellStart"/>
      <w:r w:rsidR="005918DD" w:rsidRPr="00404A58">
        <w:rPr>
          <w:lang w:val="es-ES"/>
        </w:rPr>
        <w:t>BeiGene</w:t>
      </w:r>
      <w:proofErr w:type="spellEnd"/>
      <w:r w:rsidR="005918DD" w:rsidRPr="00404A58">
        <w:rPr>
          <w:lang w:val="es-ES"/>
        </w:rPr>
        <w:t xml:space="preserve"> AUS </w:t>
      </w:r>
      <w:proofErr w:type="spellStart"/>
      <w:r w:rsidR="005918DD" w:rsidRPr="00404A58">
        <w:rPr>
          <w:lang w:val="es-ES"/>
        </w:rPr>
        <w:t>Pty</w:t>
      </w:r>
      <w:proofErr w:type="spellEnd"/>
      <w:r w:rsidR="005918DD" w:rsidRPr="00404A58">
        <w:rPr>
          <w:lang w:val="es-ES"/>
        </w:rPr>
        <w:t xml:space="preserve"> </w:t>
      </w:r>
      <w:proofErr w:type="spellStart"/>
      <w:r w:rsidR="005918DD" w:rsidRPr="00404A58">
        <w:rPr>
          <w:lang w:val="es-ES"/>
        </w:rPr>
        <w:t>Ltd</w:t>
      </w:r>
      <w:proofErr w:type="spellEnd"/>
      <w:r w:rsidR="005918DD" w:rsidRPr="00404A58">
        <w:t xml:space="preserve"> </w:t>
      </w:r>
      <w:r w:rsidRPr="00404A58">
        <w:t xml:space="preserve">the sponsor) to register </w:t>
      </w:r>
      <w:r w:rsidR="005918DD" w:rsidRPr="00404A58">
        <w:t xml:space="preserve">Brukinsa </w:t>
      </w:r>
      <w:r w:rsidRPr="00404A58">
        <w:t>(</w:t>
      </w:r>
      <w:r w:rsidR="005918DD" w:rsidRPr="00404A58">
        <w:t>zanubrutinib</w:t>
      </w:r>
      <w:r w:rsidRPr="00404A58">
        <w:t xml:space="preserve">) </w:t>
      </w:r>
      <w:r w:rsidR="005918DD" w:rsidRPr="00404A58">
        <w:t>80 mg</w:t>
      </w:r>
      <w:r w:rsidRPr="00404A58">
        <w:t xml:space="preserve">, </w:t>
      </w:r>
      <w:r w:rsidR="005918DD" w:rsidRPr="00404A58">
        <w:t>capsule</w:t>
      </w:r>
      <w:r w:rsidRPr="00404A58">
        <w:t xml:space="preserve"> for the following proposed indication:</w:t>
      </w:r>
    </w:p>
    <w:p w14:paraId="456885F6" w14:textId="7FFA5CCF" w:rsidR="00E40F53" w:rsidRPr="00404A58" w:rsidRDefault="00DD4CC6" w:rsidP="00E40F53">
      <w:pPr>
        <w:ind w:left="720"/>
        <w:rPr>
          <w:i/>
          <w:iCs/>
        </w:rPr>
      </w:pPr>
      <w:r w:rsidRPr="00404A58">
        <w:rPr>
          <w:i/>
          <w:iCs/>
        </w:rPr>
        <w:t xml:space="preserve">Brukinsa </w:t>
      </w:r>
      <w:r w:rsidR="00E40F53" w:rsidRPr="00404A58">
        <w:rPr>
          <w:i/>
          <w:iCs/>
        </w:rPr>
        <w:t>is indicated for the treatment of adult patients with mantle cell lymphoma (MCL) who have received at least one prior therapy.</w:t>
      </w:r>
    </w:p>
    <w:p w14:paraId="06162014" w14:textId="55E7FF83" w:rsidR="009F2673" w:rsidRPr="00404A58" w:rsidRDefault="00E40F53" w:rsidP="00E40F53">
      <w:pPr>
        <w:ind w:left="720"/>
        <w:rPr>
          <w:i/>
          <w:iCs/>
        </w:rPr>
      </w:pPr>
      <w:r w:rsidRPr="00404A58">
        <w:rPr>
          <w:i/>
          <w:iCs/>
        </w:rPr>
        <w:t>This indication was approved via the provisional approval pathway, based on the objective response rate in two single-arm trials. Continued approval for this indication depends on verification and description of clinical benefit in confirmatory trials.</w:t>
      </w:r>
    </w:p>
    <w:p w14:paraId="3DE75B2E" w14:textId="05367D41" w:rsidR="00E40F53" w:rsidRDefault="00DD4CC6" w:rsidP="00DD4CC6">
      <w:r w:rsidRPr="00404A58">
        <w:t>Mantle cell lymphoma (</w:t>
      </w:r>
      <w:r w:rsidR="00E40F53" w:rsidRPr="00404A58">
        <w:t>MCL</w:t>
      </w:r>
      <w:r w:rsidRPr="00404A58">
        <w:t>)</w:t>
      </w:r>
      <w:r w:rsidR="00E40F53" w:rsidRPr="00404A58">
        <w:t xml:space="preserve"> is an aggressive, phenotypically distinct, mature B-cell neoplasm that comprises approximately 4% and 7% to 9% of all malignant lymphomas in the United States </w:t>
      </w:r>
      <w:r w:rsidR="00411A20">
        <w:t xml:space="preserve">of America </w:t>
      </w:r>
      <w:r w:rsidR="00E40F53" w:rsidRPr="00404A58">
        <w:t>(US</w:t>
      </w:r>
      <w:r w:rsidR="00411A20">
        <w:t>A</w:t>
      </w:r>
      <w:r w:rsidR="00E40F53" w:rsidRPr="00404A58">
        <w:t xml:space="preserve">) and Europe, respectively. </w:t>
      </w:r>
      <w:r w:rsidR="00A12492" w:rsidRPr="00A12492">
        <w:t>Australian Institute of Health and Welfare 2021 data reported the age-adj</w:t>
      </w:r>
      <w:r w:rsidR="009D6FE1">
        <w:t>usted incidence of non-Hodgkin l</w:t>
      </w:r>
      <w:r w:rsidR="00A12492" w:rsidRPr="00A12492">
        <w:t>ymphoma in 2017 was 19.8 per 100,000 and proje</w:t>
      </w:r>
      <w:r w:rsidR="00A12492">
        <w:t>cted it reach 20.4 per 100,000</w:t>
      </w:r>
      <w:r w:rsidR="007E2311">
        <w:t xml:space="preserve"> population</w:t>
      </w:r>
      <w:r w:rsidR="00A12492">
        <w:t>.</w:t>
      </w:r>
      <w:r w:rsidR="00A12492">
        <w:rPr>
          <w:rStyle w:val="FootnoteReference"/>
        </w:rPr>
        <w:footnoteReference w:id="1"/>
      </w:r>
      <w:r w:rsidR="009D6FE1">
        <w:t xml:space="preserve"> MCL comprises around 5% to </w:t>
      </w:r>
      <w:r w:rsidR="00A12492" w:rsidRPr="00A12492">
        <w:t xml:space="preserve">10% of non-Hodgkin lymphoma. </w:t>
      </w:r>
      <w:r w:rsidR="00E40F53" w:rsidRPr="00404A58">
        <w:t>It is typically diagnosed in the US and Europe above 60 years of age with a male predominance (2.5 to 3</w:t>
      </w:r>
      <w:r w:rsidR="004A2B72" w:rsidRPr="00404A58">
        <w:t>.</w:t>
      </w:r>
      <w:r w:rsidR="00E40F53" w:rsidRPr="00404A58">
        <w:t xml:space="preserve">1). Approximately 10% to 20% of patients with MCL present with bone marrow involvement, and </w:t>
      </w:r>
      <w:r w:rsidR="009D6FE1">
        <w:t>‘</w:t>
      </w:r>
      <w:r w:rsidR="00E40F53" w:rsidRPr="00404A58">
        <w:t>B symptoms</w:t>
      </w:r>
      <w:r w:rsidR="009D6FE1">
        <w:t>’</w:t>
      </w:r>
      <w:r w:rsidR="00E40F53" w:rsidRPr="00404A58">
        <w:t xml:space="preserve"> (fever, night sweats, and weight loss) are present in approximately 40% of patients. Extranodal involvement of the gastrointestinal tract, particularly the colon, is also common; however, central nervous system involvement is uncommon.</w:t>
      </w:r>
    </w:p>
    <w:p w14:paraId="0CF0E277" w14:textId="5ED446AE" w:rsidR="009D6FE1" w:rsidRPr="00404A58" w:rsidRDefault="009D6FE1" w:rsidP="00DD4CC6">
      <w:r w:rsidRPr="009D6FE1">
        <w:t>A hallmark of MCL is a reciprocal translocation t(11;</w:t>
      </w:r>
      <w:proofErr w:type="gramStart"/>
      <w:r w:rsidRPr="009D6FE1">
        <w:t>14)(</w:t>
      </w:r>
      <w:proofErr w:type="gramEnd"/>
      <w:r w:rsidRPr="009D6FE1">
        <w:t xml:space="preserve">q13;32) that involves </w:t>
      </w:r>
      <w:r w:rsidRPr="0020193E">
        <w:rPr>
          <w:i/>
        </w:rPr>
        <w:t>CCND1</w:t>
      </w:r>
      <w:r w:rsidRPr="009D6FE1">
        <w:t xml:space="preserve">, </w:t>
      </w:r>
      <w:r w:rsidRPr="0020193E">
        <w:rPr>
          <w:i/>
        </w:rPr>
        <w:t>PRAD1</w:t>
      </w:r>
      <w:r w:rsidRPr="009D6FE1">
        <w:t xml:space="preserve"> and </w:t>
      </w:r>
      <w:r w:rsidRPr="0020193E">
        <w:rPr>
          <w:i/>
        </w:rPr>
        <w:t>bc11</w:t>
      </w:r>
      <w:r w:rsidRPr="009D6FE1">
        <w:t xml:space="preserve">, resulting in over-expression of </w:t>
      </w:r>
      <w:r w:rsidRPr="0020193E">
        <w:rPr>
          <w:i/>
        </w:rPr>
        <w:t>CCND1</w:t>
      </w:r>
      <w:r w:rsidRPr="009D6FE1">
        <w:t xml:space="preserve"> which encodes cyclin D1. Cyclin D1 is involved in normal cell growth but in excess promotes the uncontrolled growth of the mantle cells. The translocation or the expression of cyclin D1 distinguish MCL from other B cell lymphomas and is found in over 90% of all diagnosed cases. Of other genetic variants, alterations in p53 are more common in the pleomorphic and blastoid variants.</w:t>
      </w:r>
      <w:r>
        <w:rPr>
          <w:rStyle w:val="FootnoteReference"/>
        </w:rPr>
        <w:footnoteReference w:id="2"/>
      </w:r>
    </w:p>
    <w:p w14:paraId="2B382457" w14:textId="634697DD" w:rsidR="00E40F53" w:rsidRPr="00404A58" w:rsidRDefault="00E40F53" w:rsidP="00E40F53">
      <w:r w:rsidRPr="00404A58">
        <w:lastRenderedPageBreak/>
        <w:t>In symptomatic MCL patients and those with high tumour burden (Stages III</w:t>
      </w:r>
      <w:r w:rsidR="00DD4CC6" w:rsidRPr="00404A58">
        <w:t xml:space="preserve"> to </w:t>
      </w:r>
      <w:r w:rsidRPr="00404A58">
        <w:t>IV), induction chemo-immunotherapy (</w:t>
      </w:r>
      <w:r w:rsidR="00DD4CC6" w:rsidRPr="00404A58">
        <w:t xml:space="preserve">for example, </w:t>
      </w:r>
      <w:r w:rsidR="00AF78AC">
        <w:t>R-CHOP combination therapy (</w:t>
      </w:r>
      <w:r w:rsidRPr="00404A58">
        <w:t>rituximab</w:t>
      </w:r>
      <w:r w:rsidR="00AF78AC">
        <w:t xml:space="preserve">, </w:t>
      </w:r>
      <w:r w:rsidRPr="00404A58">
        <w:t>cyclophosphamide</w:t>
      </w:r>
      <w:r w:rsidR="00AF78AC">
        <w:t xml:space="preserve">, </w:t>
      </w:r>
      <w:r w:rsidRPr="00404A58">
        <w:t>doxorubicin</w:t>
      </w:r>
      <w:r w:rsidR="00AF78AC">
        <w:t xml:space="preserve">, </w:t>
      </w:r>
      <w:r w:rsidRPr="00404A58">
        <w:t>vincristine</w:t>
      </w:r>
      <w:r w:rsidR="00AF78AC">
        <w:t xml:space="preserve">, and </w:t>
      </w:r>
      <w:r w:rsidRPr="00404A58">
        <w:t>prednisone</w:t>
      </w:r>
      <w:r w:rsidR="00AF78AC">
        <w:t>)</w:t>
      </w:r>
      <w:r w:rsidRPr="00404A58">
        <w:t xml:space="preserve"> or</w:t>
      </w:r>
      <w:r w:rsidR="00AF78AC">
        <w:t xml:space="preserve"> the combination of </w:t>
      </w:r>
      <w:r w:rsidR="00AF78AC" w:rsidRPr="00404A58">
        <w:t>rituximab</w:t>
      </w:r>
      <w:r w:rsidR="00AF78AC">
        <w:t xml:space="preserve"> and </w:t>
      </w:r>
      <w:proofErr w:type="spellStart"/>
      <w:r w:rsidRPr="00404A58">
        <w:t>bendamustine</w:t>
      </w:r>
      <w:proofErr w:type="spellEnd"/>
      <w:r w:rsidRPr="00404A58">
        <w:t>) is typically initiated immediately upon diagnosis. More intensive combination chemo-immunotherapy regimens (</w:t>
      </w:r>
      <w:r w:rsidR="00DD4CC6" w:rsidRPr="00404A58">
        <w:t>for example,</w:t>
      </w:r>
      <w:r w:rsidRPr="00404A58">
        <w:t xml:space="preserve"> hyper-fractionated cyclophosphamide/vincristine/doxorubicin/dexamethasone </w:t>
      </w:r>
      <w:r w:rsidR="00DD4CC6" w:rsidRPr="00404A58">
        <w:t>(</w:t>
      </w:r>
      <w:r w:rsidRPr="00404A58">
        <w:t>hyper-CVAD</w:t>
      </w:r>
      <w:r w:rsidR="00DD4CC6" w:rsidRPr="00404A58">
        <w:t>)</w:t>
      </w:r>
      <w:r w:rsidRPr="00404A58">
        <w:t xml:space="preserve"> </w:t>
      </w:r>
      <w:r w:rsidR="00AF78AC">
        <w:t>with or without</w:t>
      </w:r>
      <w:r w:rsidRPr="00404A58">
        <w:t xml:space="preserve"> rituximab) may be used in healthier patients, and stem cell transplant may be considered in younger, fit patients. Due to the advanced age and comorbidities for many MCL patients, dose</w:t>
      </w:r>
      <w:r w:rsidR="0067177E" w:rsidRPr="00404A58">
        <w:t xml:space="preserve"> </w:t>
      </w:r>
      <w:r w:rsidRPr="00404A58">
        <w:t>intensified chemotherapy is often contraindicated both at initial diagnosis and relapse, and therefore, less intensive chemotherapy is often utilised, primarily as palliative care. Patients with relapsed or refractory (</w:t>
      </w:r>
      <w:r w:rsidR="004A2B72" w:rsidRPr="00404A58">
        <w:t>r</w:t>
      </w:r>
      <w:r w:rsidRPr="00404A58">
        <w:t>/</w:t>
      </w:r>
      <w:r w:rsidR="004A2B72" w:rsidRPr="00404A58">
        <w:t>r</w:t>
      </w:r>
      <w:r w:rsidRPr="00404A58">
        <w:t xml:space="preserve">) MCL have poor outcomes, with survival of approximately </w:t>
      </w:r>
      <w:r w:rsidR="0067177E" w:rsidRPr="00404A58">
        <w:t>one</w:t>
      </w:r>
      <w:r w:rsidRPr="00404A58">
        <w:t xml:space="preserve"> to </w:t>
      </w:r>
      <w:r w:rsidR="0067177E" w:rsidRPr="00404A58">
        <w:t>three</w:t>
      </w:r>
      <w:r w:rsidRPr="00404A58">
        <w:t xml:space="preserve"> years.</w:t>
      </w:r>
    </w:p>
    <w:p w14:paraId="23D6DC53" w14:textId="7B5554F1" w:rsidR="00E40F53" w:rsidRPr="00404A58" w:rsidRDefault="00E40F53" w:rsidP="00E40F53">
      <w:r w:rsidRPr="00404A58">
        <w:t xml:space="preserve">Targeting B-cell receptor signalling through </w:t>
      </w:r>
      <w:r w:rsidR="000114EC" w:rsidRPr="00404A58">
        <w:t>Bruton’s tyrosine kinase (</w:t>
      </w:r>
      <w:r w:rsidRPr="00404A58">
        <w:t>BTK</w:t>
      </w:r>
      <w:r w:rsidR="000114EC" w:rsidRPr="00404A58">
        <w:t>)</w:t>
      </w:r>
      <w:r w:rsidRPr="00404A58">
        <w:t xml:space="preserve"> inhibition represents a new approach for the management of B</w:t>
      </w:r>
      <w:r w:rsidR="0067177E" w:rsidRPr="00404A58">
        <w:t>-</w:t>
      </w:r>
      <w:r w:rsidRPr="00404A58">
        <w:t>cell malignancies, including MCL. An advantage of BTK inhibitors is that they offer a relatively non-myelosuppressive, non</w:t>
      </w:r>
      <w:r w:rsidR="00AF78AC">
        <w:noBreakHyphen/>
      </w:r>
      <w:r w:rsidRPr="00404A58">
        <w:t xml:space="preserve">immunosuppressive treatment option, avoiding two of the major toxicities of conventional therapies that confound the management of patients with these diseases. The first-in-class BTK inhibitor, ibrutinib, has received accelerated approval by the US Food and Drug Administration (FDA) for the treatment of patients with MCL who have received at least </w:t>
      </w:r>
      <w:r w:rsidR="0067177E" w:rsidRPr="00404A58">
        <w:t>one</w:t>
      </w:r>
      <w:r w:rsidRPr="00404A58">
        <w:t xml:space="preserve"> prior therapy.</w:t>
      </w:r>
      <w:r w:rsidR="00740D1C">
        <w:t xml:space="preserve"> </w:t>
      </w:r>
      <w:r w:rsidR="002E3930" w:rsidRPr="002E3930">
        <w:t xml:space="preserve">Imbruvica </w:t>
      </w:r>
      <w:r w:rsidR="002E3930">
        <w:t>(i</w:t>
      </w:r>
      <w:r w:rsidR="00740D1C" w:rsidRPr="00740D1C">
        <w:t>brutinib</w:t>
      </w:r>
      <w:r w:rsidR="002E3930">
        <w:t>)</w:t>
      </w:r>
      <w:r w:rsidR="002E3930" w:rsidRPr="00740D1C">
        <w:rPr>
          <w:vertAlign w:val="superscript"/>
        </w:rPr>
        <w:footnoteReference w:id="3"/>
      </w:r>
      <w:r w:rsidR="00740D1C">
        <w:t xml:space="preserve"> </w:t>
      </w:r>
      <w:r w:rsidR="002E3930" w:rsidRPr="002E3930">
        <w:t xml:space="preserve">was first registered </w:t>
      </w:r>
      <w:r w:rsidR="002E3930">
        <w:t xml:space="preserve">on the </w:t>
      </w:r>
      <w:r w:rsidR="00271F2E" w:rsidRPr="00271F2E">
        <w:t xml:space="preserve">Australian Register of Therapeutic Goods </w:t>
      </w:r>
      <w:r w:rsidR="00271F2E">
        <w:t>(</w:t>
      </w:r>
      <w:r w:rsidR="002E3930">
        <w:t>ARTG</w:t>
      </w:r>
      <w:r w:rsidR="00271F2E">
        <w:t>)</w:t>
      </w:r>
      <w:r w:rsidR="002E3930" w:rsidRPr="00740D1C">
        <w:t xml:space="preserve"> </w:t>
      </w:r>
      <w:r w:rsidR="002E3930" w:rsidRPr="002E3930">
        <w:t>on 20 April 2015</w:t>
      </w:r>
      <w:r w:rsidR="00740D1C">
        <w:t>.</w:t>
      </w:r>
      <w:r w:rsidR="00740D1C" w:rsidRPr="00740D1C">
        <w:rPr>
          <w:vertAlign w:val="superscript"/>
        </w:rPr>
        <w:footnoteReference w:id="4"/>
      </w:r>
      <w:r w:rsidR="004210B4">
        <w:t xml:space="preserve"> </w:t>
      </w:r>
      <w:r w:rsidRPr="00404A58">
        <w:t xml:space="preserve">A second BTK inhibitor, acalabrutinib, received accelerated approval by the US FDA in October 2017 for the treatment of patients with MCL who have received at least </w:t>
      </w:r>
      <w:r w:rsidR="0067177E" w:rsidRPr="00404A58">
        <w:t>one</w:t>
      </w:r>
      <w:r w:rsidRPr="00404A58">
        <w:t xml:space="preserve"> prior therapy.</w:t>
      </w:r>
      <w:r w:rsidR="004A04E8">
        <w:t xml:space="preserve"> </w:t>
      </w:r>
      <w:proofErr w:type="spellStart"/>
      <w:r w:rsidR="002E3930" w:rsidRPr="002E3930">
        <w:t>Calquence</w:t>
      </w:r>
      <w:proofErr w:type="spellEnd"/>
      <w:r w:rsidR="002E3930" w:rsidRPr="002E3930">
        <w:t xml:space="preserve"> </w:t>
      </w:r>
      <w:r w:rsidR="002E3930">
        <w:t>(a</w:t>
      </w:r>
      <w:r w:rsidR="004A04E8">
        <w:t>calabrutinib</w:t>
      </w:r>
      <w:r w:rsidR="002E3930">
        <w:t>)</w:t>
      </w:r>
      <w:r w:rsidR="002E3930">
        <w:rPr>
          <w:rStyle w:val="FootnoteReference"/>
        </w:rPr>
        <w:footnoteReference w:id="5"/>
      </w:r>
      <w:r w:rsidR="004A04E8">
        <w:t xml:space="preserve"> </w:t>
      </w:r>
      <w:r w:rsidR="00AD4E03" w:rsidRPr="00AD4E03">
        <w:t>was first registered on the ARTG on 21 November 2019</w:t>
      </w:r>
      <w:r w:rsidR="004A04E8">
        <w:t>.</w:t>
      </w:r>
      <w:r w:rsidR="004A04E8" w:rsidRPr="00AD4E03">
        <w:rPr>
          <w:rStyle w:val="FootnoteReference"/>
        </w:rPr>
        <w:footnoteReference w:id="6"/>
      </w:r>
      <w:r w:rsidR="00AD4E03" w:rsidRPr="00AD4E03">
        <w:rPr>
          <w:vertAlign w:val="superscript"/>
        </w:rPr>
        <w:t>,</w:t>
      </w:r>
      <w:r w:rsidR="00AD4E03" w:rsidRPr="00AD4E03">
        <w:rPr>
          <w:rStyle w:val="FootnoteReference"/>
        </w:rPr>
        <w:footnoteReference w:id="7"/>
      </w:r>
      <w:r w:rsidR="004210B4">
        <w:t xml:space="preserve"> </w:t>
      </w:r>
      <w:r w:rsidRPr="00404A58">
        <w:t>Results of confirmatory studies for ibrutinib and acalabrutinib have not yet been reported.</w:t>
      </w:r>
    </w:p>
    <w:p w14:paraId="16C842F7" w14:textId="5637C9AA" w:rsidR="00E40F53" w:rsidRPr="00404A58" w:rsidRDefault="00E40F53" w:rsidP="00E40F53">
      <w:r w:rsidRPr="00404A58">
        <w:t xml:space="preserve">According to the sponsor, despite improvements in outcome for </w:t>
      </w:r>
      <w:r w:rsidR="004A2B72" w:rsidRPr="00404A58">
        <w:t>r/r</w:t>
      </w:r>
      <w:r w:rsidRPr="00404A58">
        <w:t xml:space="preserve"> MCL patients treated with earlier generation BTK inhibitors, complete response </w:t>
      </w:r>
      <w:r w:rsidR="00602EC2" w:rsidRPr="00404A58">
        <w:t xml:space="preserve">(CR) </w:t>
      </w:r>
      <w:r w:rsidRPr="00404A58">
        <w:t>rates associated with these therapies are still relatively low and response durations unacceptably short. In addition, toxicity considerations (</w:t>
      </w:r>
      <w:r w:rsidR="00DD4CC6" w:rsidRPr="00404A58">
        <w:t>for example,</w:t>
      </w:r>
      <w:r w:rsidRPr="00404A58">
        <w:t xml:space="preserve"> atrial fibrillation, bleeding diarrhoea) limit the extent of exposure, particularly to ibrutinib, thereby jeopardising the ability to achieve complete and sustained BTK suppression in responsive patients. The sponsor is therefore of the opinion that there remains a need for BTK inhibitors with improved pharmacologic properties resulting in high efficacy response rates with greater </w:t>
      </w:r>
      <w:proofErr w:type="gramStart"/>
      <w:r w:rsidRPr="00404A58">
        <w:t>selectivity, and</w:t>
      </w:r>
      <w:proofErr w:type="gramEnd"/>
      <w:r w:rsidRPr="00404A58">
        <w:t xml:space="preserve"> yielding a superior safety profile.</w:t>
      </w:r>
    </w:p>
    <w:p w14:paraId="271033BE" w14:textId="3CAA3C7A" w:rsidR="00E40F53" w:rsidRPr="00404A58" w:rsidRDefault="00E40F53" w:rsidP="00E40F53">
      <w:r w:rsidRPr="00404A58">
        <w:t>Zanubrutinib is a novel, oral, second generation BTK inhibitor designed to be more selective and have more favourable pharmacokinetic</w:t>
      </w:r>
      <w:r w:rsidR="000114EC" w:rsidRPr="00404A58">
        <w:t xml:space="preserve"> (PK)</w:t>
      </w:r>
      <w:r w:rsidRPr="00404A58">
        <w:t xml:space="preserve"> and pharmacodynamic</w:t>
      </w:r>
      <w:r w:rsidR="000114EC" w:rsidRPr="00404A58">
        <w:t xml:space="preserve"> (PD)</w:t>
      </w:r>
      <w:r w:rsidRPr="00404A58">
        <w:t xml:space="preserve"> properties than the approved first-in-class BTK inhibitor, ibrutinib. In preclinical studies, zanubrutinib demonstrated superior oral bioavailability, and achieved higher plasma exposure and more complete BTK inhibition in tissues than ibrutinib. In kinase inhibition and </w:t>
      </w:r>
      <w:proofErr w:type="gramStart"/>
      <w:r w:rsidRPr="00404A58">
        <w:t>cell</w:t>
      </w:r>
      <w:r w:rsidR="0067177E" w:rsidRPr="00404A58">
        <w:t xml:space="preserve"> </w:t>
      </w:r>
      <w:r w:rsidRPr="00404A58">
        <w:t>based</w:t>
      </w:r>
      <w:proofErr w:type="gramEnd"/>
      <w:r w:rsidRPr="00404A58">
        <w:t xml:space="preserve"> assays, it was more selective than ibrutinib for inhibition of BTK, exhibiting less off</w:t>
      </w:r>
      <w:r w:rsidR="00C74D2C" w:rsidRPr="00404A58">
        <w:t>-</w:t>
      </w:r>
      <w:r w:rsidRPr="00404A58">
        <w:t>target activity against epidermal growth factor receptor (EGFR), tyrosine kinase expressed in hepatocellular carcinoma, interleukin-2</w:t>
      </w:r>
      <w:r w:rsidR="0067177E" w:rsidRPr="00404A58">
        <w:t xml:space="preserve"> </w:t>
      </w:r>
      <w:r w:rsidRPr="00404A58">
        <w:t>inducible T</w:t>
      </w:r>
      <w:r w:rsidR="0067177E" w:rsidRPr="00404A58">
        <w:t>-</w:t>
      </w:r>
      <w:r w:rsidRPr="00404A58">
        <w:t>cell kinase (ITK) and other kinases, the inhibition of which have been implicated in ibrutinib</w:t>
      </w:r>
      <w:r w:rsidR="0067177E" w:rsidRPr="00404A58">
        <w:t xml:space="preserve"> </w:t>
      </w:r>
      <w:r w:rsidRPr="00404A58">
        <w:t>associated toxicities such as rash and diarrhoea (EGFR inhibition), bleeding, and atrial fibrillation.</w:t>
      </w:r>
    </w:p>
    <w:p w14:paraId="13F56C69" w14:textId="77777777" w:rsidR="008E7846" w:rsidRPr="00404A58" w:rsidRDefault="00386150" w:rsidP="008E7846">
      <w:pPr>
        <w:pStyle w:val="Heading3"/>
      </w:pPr>
      <w:bookmarkStart w:id="18" w:name="_Toc314842485"/>
      <w:bookmarkStart w:id="19" w:name="_Toc247691504"/>
      <w:bookmarkStart w:id="20" w:name="_Toc110965756"/>
      <w:r w:rsidRPr="00404A58">
        <w:lastRenderedPageBreak/>
        <w:t>Regulatory s</w:t>
      </w:r>
      <w:r w:rsidR="008E7846" w:rsidRPr="00404A58">
        <w:t>tatus</w:t>
      </w:r>
      <w:bookmarkEnd w:id="18"/>
      <w:bookmarkEnd w:id="19"/>
      <w:bookmarkEnd w:id="20"/>
    </w:p>
    <w:p w14:paraId="3C535EBF" w14:textId="590EDCC3" w:rsidR="002031FA" w:rsidRDefault="00332715" w:rsidP="00332715">
      <w:bookmarkStart w:id="21" w:name="_Toc247691505"/>
      <w:bookmarkStart w:id="22" w:name="_Toc314842486"/>
      <w:r w:rsidRPr="00404A58">
        <w:t xml:space="preserve">This product </w:t>
      </w:r>
      <w:r w:rsidR="00D315F1">
        <w:t>was</w:t>
      </w:r>
      <w:r w:rsidRPr="00404A58">
        <w:t xml:space="preserve"> considered </w:t>
      </w:r>
      <w:r w:rsidR="00FA488B">
        <w:t>a</w:t>
      </w:r>
      <w:r w:rsidRPr="00404A58">
        <w:t xml:space="preserve"> new chemical entity for Australian regulatory purposes.</w:t>
      </w:r>
    </w:p>
    <w:p w14:paraId="0EF38DBB" w14:textId="75570D32" w:rsidR="002031FA" w:rsidRDefault="002031FA" w:rsidP="002031FA">
      <w:r>
        <w:t>At the time this submission</w:t>
      </w:r>
      <w:r w:rsidR="00D315F1">
        <w:t xml:space="preserve"> was evaluated</w:t>
      </w:r>
      <w:r>
        <w:t xml:space="preserve">, another </w:t>
      </w:r>
      <w:r w:rsidR="00D315F1">
        <w:t xml:space="preserve">similar </w:t>
      </w:r>
      <w:r>
        <w:t>submission (</w:t>
      </w:r>
      <w:r w:rsidR="00FA488B">
        <w:t>Submission PM</w:t>
      </w:r>
      <w:r w:rsidR="00FA488B">
        <w:noBreakHyphen/>
      </w:r>
      <w:r>
        <w:t xml:space="preserve">2020-02814-1-6) was </w:t>
      </w:r>
      <w:r w:rsidR="00CE3531">
        <w:t>also under evaluation for the following indication:</w:t>
      </w:r>
    </w:p>
    <w:p w14:paraId="2803E231" w14:textId="415C59F3" w:rsidR="002031FA" w:rsidRPr="003929F6" w:rsidRDefault="002031FA" w:rsidP="003929F6">
      <w:pPr>
        <w:ind w:left="720"/>
        <w:rPr>
          <w:i/>
        </w:rPr>
      </w:pPr>
      <w:r w:rsidRPr="003929F6">
        <w:rPr>
          <w:i/>
        </w:rPr>
        <w:t>Waldenström’s macroglobulinemia (WM)</w:t>
      </w:r>
    </w:p>
    <w:p w14:paraId="2A356C24" w14:textId="0188739E" w:rsidR="002031FA" w:rsidRDefault="002031FA" w:rsidP="003929F6">
      <w:pPr>
        <w:ind w:left="720"/>
        <w:rPr>
          <w:i/>
        </w:rPr>
      </w:pPr>
      <w:r w:rsidRPr="003929F6">
        <w:rPr>
          <w:i/>
        </w:rPr>
        <w:t>Brukinsa is indicated for the treatment of adult patients with Waldenström’s macroglobulinaemia (WM) who have received at least one prior therapy, or in first line treatment for patients unsuitable for chemo-immunotherapy.</w:t>
      </w:r>
    </w:p>
    <w:p w14:paraId="3101B4E9" w14:textId="44F0655F" w:rsidR="00CE3531" w:rsidRPr="002031FA" w:rsidRDefault="00D315F1">
      <w:r>
        <w:t>Brukinsa (z</w:t>
      </w:r>
      <w:r w:rsidR="00CE3531">
        <w:t>anubrutinib</w:t>
      </w:r>
      <w:r>
        <w:t>)</w:t>
      </w:r>
      <w:r w:rsidR="00CE3531">
        <w:t xml:space="preserve"> </w:t>
      </w:r>
      <w:r>
        <w:t>was</w:t>
      </w:r>
      <w:r w:rsidR="00CE3531">
        <w:t xml:space="preserve"> considered </w:t>
      </w:r>
      <w:r w:rsidR="00FA488B">
        <w:t>a</w:t>
      </w:r>
      <w:r w:rsidR="00CE3531">
        <w:t xml:space="preserve"> new chemical entity for both submissions. An AusPAR for this parallel submission is also available on the TGA website).</w:t>
      </w:r>
      <w:bookmarkStart w:id="23" w:name="_Ref107850622"/>
      <w:r w:rsidR="00CE3531">
        <w:rPr>
          <w:rStyle w:val="FootnoteReference"/>
        </w:rPr>
        <w:footnoteReference w:id="8"/>
      </w:r>
      <w:bookmarkEnd w:id="23"/>
    </w:p>
    <w:p w14:paraId="0DF59F92" w14:textId="4D773EEC" w:rsidR="00332715" w:rsidRPr="00404A58" w:rsidRDefault="00332715" w:rsidP="00332715">
      <w:r w:rsidRPr="00404A58">
        <w:t xml:space="preserve">At the time the TGA considered this </w:t>
      </w:r>
      <w:r w:rsidR="00BB0B78" w:rsidRPr="00404A58">
        <w:t>submission</w:t>
      </w:r>
      <w:r w:rsidRPr="00404A58">
        <w:t xml:space="preserve">, a similar </w:t>
      </w:r>
      <w:r w:rsidR="00BB0B78" w:rsidRPr="00404A58">
        <w:t>submission</w:t>
      </w:r>
      <w:r w:rsidRPr="00404A58">
        <w:t xml:space="preserve"> had been approved </w:t>
      </w:r>
      <w:r w:rsidR="00C71850" w:rsidRPr="00404A58">
        <w:t>in the USA on 14 November 2019. S</w:t>
      </w:r>
      <w:r w:rsidRPr="00404A58">
        <w:t xml:space="preserve">imilar </w:t>
      </w:r>
      <w:r w:rsidR="00BB0B78" w:rsidRPr="00404A58">
        <w:t>submission</w:t>
      </w:r>
      <w:r w:rsidR="00C71850" w:rsidRPr="00404A58">
        <w:t>s were</w:t>
      </w:r>
      <w:r w:rsidRPr="00404A58">
        <w:t xml:space="preserve"> under consideration in </w:t>
      </w:r>
      <w:r w:rsidR="00C71850" w:rsidRPr="00404A58">
        <w:t>Canada</w:t>
      </w:r>
      <w:r w:rsidRPr="00404A58">
        <w:t xml:space="preserve"> (submitted on </w:t>
      </w:r>
      <w:r w:rsidR="00C71850" w:rsidRPr="00404A58">
        <w:t>14 August 2020</w:t>
      </w:r>
      <w:r w:rsidRPr="00404A58">
        <w:t>)</w:t>
      </w:r>
      <w:r w:rsidR="00C71850" w:rsidRPr="00404A58">
        <w:t xml:space="preserve"> and Singapore (submitted on 25 November 2020).</w:t>
      </w:r>
    </w:p>
    <w:p w14:paraId="05FF1377" w14:textId="77777777" w:rsidR="00332715" w:rsidRPr="00404A58" w:rsidRDefault="0072292E" w:rsidP="00332715">
      <w:r w:rsidRPr="00404A58">
        <w:t xml:space="preserve">The following table </w:t>
      </w:r>
      <w:r w:rsidR="00332715" w:rsidRPr="00404A58">
        <w:t xml:space="preserve">summarises these </w:t>
      </w:r>
      <w:r w:rsidR="00BB0B78" w:rsidRPr="00404A58">
        <w:t>submissions</w:t>
      </w:r>
      <w:r w:rsidR="00332715" w:rsidRPr="00404A58">
        <w:t xml:space="preserve"> and provides the indications where approved.</w:t>
      </w:r>
    </w:p>
    <w:p w14:paraId="259A7088" w14:textId="68EB006B" w:rsidR="00324E45" w:rsidRPr="00271F2E" w:rsidRDefault="00324E45" w:rsidP="00271F2E">
      <w:pPr>
        <w:pStyle w:val="TableTitle"/>
      </w:pPr>
      <w:bookmarkStart w:id="24" w:name="_Ref99705479"/>
      <w:r w:rsidRPr="00271F2E">
        <w:t xml:space="preserve">Table </w:t>
      </w:r>
      <w:fldSimple w:instr=" SEQ Table \* ARABIC ">
        <w:r w:rsidR="00271F2E">
          <w:rPr>
            <w:noProof/>
          </w:rPr>
          <w:t>1</w:t>
        </w:r>
      </w:fldSimple>
      <w:bookmarkEnd w:id="24"/>
      <w:r w:rsidRPr="00271F2E">
        <w:t>: International regulatory status</w:t>
      </w:r>
    </w:p>
    <w:tbl>
      <w:tblPr>
        <w:tblStyle w:val="TableTGAblue"/>
        <w:tblW w:w="8815" w:type="dxa"/>
        <w:tblLook w:val="04A0" w:firstRow="1" w:lastRow="0" w:firstColumn="1" w:lastColumn="0" w:noHBand="0" w:noVBand="1"/>
      </w:tblPr>
      <w:tblGrid>
        <w:gridCol w:w="1333"/>
        <w:gridCol w:w="2240"/>
        <w:gridCol w:w="2316"/>
        <w:gridCol w:w="2926"/>
      </w:tblGrid>
      <w:tr w:rsidR="00006FAB" w:rsidRPr="00404A58" w14:paraId="15CC0B7E" w14:textId="77777777" w:rsidTr="003929F6">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tcPr>
          <w:p w14:paraId="30DBE301" w14:textId="77777777" w:rsidR="00006FAB" w:rsidRPr="00404A58" w:rsidRDefault="00006FAB" w:rsidP="00006FAB">
            <w:pPr>
              <w:ind w:left="0" w:right="0"/>
            </w:pPr>
            <w:r w:rsidRPr="00404A58">
              <w:t>Region</w:t>
            </w:r>
          </w:p>
        </w:tc>
        <w:tc>
          <w:tcPr>
            <w:tcW w:w="2352" w:type="dxa"/>
            <w:tcBorders>
              <w:top w:val="single" w:sz="4" w:space="0" w:color="auto"/>
              <w:left w:val="single" w:sz="4" w:space="0" w:color="auto"/>
              <w:bottom w:val="single" w:sz="4" w:space="0" w:color="auto"/>
              <w:right w:val="single" w:sz="4" w:space="0" w:color="auto"/>
            </w:tcBorders>
          </w:tcPr>
          <w:p w14:paraId="7EA06FC8" w14:textId="77777777" w:rsidR="00006FAB" w:rsidRPr="00404A58" w:rsidRDefault="00006FAB" w:rsidP="00006FAB">
            <w:pPr>
              <w:ind w:left="0" w:right="0"/>
            </w:pPr>
            <w:r w:rsidRPr="00404A58">
              <w:t>Submission date</w:t>
            </w:r>
          </w:p>
        </w:tc>
        <w:tc>
          <w:tcPr>
            <w:tcW w:w="2041" w:type="dxa"/>
            <w:tcBorders>
              <w:top w:val="single" w:sz="4" w:space="0" w:color="auto"/>
              <w:left w:val="single" w:sz="4" w:space="0" w:color="auto"/>
              <w:bottom w:val="single" w:sz="4" w:space="0" w:color="auto"/>
              <w:right w:val="single" w:sz="4" w:space="0" w:color="auto"/>
            </w:tcBorders>
          </w:tcPr>
          <w:p w14:paraId="6BED445D" w14:textId="77777777" w:rsidR="00006FAB" w:rsidRPr="00404A58" w:rsidRDefault="00006FAB" w:rsidP="00006FAB">
            <w:pPr>
              <w:ind w:left="0" w:right="0"/>
            </w:pPr>
            <w:r w:rsidRPr="00404A58">
              <w:t>Status</w:t>
            </w:r>
          </w:p>
        </w:tc>
        <w:tc>
          <w:tcPr>
            <w:tcW w:w="3089" w:type="dxa"/>
            <w:tcBorders>
              <w:top w:val="single" w:sz="4" w:space="0" w:color="auto"/>
              <w:left w:val="single" w:sz="4" w:space="0" w:color="auto"/>
              <w:bottom w:val="single" w:sz="4" w:space="0" w:color="auto"/>
              <w:right w:val="single" w:sz="4" w:space="0" w:color="auto"/>
            </w:tcBorders>
          </w:tcPr>
          <w:p w14:paraId="0864959B" w14:textId="77777777" w:rsidR="00006FAB" w:rsidRPr="00404A58" w:rsidRDefault="00006FAB" w:rsidP="00006FAB">
            <w:pPr>
              <w:ind w:left="0" w:right="0"/>
            </w:pPr>
            <w:r w:rsidRPr="00404A58">
              <w:t>Approved indications</w:t>
            </w:r>
          </w:p>
        </w:tc>
      </w:tr>
      <w:tr w:rsidR="00006FAB" w:rsidRPr="00404A58" w14:paraId="0A2BC135" w14:textId="77777777" w:rsidTr="003929F6">
        <w:tc>
          <w:tcPr>
            <w:tcW w:w="0" w:type="dxa"/>
            <w:tcBorders>
              <w:top w:val="single" w:sz="4" w:space="0" w:color="auto"/>
            </w:tcBorders>
          </w:tcPr>
          <w:p w14:paraId="4FE18C62" w14:textId="14C845D1" w:rsidR="00006FAB" w:rsidRPr="00404A58" w:rsidRDefault="00C71850" w:rsidP="00006FAB">
            <w:pPr>
              <w:ind w:left="0" w:right="0"/>
            </w:pPr>
            <w:r w:rsidRPr="00404A58">
              <w:t>United States of America</w:t>
            </w:r>
          </w:p>
        </w:tc>
        <w:tc>
          <w:tcPr>
            <w:tcW w:w="2352" w:type="dxa"/>
            <w:tcBorders>
              <w:top w:val="single" w:sz="4" w:space="0" w:color="auto"/>
            </w:tcBorders>
          </w:tcPr>
          <w:p w14:paraId="1AD35A81" w14:textId="68EBE93C" w:rsidR="00006FAB" w:rsidRPr="00404A58" w:rsidRDefault="00C71850" w:rsidP="00C71850">
            <w:pPr>
              <w:ind w:left="0"/>
            </w:pPr>
            <w:r w:rsidRPr="00404A58">
              <w:t>27 June 2019</w:t>
            </w:r>
          </w:p>
        </w:tc>
        <w:tc>
          <w:tcPr>
            <w:tcW w:w="2041" w:type="dxa"/>
            <w:tcBorders>
              <w:top w:val="single" w:sz="4" w:space="0" w:color="auto"/>
            </w:tcBorders>
          </w:tcPr>
          <w:p w14:paraId="3943C49B" w14:textId="5422423D" w:rsidR="00006FAB" w:rsidRPr="00404A58" w:rsidRDefault="00C71850" w:rsidP="00C71850">
            <w:pPr>
              <w:ind w:left="0"/>
            </w:pPr>
            <w:r w:rsidRPr="00404A58">
              <w:t>Approved on 14</w:t>
            </w:r>
            <w:r w:rsidR="004210B4">
              <w:t> </w:t>
            </w:r>
            <w:r w:rsidRPr="00404A58">
              <w:t>November</w:t>
            </w:r>
            <w:r w:rsidR="004210B4">
              <w:t> </w:t>
            </w:r>
            <w:r w:rsidRPr="00404A58">
              <w:t>2019</w:t>
            </w:r>
          </w:p>
        </w:tc>
        <w:tc>
          <w:tcPr>
            <w:tcW w:w="3089" w:type="dxa"/>
            <w:tcBorders>
              <w:top w:val="single" w:sz="4" w:space="0" w:color="auto"/>
            </w:tcBorders>
          </w:tcPr>
          <w:p w14:paraId="58074B8B" w14:textId="40678B63" w:rsidR="00C71850" w:rsidRPr="00404A58" w:rsidRDefault="00C71850" w:rsidP="00C71850">
            <w:pPr>
              <w:ind w:left="0"/>
              <w:rPr>
                <w:i/>
                <w:iCs/>
              </w:rPr>
            </w:pPr>
            <w:r w:rsidRPr="00404A58">
              <w:rPr>
                <w:i/>
                <w:iCs/>
              </w:rPr>
              <w:t>Brukinsa is indicated for the treatment of adult patients with mantle cell lymphoma (MCL) who have received at least one prior therapy.</w:t>
            </w:r>
          </w:p>
          <w:p w14:paraId="77DA3B8E" w14:textId="44E747E3" w:rsidR="00006FAB" w:rsidRPr="00404A58" w:rsidRDefault="00C71850" w:rsidP="00C71850">
            <w:pPr>
              <w:ind w:left="0"/>
              <w:rPr>
                <w:i/>
                <w:iCs/>
              </w:rPr>
            </w:pPr>
            <w:r w:rsidRPr="00404A58">
              <w:rPr>
                <w:i/>
                <w:iCs/>
              </w:rPr>
              <w:t>This indication is approved under accelerated approval based on overall response rate. Continued approval for this indication may be contingent upon verification and description of clinical benefit in a confirmatory trial.</w:t>
            </w:r>
          </w:p>
        </w:tc>
      </w:tr>
      <w:tr w:rsidR="00006FAB" w:rsidRPr="00404A58" w14:paraId="462488BF" w14:textId="77777777" w:rsidTr="003929F6">
        <w:tc>
          <w:tcPr>
            <w:tcW w:w="0" w:type="dxa"/>
          </w:tcPr>
          <w:p w14:paraId="4B9FC33A" w14:textId="36689655" w:rsidR="00006FAB" w:rsidRPr="00404A58" w:rsidRDefault="00C71850" w:rsidP="00006FAB">
            <w:pPr>
              <w:ind w:left="0" w:right="0"/>
            </w:pPr>
            <w:r w:rsidRPr="00404A58">
              <w:t>Canada</w:t>
            </w:r>
          </w:p>
        </w:tc>
        <w:tc>
          <w:tcPr>
            <w:tcW w:w="2352" w:type="dxa"/>
          </w:tcPr>
          <w:p w14:paraId="4B117205" w14:textId="3F2422B1" w:rsidR="00006FAB" w:rsidRPr="00404A58" w:rsidRDefault="00C71850" w:rsidP="00C71850">
            <w:pPr>
              <w:ind w:left="0"/>
            </w:pPr>
            <w:r w:rsidRPr="00404A58">
              <w:t>14 August 2020</w:t>
            </w:r>
          </w:p>
        </w:tc>
        <w:tc>
          <w:tcPr>
            <w:tcW w:w="2041" w:type="dxa"/>
          </w:tcPr>
          <w:p w14:paraId="774FFD82" w14:textId="77777777" w:rsidR="00006FAB" w:rsidRPr="00404A58" w:rsidRDefault="00006FAB" w:rsidP="00006FAB">
            <w:pPr>
              <w:ind w:left="0" w:right="0"/>
            </w:pPr>
            <w:r w:rsidRPr="00404A58">
              <w:t>Under consideration</w:t>
            </w:r>
          </w:p>
        </w:tc>
        <w:tc>
          <w:tcPr>
            <w:tcW w:w="3089" w:type="dxa"/>
          </w:tcPr>
          <w:p w14:paraId="52BD604F" w14:textId="77777777" w:rsidR="00006FAB" w:rsidRPr="00404A58" w:rsidRDefault="00006FAB" w:rsidP="00006FAB">
            <w:pPr>
              <w:ind w:left="0" w:right="0"/>
            </w:pPr>
            <w:r w:rsidRPr="00404A58">
              <w:t>Under consideration</w:t>
            </w:r>
          </w:p>
        </w:tc>
      </w:tr>
      <w:tr w:rsidR="00C71850" w:rsidRPr="00404A58" w14:paraId="2F405DEE" w14:textId="77777777" w:rsidTr="003929F6">
        <w:tc>
          <w:tcPr>
            <w:tcW w:w="0" w:type="dxa"/>
          </w:tcPr>
          <w:p w14:paraId="3C1173D4" w14:textId="4D4B571B" w:rsidR="00C71850" w:rsidRPr="00404A58" w:rsidRDefault="00C71850" w:rsidP="00C71850">
            <w:pPr>
              <w:ind w:left="0"/>
            </w:pPr>
            <w:r w:rsidRPr="00404A58">
              <w:t>Singapore</w:t>
            </w:r>
          </w:p>
        </w:tc>
        <w:tc>
          <w:tcPr>
            <w:tcW w:w="2352" w:type="dxa"/>
          </w:tcPr>
          <w:p w14:paraId="04956AA7" w14:textId="2DDB7B20" w:rsidR="00C71850" w:rsidRPr="00404A58" w:rsidRDefault="00C71850" w:rsidP="00C71850">
            <w:pPr>
              <w:ind w:left="0"/>
            </w:pPr>
            <w:r w:rsidRPr="00404A58">
              <w:t>25 November 2020</w:t>
            </w:r>
          </w:p>
        </w:tc>
        <w:tc>
          <w:tcPr>
            <w:tcW w:w="2041" w:type="dxa"/>
          </w:tcPr>
          <w:p w14:paraId="73294BF3" w14:textId="415409FB" w:rsidR="00C71850" w:rsidRPr="00404A58" w:rsidRDefault="00C71850" w:rsidP="00C71850">
            <w:pPr>
              <w:ind w:left="0"/>
            </w:pPr>
            <w:r w:rsidRPr="00404A58">
              <w:t>Under</w:t>
            </w:r>
            <w:r w:rsidR="004210B4">
              <w:t> </w:t>
            </w:r>
            <w:r w:rsidRPr="00404A58">
              <w:t>consideration</w:t>
            </w:r>
          </w:p>
        </w:tc>
        <w:tc>
          <w:tcPr>
            <w:tcW w:w="3089" w:type="dxa"/>
          </w:tcPr>
          <w:p w14:paraId="1253ADD4" w14:textId="2669E32F" w:rsidR="00C71850" w:rsidRPr="00404A58" w:rsidRDefault="00C71850" w:rsidP="00C71850">
            <w:pPr>
              <w:ind w:left="0"/>
            </w:pPr>
            <w:r w:rsidRPr="00404A58">
              <w:t>Under consideration</w:t>
            </w:r>
          </w:p>
        </w:tc>
      </w:tr>
    </w:tbl>
    <w:p w14:paraId="029EDD42" w14:textId="77777777" w:rsidR="008E7846" w:rsidRPr="00404A58" w:rsidRDefault="008E7846" w:rsidP="00940A89">
      <w:pPr>
        <w:pStyle w:val="Heading3"/>
      </w:pPr>
      <w:bookmarkStart w:id="25" w:name="_Toc110965757"/>
      <w:r w:rsidRPr="00404A58">
        <w:t>Product Information</w:t>
      </w:r>
      <w:bookmarkEnd w:id="21"/>
      <w:bookmarkEnd w:id="22"/>
      <w:bookmarkEnd w:id="25"/>
    </w:p>
    <w:p w14:paraId="239AE699" w14:textId="0E9AD851" w:rsidR="00332715" w:rsidRPr="00404A58" w:rsidRDefault="00332715" w:rsidP="00332715">
      <w:bookmarkStart w:id="26" w:name="_Toc504480011"/>
      <w:bookmarkStart w:id="27" w:name="_Toc247691506"/>
      <w:bookmarkStart w:id="28" w:name="_Toc314842487"/>
      <w:r w:rsidRPr="00404A58">
        <w:t xml:space="preserve">The Product Information (PI) approved with the submission which is described in this AusPAR can be found as Attachment 1. For the most recent PI, please refer to the TGA </w:t>
      </w:r>
      <w:hyperlink r:id="rId15" w:history="1">
        <w:r w:rsidRPr="00404A58">
          <w:rPr>
            <w:rStyle w:val="Hyperlink"/>
          </w:rPr>
          <w:t>PI/CMI search facility</w:t>
        </w:r>
        <w:r w:rsidRPr="00404A58">
          <w:rPr>
            <w:rStyle w:val="Hyperlink"/>
            <w:color w:val="auto"/>
            <w:u w:val="none"/>
          </w:rPr>
          <w:t>.</w:t>
        </w:r>
      </w:hyperlink>
    </w:p>
    <w:p w14:paraId="2F3E6DFE" w14:textId="74471925" w:rsidR="00500337" w:rsidRPr="00404A58" w:rsidRDefault="00500337" w:rsidP="00500337">
      <w:pPr>
        <w:pStyle w:val="Heading2"/>
      </w:pPr>
      <w:bookmarkStart w:id="29" w:name="_Toc110965758"/>
      <w:r w:rsidRPr="00404A58">
        <w:lastRenderedPageBreak/>
        <w:t>Registration timeline</w:t>
      </w:r>
      <w:bookmarkEnd w:id="26"/>
      <w:bookmarkEnd w:id="29"/>
    </w:p>
    <w:p w14:paraId="090E66CB" w14:textId="77777777" w:rsidR="0074163C" w:rsidRPr="00404A58" w:rsidRDefault="0074163C" w:rsidP="0074163C">
      <w:r w:rsidRPr="00404A58">
        <w:t xml:space="preserve">The following table captures the key steps and dates for this </w:t>
      </w:r>
      <w:r w:rsidR="00804D99" w:rsidRPr="00404A58">
        <w:t>submission</w:t>
      </w:r>
      <w:r w:rsidRPr="00404A58">
        <w:t>.</w:t>
      </w:r>
    </w:p>
    <w:p w14:paraId="3C9002E5" w14:textId="41AAD453" w:rsidR="0074163C" w:rsidRPr="00271F2E" w:rsidRDefault="0074163C" w:rsidP="00271F2E">
      <w:pPr>
        <w:pStyle w:val="TableTitle"/>
      </w:pPr>
      <w:r w:rsidRPr="00271F2E">
        <w:t xml:space="preserve">Table </w:t>
      </w:r>
      <w:fldSimple w:instr=" SEQ Table \* ARABIC ">
        <w:r w:rsidR="00271F2E">
          <w:rPr>
            <w:noProof/>
          </w:rPr>
          <w:t>2</w:t>
        </w:r>
      </w:fldSimple>
      <w:r w:rsidRPr="00271F2E">
        <w:t xml:space="preserve">: Timeline for Submission </w:t>
      </w:r>
      <w:r w:rsidR="00185189" w:rsidRPr="00271F2E">
        <w:t>PM-2020-03076-1-6</w:t>
      </w:r>
    </w:p>
    <w:tbl>
      <w:tblPr>
        <w:tblStyle w:val="TableTGAblue"/>
        <w:tblW w:w="0" w:type="auto"/>
        <w:tblLook w:val="04A0" w:firstRow="1" w:lastRow="0" w:firstColumn="1" w:lastColumn="0" w:noHBand="0" w:noVBand="1"/>
      </w:tblPr>
      <w:tblGrid>
        <w:gridCol w:w="6091"/>
        <w:gridCol w:w="2403"/>
      </w:tblGrid>
      <w:tr w:rsidR="0074163C" w:rsidRPr="00404A58" w14:paraId="67155C6D" w14:textId="77777777" w:rsidTr="00E67A7F">
        <w:trPr>
          <w:cnfStyle w:val="100000000000" w:firstRow="1" w:lastRow="0" w:firstColumn="0" w:lastColumn="0" w:oddVBand="0" w:evenVBand="0" w:oddHBand="0" w:evenHBand="0" w:firstRowFirstColumn="0" w:firstRowLastColumn="0" w:lastRowFirstColumn="0" w:lastRowLastColumn="0"/>
        </w:trPr>
        <w:tc>
          <w:tcPr>
            <w:tcW w:w="6091" w:type="dxa"/>
            <w:tcBorders>
              <w:top w:val="single" w:sz="4" w:space="0" w:color="auto"/>
              <w:left w:val="single" w:sz="4" w:space="0" w:color="auto"/>
              <w:bottom w:val="single" w:sz="4" w:space="0" w:color="auto"/>
              <w:right w:val="single" w:sz="4" w:space="0" w:color="auto"/>
            </w:tcBorders>
          </w:tcPr>
          <w:p w14:paraId="57019007" w14:textId="77777777" w:rsidR="0074163C" w:rsidRPr="00404A58" w:rsidRDefault="0074163C">
            <w:r w:rsidRPr="00404A58">
              <w:t>Description</w:t>
            </w:r>
          </w:p>
        </w:tc>
        <w:tc>
          <w:tcPr>
            <w:tcW w:w="2403" w:type="dxa"/>
            <w:tcBorders>
              <w:top w:val="single" w:sz="4" w:space="0" w:color="auto"/>
              <w:left w:val="single" w:sz="4" w:space="0" w:color="auto"/>
              <w:bottom w:val="single" w:sz="4" w:space="0" w:color="auto"/>
              <w:right w:val="single" w:sz="4" w:space="0" w:color="auto"/>
            </w:tcBorders>
          </w:tcPr>
          <w:p w14:paraId="71FF3807" w14:textId="77777777" w:rsidR="0074163C" w:rsidRPr="00404A58" w:rsidRDefault="0074163C">
            <w:r w:rsidRPr="00404A58">
              <w:t>Date</w:t>
            </w:r>
          </w:p>
        </w:tc>
      </w:tr>
      <w:tr w:rsidR="005918DD" w:rsidRPr="00404A58" w14:paraId="4C00BDC1" w14:textId="77777777" w:rsidTr="00E67A7F">
        <w:tc>
          <w:tcPr>
            <w:tcW w:w="6091" w:type="dxa"/>
            <w:tcBorders>
              <w:top w:val="single" w:sz="4" w:space="0" w:color="auto"/>
            </w:tcBorders>
          </w:tcPr>
          <w:p w14:paraId="63F705AC" w14:textId="275612C2" w:rsidR="005918DD" w:rsidRPr="00404A58" w:rsidRDefault="005918DD" w:rsidP="003929F6">
            <w:pPr>
              <w:pStyle w:val="Instructions"/>
              <w:keepNext/>
              <w:rPr>
                <w:iCs/>
              </w:rPr>
            </w:pPr>
            <w:r w:rsidRPr="00404A58">
              <w:rPr>
                <w:i w:val="0"/>
                <w:iCs/>
                <w:color w:val="auto"/>
              </w:rPr>
              <w:t>Determination (Provisional)</w:t>
            </w:r>
            <w:r w:rsidR="004A2B72" w:rsidRPr="00404A58">
              <w:rPr>
                <w:rStyle w:val="FootnoteReference"/>
                <w:i w:val="0"/>
                <w:iCs/>
                <w:color w:val="auto"/>
              </w:rPr>
              <w:footnoteReference w:id="9"/>
            </w:r>
          </w:p>
        </w:tc>
        <w:tc>
          <w:tcPr>
            <w:tcW w:w="2403" w:type="dxa"/>
          </w:tcPr>
          <w:p w14:paraId="16A17B37" w14:textId="41D13E77" w:rsidR="005918DD" w:rsidRPr="00404A58" w:rsidRDefault="005918DD" w:rsidP="003929F6">
            <w:pPr>
              <w:keepNext/>
            </w:pPr>
            <w:r w:rsidRPr="00404A58">
              <w:t>17 June 2020</w:t>
            </w:r>
          </w:p>
        </w:tc>
      </w:tr>
      <w:tr w:rsidR="005918DD" w:rsidRPr="00404A58" w14:paraId="1589452B" w14:textId="77777777" w:rsidTr="00E67A7F">
        <w:tc>
          <w:tcPr>
            <w:tcW w:w="6091" w:type="dxa"/>
          </w:tcPr>
          <w:p w14:paraId="537C679C" w14:textId="77777777" w:rsidR="005918DD" w:rsidRPr="00404A58" w:rsidRDefault="005918DD" w:rsidP="005918DD">
            <w:r w:rsidRPr="00404A58">
              <w:t>Submission dossier accepted and first round evaluation commenced</w:t>
            </w:r>
          </w:p>
        </w:tc>
        <w:tc>
          <w:tcPr>
            <w:tcW w:w="2403" w:type="dxa"/>
            <w:tcBorders>
              <w:top w:val="single" w:sz="8" w:space="0" w:color="002C47"/>
              <w:left w:val="single" w:sz="8" w:space="0" w:color="002C47"/>
              <w:bottom w:val="single" w:sz="8" w:space="0" w:color="002C47"/>
              <w:right w:val="single" w:sz="8" w:space="0" w:color="002C47"/>
            </w:tcBorders>
          </w:tcPr>
          <w:p w14:paraId="669FA4FC" w14:textId="13562D5B" w:rsidR="005918DD" w:rsidRPr="00404A58" w:rsidRDefault="005918DD" w:rsidP="005918DD">
            <w:r w:rsidRPr="00404A58">
              <w:t>31 July 2020</w:t>
            </w:r>
          </w:p>
        </w:tc>
      </w:tr>
      <w:tr w:rsidR="005918DD" w:rsidRPr="00404A58" w14:paraId="2FBC4011" w14:textId="77777777" w:rsidTr="00E67A7F">
        <w:tc>
          <w:tcPr>
            <w:tcW w:w="6091" w:type="dxa"/>
          </w:tcPr>
          <w:p w14:paraId="4E2F527E" w14:textId="77777777" w:rsidR="005918DD" w:rsidRPr="00404A58" w:rsidRDefault="005918DD" w:rsidP="005918DD">
            <w:r w:rsidRPr="00404A58">
              <w:t>First round evaluation completed</w:t>
            </w:r>
          </w:p>
        </w:tc>
        <w:tc>
          <w:tcPr>
            <w:tcW w:w="2403" w:type="dxa"/>
            <w:tcBorders>
              <w:top w:val="single" w:sz="8" w:space="0" w:color="002C47"/>
              <w:left w:val="single" w:sz="8" w:space="0" w:color="002C47"/>
              <w:bottom w:val="single" w:sz="8" w:space="0" w:color="002C47"/>
              <w:right w:val="single" w:sz="8" w:space="0" w:color="002C47"/>
            </w:tcBorders>
          </w:tcPr>
          <w:p w14:paraId="087C9DBE" w14:textId="6C16B287" w:rsidR="005918DD" w:rsidRPr="00404A58" w:rsidRDefault="005918DD" w:rsidP="005918DD">
            <w:r w:rsidRPr="00404A58">
              <w:t>24 December 2020</w:t>
            </w:r>
          </w:p>
        </w:tc>
      </w:tr>
      <w:tr w:rsidR="005918DD" w:rsidRPr="00404A58" w14:paraId="382E73B1" w14:textId="77777777" w:rsidTr="00E67A7F">
        <w:tc>
          <w:tcPr>
            <w:tcW w:w="6091" w:type="dxa"/>
          </w:tcPr>
          <w:p w14:paraId="63F28EEF" w14:textId="77777777" w:rsidR="005918DD" w:rsidRPr="00404A58" w:rsidRDefault="005918DD" w:rsidP="005918DD">
            <w:r w:rsidRPr="00404A58">
              <w:t>Sponsor provides responses on questions raised in first round evaluation</w:t>
            </w:r>
          </w:p>
        </w:tc>
        <w:tc>
          <w:tcPr>
            <w:tcW w:w="2403" w:type="dxa"/>
            <w:tcBorders>
              <w:top w:val="single" w:sz="8" w:space="0" w:color="002C47"/>
              <w:left w:val="single" w:sz="8" w:space="0" w:color="002C47"/>
              <w:bottom w:val="single" w:sz="8" w:space="0" w:color="002C47"/>
              <w:right w:val="single" w:sz="8" w:space="0" w:color="002C47"/>
            </w:tcBorders>
          </w:tcPr>
          <w:p w14:paraId="6B6260F4" w14:textId="3DCBE745" w:rsidR="005918DD" w:rsidRPr="00404A58" w:rsidRDefault="005918DD" w:rsidP="005918DD">
            <w:r w:rsidRPr="00404A58">
              <w:t>1 March 2021</w:t>
            </w:r>
          </w:p>
        </w:tc>
      </w:tr>
      <w:tr w:rsidR="005918DD" w:rsidRPr="00404A58" w14:paraId="44E0816A" w14:textId="77777777" w:rsidTr="00E67A7F">
        <w:tc>
          <w:tcPr>
            <w:tcW w:w="6091" w:type="dxa"/>
          </w:tcPr>
          <w:p w14:paraId="69191B4D" w14:textId="77777777" w:rsidR="005918DD" w:rsidRPr="00404A58" w:rsidRDefault="005918DD" w:rsidP="005918DD">
            <w:r w:rsidRPr="00404A58">
              <w:t>Second round evaluation completed</w:t>
            </w:r>
          </w:p>
        </w:tc>
        <w:tc>
          <w:tcPr>
            <w:tcW w:w="2403" w:type="dxa"/>
            <w:tcBorders>
              <w:top w:val="single" w:sz="8" w:space="0" w:color="002C47"/>
              <w:left w:val="single" w:sz="8" w:space="0" w:color="002C47"/>
              <w:bottom w:val="single" w:sz="8" w:space="0" w:color="002C47"/>
              <w:right w:val="single" w:sz="8" w:space="0" w:color="002C47"/>
            </w:tcBorders>
          </w:tcPr>
          <w:p w14:paraId="03393630" w14:textId="52741037" w:rsidR="005918DD" w:rsidRPr="00404A58" w:rsidRDefault="005918DD" w:rsidP="005918DD">
            <w:r w:rsidRPr="00404A58">
              <w:t>15 April 2021</w:t>
            </w:r>
          </w:p>
        </w:tc>
      </w:tr>
      <w:tr w:rsidR="005918DD" w:rsidRPr="00404A58" w14:paraId="3530CE6A" w14:textId="77777777" w:rsidTr="00E67A7F">
        <w:tc>
          <w:tcPr>
            <w:tcW w:w="6091" w:type="dxa"/>
          </w:tcPr>
          <w:p w14:paraId="73D19F44" w14:textId="36E285EF" w:rsidR="005918DD" w:rsidRPr="00404A58" w:rsidRDefault="005918DD" w:rsidP="005918DD">
            <w:r w:rsidRPr="00404A58">
              <w:t>Delegate’s Overall benefit-risk assessment and request for Advisory Committee advice</w:t>
            </w:r>
          </w:p>
        </w:tc>
        <w:tc>
          <w:tcPr>
            <w:tcW w:w="2403" w:type="dxa"/>
            <w:tcBorders>
              <w:top w:val="single" w:sz="8" w:space="0" w:color="002C47"/>
              <w:left w:val="single" w:sz="8" w:space="0" w:color="002C47"/>
              <w:bottom w:val="single" w:sz="8" w:space="0" w:color="002C47"/>
              <w:right w:val="single" w:sz="8" w:space="0" w:color="002C47"/>
            </w:tcBorders>
          </w:tcPr>
          <w:p w14:paraId="4BD7E9CA" w14:textId="499EF921" w:rsidR="005918DD" w:rsidRPr="00404A58" w:rsidRDefault="005918DD" w:rsidP="005918DD">
            <w:r w:rsidRPr="00404A58">
              <w:t>5 July 2021</w:t>
            </w:r>
          </w:p>
        </w:tc>
      </w:tr>
      <w:tr w:rsidR="005918DD" w:rsidRPr="00404A58" w14:paraId="20F3344B" w14:textId="77777777" w:rsidTr="00E67A7F">
        <w:tc>
          <w:tcPr>
            <w:tcW w:w="6091" w:type="dxa"/>
          </w:tcPr>
          <w:p w14:paraId="2C6B7ECB" w14:textId="77777777" w:rsidR="005918DD" w:rsidRPr="00404A58" w:rsidRDefault="005918DD" w:rsidP="005918DD">
            <w:r w:rsidRPr="00404A58">
              <w:t>Sponsor’s pre-Advisory Committee response</w:t>
            </w:r>
          </w:p>
        </w:tc>
        <w:tc>
          <w:tcPr>
            <w:tcW w:w="2403" w:type="dxa"/>
            <w:tcBorders>
              <w:top w:val="single" w:sz="8" w:space="0" w:color="002C47"/>
              <w:left w:val="single" w:sz="8" w:space="0" w:color="002C47"/>
              <w:bottom w:val="single" w:sz="8" w:space="0" w:color="002C47"/>
              <w:right w:val="single" w:sz="8" w:space="0" w:color="002C47"/>
            </w:tcBorders>
          </w:tcPr>
          <w:p w14:paraId="32EBF3C2" w14:textId="72C83715" w:rsidR="005918DD" w:rsidRPr="00404A58" w:rsidRDefault="005918DD" w:rsidP="005918DD">
            <w:r w:rsidRPr="00404A58">
              <w:t>14 July 2021</w:t>
            </w:r>
          </w:p>
        </w:tc>
      </w:tr>
      <w:tr w:rsidR="005918DD" w:rsidRPr="00404A58" w14:paraId="3DA796D2" w14:textId="77777777" w:rsidTr="00E67A7F">
        <w:tc>
          <w:tcPr>
            <w:tcW w:w="6091" w:type="dxa"/>
          </w:tcPr>
          <w:p w14:paraId="2D29DA6B" w14:textId="77777777" w:rsidR="005918DD" w:rsidRPr="00404A58" w:rsidRDefault="005918DD" w:rsidP="005918DD">
            <w:r w:rsidRPr="00404A58">
              <w:t>Advisory Committee meeting</w:t>
            </w:r>
          </w:p>
        </w:tc>
        <w:tc>
          <w:tcPr>
            <w:tcW w:w="2403" w:type="dxa"/>
            <w:tcBorders>
              <w:top w:val="single" w:sz="8" w:space="0" w:color="002C47"/>
              <w:left w:val="single" w:sz="8" w:space="0" w:color="002C47"/>
              <w:bottom w:val="single" w:sz="8" w:space="0" w:color="002C47"/>
              <w:right w:val="single" w:sz="8" w:space="0" w:color="002C47"/>
            </w:tcBorders>
          </w:tcPr>
          <w:p w14:paraId="39AD050D" w14:textId="05F62781" w:rsidR="005918DD" w:rsidRPr="00404A58" w:rsidRDefault="005918DD" w:rsidP="005918DD">
            <w:r w:rsidRPr="00404A58">
              <w:t>5 and 6 August 2021</w:t>
            </w:r>
          </w:p>
        </w:tc>
      </w:tr>
      <w:tr w:rsidR="005918DD" w:rsidRPr="00404A58" w14:paraId="72679D29" w14:textId="77777777" w:rsidTr="00E67A7F">
        <w:tc>
          <w:tcPr>
            <w:tcW w:w="6091" w:type="dxa"/>
          </w:tcPr>
          <w:p w14:paraId="6151BA9F" w14:textId="77777777" w:rsidR="005918DD" w:rsidRPr="00404A58" w:rsidRDefault="005918DD" w:rsidP="005918DD">
            <w:r w:rsidRPr="00404A58">
              <w:t>Registration decision (Outcome)</w:t>
            </w:r>
          </w:p>
        </w:tc>
        <w:tc>
          <w:tcPr>
            <w:tcW w:w="2403" w:type="dxa"/>
            <w:tcBorders>
              <w:top w:val="single" w:sz="8" w:space="0" w:color="002C47"/>
              <w:left w:val="single" w:sz="8" w:space="0" w:color="002C47"/>
              <w:bottom w:val="single" w:sz="8" w:space="0" w:color="002C47"/>
              <w:right w:val="single" w:sz="8" w:space="0" w:color="002C47"/>
            </w:tcBorders>
          </w:tcPr>
          <w:p w14:paraId="177158C8" w14:textId="4F56318A" w:rsidR="005918DD" w:rsidRPr="00404A58" w:rsidRDefault="005918DD" w:rsidP="005918DD">
            <w:r w:rsidRPr="00404A58">
              <w:t>8 October 2021</w:t>
            </w:r>
          </w:p>
        </w:tc>
      </w:tr>
      <w:tr w:rsidR="005918DD" w:rsidRPr="00404A58" w14:paraId="37BDBD47" w14:textId="77777777" w:rsidTr="00E67A7F">
        <w:tc>
          <w:tcPr>
            <w:tcW w:w="6091" w:type="dxa"/>
          </w:tcPr>
          <w:p w14:paraId="0C052A0E" w14:textId="77777777" w:rsidR="005918DD" w:rsidRPr="00404A58" w:rsidRDefault="005918DD" w:rsidP="005918DD">
            <w:r w:rsidRPr="00404A58">
              <w:t>Completion of administrative activities and registration on the ARTG</w:t>
            </w:r>
          </w:p>
        </w:tc>
        <w:tc>
          <w:tcPr>
            <w:tcW w:w="2403" w:type="dxa"/>
            <w:tcBorders>
              <w:top w:val="single" w:sz="8" w:space="0" w:color="002C47"/>
              <w:left w:val="single" w:sz="8" w:space="0" w:color="002C47"/>
              <w:bottom w:val="single" w:sz="8" w:space="0" w:color="002C47"/>
              <w:right w:val="single" w:sz="8" w:space="0" w:color="002C47"/>
            </w:tcBorders>
          </w:tcPr>
          <w:p w14:paraId="3D2B0DD0" w14:textId="38B76562" w:rsidR="005918DD" w:rsidRPr="00404A58" w:rsidRDefault="005918DD" w:rsidP="005918DD">
            <w:r w:rsidRPr="00404A58">
              <w:t>8 October 2021</w:t>
            </w:r>
          </w:p>
        </w:tc>
      </w:tr>
      <w:tr w:rsidR="005918DD" w:rsidRPr="00404A58" w14:paraId="3B0EB892" w14:textId="77777777" w:rsidTr="00E67A7F">
        <w:tc>
          <w:tcPr>
            <w:tcW w:w="6091" w:type="dxa"/>
          </w:tcPr>
          <w:p w14:paraId="05132909" w14:textId="77777777" w:rsidR="005918DD" w:rsidRPr="00404A58" w:rsidRDefault="005918DD" w:rsidP="005918DD">
            <w:r w:rsidRPr="00404A58">
              <w:t>Number of working days from submission dossier acceptance to registration decision*</w:t>
            </w:r>
          </w:p>
        </w:tc>
        <w:tc>
          <w:tcPr>
            <w:tcW w:w="2403" w:type="dxa"/>
            <w:tcBorders>
              <w:top w:val="single" w:sz="8" w:space="0" w:color="002C47"/>
              <w:left w:val="single" w:sz="8" w:space="0" w:color="002C47"/>
              <w:bottom w:val="single" w:sz="8" w:space="0" w:color="002C47"/>
              <w:right w:val="single" w:sz="8" w:space="0" w:color="002C47"/>
            </w:tcBorders>
          </w:tcPr>
          <w:p w14:paraId="4B19E262" w14:textId="6EB929CE" w:rsidR="005918DD" w:rsidRPr="00404A58" w:rsidRDefault="005918DD" w:rsidP="005918DD">
            <w:r w:rsidRPr="00404A58">
              <w:t>250</w:t>
            </w:r>
          </w:p>
        </w:tc>
      </w:tr>
    </w:tbl>
    <w:p w14:paraId="3ECB9341" w14:textId="77777777" w:rsidR="0074163C" w:rsidRPr="00404A58" w:rsidRDefault="0074163C" w:rsidP="0074163C">
      <w:pPr>
        <w:pStyle w:val="TableDescription"/>
      </w:pPr>
      <w:r w:rsidRPr="00404A58">
        <w:t xml:space="preserve">*Statutory timeframe for standard </w:t>
      </w:r>
      <w:r w:rsidR="00BB0B78" w:rsidRPr="00404A58">
        <w:t>submission</w:t>
      </w:r>
      <w:r w:rsidRPr="00404A58">
        <w:t>s is 255 working days</w:t>
      </w:r>
    </w:p>
    <w:p w14:paraId="11AE519C" w14:textId="77777777" w:rsidR="008E7846" w:rsidRPr="00404A58" w:rsidRDefault="00006FAB" w:rsidP="008E7846">
      <w:pPr>
        <w:pStyle w:val="Heading2"/>
      </w:pPr>
      <w:bookmarkStart w:id="30" w:name="_Toc196046504"/>
      <w:bookmarkStart w:id="31" w:name="_Toc247691527"/>
      <w:bookmarkStart w:id="32" w:name="_Toc314842510"/>
      <w:bookmarkStart w:id="33" w:name="_Toc110965759"/>
      <w:bookmarkStart w:id="34" w:name="_Toc163441390"/>
      <w:bookmarkEnd w:id="27"/>
      <w:bookmarkEnd w:id="28"/>
      <w:bookmarkEnd w:id="1"/>
      <w:r w:rsidRPr="00404A58">
        <w:t xml:space="preserve">Submission overview </w:t>
      </w:r>
      <w:r w:rsidR="008E7846" w:rsidRPr="00404A58">
        <w:t>and risk/benefit assessment</w:t>
      </w:r>
      <w:bookmarkEnd w:id="30"/>
      <w:bookmarkEnd w:id="31"/>
      <w:bookmarkEnd w:id="32"/>
      <w:bookmarkEnd w:id="33"/>
    </w:p>
    <w:p w14:paraId="677D9B85" w14:textId="6248ED32" w:rsidR="005A79F5" w:rsidRDefault="005A79F5" w:rsidP="00BB2871">
      <w:pPr>
        <w:pStyle w:val="Instructions"/>
        <w:spacing w:before="0" w:after="0" w:line="240" w:lineRule="auto"/>
        <w:rPr>
          <w:i w:val="0"/>
          <w:color w:val="auto"/>
        </w:rPr>
      </w:pPr>
      <w:bookmarkStart w:id="35" w:name="_Toc247691528"/>
      <w:bookmarkStart w:id="36" w:name="_Toc314842511"/>
      <w:r w:rsidRPr="00404A58">
        <w:rPr>
          <w:i w:val="0"/>
          <w:color w:val="auto"/>
        </w:rPr>
        <w:t>A summary of the TGA’s assessment for this submission is provided below.</w:t>
      </w:r>
    </w:p>
    <w:p w14:paraId="22C08A68" w14:textId="0FC584F7" w:rsidR="001F471B" w:rsidRPr="001F471B" w:rsidRDefault="001F471B" w:rsidP="00BB2871">
      <w:pPr>
        <w:spacing w:line="240" w:lineRule="auto"/>
      </w:pPr>
      <w:r>
        <w:t>As this submission was evaluated in parallel with another simila</w:t>
      </w:r>
      <w:r w:rsidR="00B034F4">
        <w:t xml:space="preserve">r submission, </w:t>
      </w:r>
      <w:r>
        <w:t>components of the quality and nonclinical</w:t>
      </w:r>
      <w:r w:rsidR="00B034F4">
        <w:t xml:space="preserve"> evaluation for Brukinsa (zanubrutinib) were considered </w:t>
      </w:r>
      <w:r>
        <w:t>generali</w:t>
      </w:r>
      <w:r w:rsidR="003929F6">
        <w:t>s</w:t>
      </w:r>
      <w:r>
        <w:t xml:space="preserve">able </w:t>
      </w:r>
      <w:r w:rsidR="00B034F4">
        <w:t>to both s</w:t>
      </w:r>
      <w:r w:rsidR="007E2311">
        <w:t>ubmissions. See the AusPAR for S</w:t>
      </w:r>
      <w:r w:rsidR="00B034F4">
        <w:t xml:space="preserve">ubmission </w:t>
      </w:r>
      <w:r w:rsidR="00B034F4" w:rsidRPr="00404A58">
        <w:t>PM-2020-02814-1-6</w:t>
      </w:r>
      <w:r w:rsidR="00B034F4">
        <w:t xml:space="preserve"> </w:t>
      </w:r>
      <w:r w:rsidR="00B034F4">
        <w:lastRenderedPageBreak/>
        <w:t>for further information on the quality and nonclinical findings applicable to this submission.</w:t>
      </w:r>
      <w:r w:rsidR="00B034F4" w:rsidRPr="003929F6">
        <w:rPr>
          <w:vertAlign w:val="superscript"/>
        </w:rPr>
        <w:fldChar w:fldCharType="begin"/>
      </w:r>
      <w:r w:rsidR="00B034F4" w:rsidRPr="003929F6">
        <w:rPr>
          <w:vertAlign w:val="superscript"/>
        </w:rPr>
        <w:instrText xml:space="preserve"> NOTEREF _Ref107850622 \h </w:instrText>
      </w:r>
      <w:r w:rsidR="00B034F4">
        <w:rPr>
          <w:vertAlign w:val="superscript"/>
        </w:rPr>
        <w:instrText xml:space="preserve"> \* MERGEFORMAT </w:instrText>
      </w:r>
      <w:r w:rsidR="00B034F4" w:rsidRPr="003929F6">
        <w:rPr>
          <w:vertAlign w:val="superscript"/>
        </w:rPr>
      </w:r>
      <w:r w:rsidR="00B034F4" w:rsidRPr="003929F6">
        <w:rPr>
          <w:vertAlign w:val="superscript"/>
        </w:rPr>
        <w:fldChar w:fldCharType="separate"/>
      </w:r>
      <w:r w:rsidR="00271F2E">
        <w:rPr>
          <w:vertAlign w:val="superscript"/>
        </w:rPr>
        <w:t>8</w:t>
      </w:r>
      <w:r w:rsidR="00B034F4" w:rsidRPr="003929F6">
        <w:rPr>
          <w:vertAlign w:val="superscript"/>
        </w:rPr>
        <w:fldChar w:fldCharType="end"/>
      </w:r>
    </w:p>
    <w:p w14:paraId="70A44FEB" w14:textId="77777777" w:rsidR="008E7846" w:rsidRPr="00404A58" w:rsidRDefault="008E7846" w:rsidP="008E7846">
      <w:pPr>
        <w:pStyle w:val="Heading3"/>
      </w:pPr>
      <w:bookmarkStart w:id="37" w:name="_Toc110965760"/>
      <w:r w:rsidRPr="00404A58">
        <w:t>Quality</w:t>
      </w:r>
      <w:bookmarkEnd w:id="35"/>
      <w:bookmarkEnd w:id="36"/>
      <w:bookmarkEnd w:id="37"/>
    </w:p>
    <w:p w14:paraId="20C821F1" w14:textId="38017086" w:rsidR="00B034F4" w:rsidRDefault="00B034F4" w:rsidP="0074163C">
      <w:r w:rsidRPr="00B034F4">
        <w:t>The quality evaluator recommended approval from a chemistry and quality perspective.</w:t>
      </w:r>
    </w:p>
    <w:p w14:paraId="3CABD44F" w14:textId="0C447409" w:rsidR="00B05276" w:rsidRPr="00404A58" w:rsidRDefault="00B034F4" w:rsidP="0074163C">
      <w:r>
        <w:t xml:space="preserve">Further information on the quality evaluation of </w:t>
      </w:r>
      <w:proofErr w:type="spellStart"/>
      <w:r>
        <w:t>Brukina</w:t>
      </w:r>
      <w:proofErr w:type="spellEnd"/>
      <w:r>
        <w:t xml:space="preserve"> (</w:t>
      </w:r>
      <w:proofErr w:type="spellStart"/>
      <w:r>
        <w:t>zanubritinib</w:t>
      </w:r>
      <w:proofErr w:type="spellEnd"/>
      <w:r>
        <w:t xml:space="preserve">) </w:t>
      </w:r>
      <w:r w:rsidRPr="00B034F4">
        <w:t>immediate release 80 mg hard capsules</w:t>
      </w:r>
      <w:r w:rsidR="00BB724D">
        <w:t xml:space="preserve"> is available in the </w:t>
      </w:r>
      <w:r w:rsidR="00FA488B">
        <w:t>AusPAR for S</w:t>
      </w:r>
      <w:r>
        <w:t xml:space="preserve">ubmission </w:t>
      </w:r>
      <w:r w:rsidR="00B05276" w:rsidRPr="00404A58">
        <w:t>PM-2020-02814-1-6.</w:t>
      </w:r>
      <w:bookmarkStart w:id="38" w:name="_Ref105330214"/>
      <w:r w:rsidR="00BB724D" w:rsidRPr="007A1F56">
        <w:rPr>
          <w:vertAlign w:val="superscript"/>
        </w:rPr>
        <w:fldChar w:fldCharType="begin"/>
      </w:r>
      <w:r w:rsidR="00BB724D" w:rsidRPr="007A1F56">
        <w:rPr>
          <w:vertAlign w:val="superscript"/>
        </w:rPr>
        <w:instrText xml:space="preserve"> NOTEREF _Ref107850622 \h </w:instrText>
      </w:r>
      <w:r w:rsidR="00BB724D">
        <w:rPr>
          <w:vertAlign w:val="superscript"/>
        </w:rPr>
        <w:instrText xml:space="preserve"> \* MERGEFORMAT </w:instrText>
      </w:r>
      <w:r w:rsidR="00BB724D" w:rsidRPr="007A1F56">
        <w:rPr>
          <w:vertAlign w:val="superscript"/>
        </w:rPr>
      </w:r>
      <w:r w:rsidR="00BB724D" w:rsidRPr="007A1F56">
        <w:rPr>
          <w:vertAlign w:val="superscript"/>
        </w:rPr>
        <w:fldChar w:fldCharType="separate"/>
      </w:r>
      <w:r w:rsidR="00271F2E">
        <w:rPr>
          <w:vertAlign w:val="superscript"/>
        </w:rPr>
        <w:t>8</w:t>
      </w:r>
      <w:r w:rsidR="00BB724D" w:rsidRPr="007A1F56">
        <w:rPr>
          <w:vertAlign w:val="superscript"/>
        </w:rPr>
        <w:fldChar w:fldCharType="end"/>
      </w:r>
      <w:bookmarkEnd w:id="38"/>
    </w:p>
    <w:p w14:paraId="045676FB" w14:textId="65FB2D3E" w:rsidR="008E7846" w:rsidRDefault="008E7846" w:rsidP="008E7846">
      <w:pPr>
        <w:pStyle w:val="Heading3"/>
      </w:pPr>
      <w:bookmarkStart w:id="39" w:name="_Toc314842512"/>
      <w:bookmarkStart w:id="40" w:name="_Toc110965761"/>
      <w:r w:rsidRPr="00404A58">
        <w:t>Nonclinical</w:t>
      </w:r>
      <w:bookmarkEnd w:id="39"/>
      <w:bookmarkEnd w:id="40"/>
    </w:p>
    <w:p w14:paraId="70037F4F" w14:textId="441B501B" w:rsidR="00BB724D" w:rsidRDefault="00BB724D" w:rsidP="007A1F56">
      <w:r w:rsidRPr="00BB724D">
        <w:t>The noncli</w:t>
      </w:r>
      <w:r>
        <w:t>nical evaluator did not raise</w:t>
      </w:r>
      <w:r w:rsidRPr="00BB724D">
        <w:t xml:space="preserve"> objection</w:t>
      </w:r>
      <w:r>
        <w:t>s</w:t>
      </w:r>
      <w:r w:rsidRPr="00BB724D">
        <w:t xml:space="preserve"> to the registration of zanubrutinib from a nonclinical perspective</w:t>
      </w:r>
      <w:r>
        <w:t>.</w:t>
      </w:r>
    </w:p>
    <w:p w14:paraId="049BBA3C" w14:textId="3C971F40" w:rsidR="00BB724D" w:rsidRPr="00404A58" w:rsidRDefault="00BB724D" w:rsidP="00BB724D">
      <w:r>
        <w:t xml:space="preserve">Further information on the nonclinical evaluation of </w:t>
      </w:r>
      <w:proofErr w:type="spellStart"/>
      <w:r>
        <w:t>Brukina</w:t>
      </w:r>
      <w:proofErr w:type="spellEnd"/>
      <w:r>
        <w:t xml:space="preserve"> (</w:t>
      </w:r>
      <w:proofErr w:type="spellStart"/>
      <w:r>
        <w:t>zanubritinib</w:t>
      </w:r>
      <w:proofErr w:type="spellEnd"/>
      <w:r>
        <w:t>) immediate </w:t>
      </w:r>
      <w:r w:rsidRPr="00B034F4">
        <w:t>release 80 mg hard capsules</w:t>
      </w:r>
      <w:r>
        <w:t xml:space="preserve"> </w:t>
      </w:r>
      <w:r w:rsidR="00FA488B">
        <w:t>is available in the AusPAR for S</w:t>
      </w:r>
      <w:r>
        <w:t>ubmission PM</w:t>
      </w:r>
      <w:r>
        <w:noBreakHyphen/>
      </w:r>
      <w:r w:rsidRPr="00404A58">
        <w:t>2020-02814-1-6.</w:t>
      </w:r>
      <w:r w:rsidRPr="000739A9">
        <w:rPr>
          <w:vertAlign w:val="superscript"/>
        </w:rPr>
        <w:fldChar w:fldCharType="begin"/>
      </w:r>
      <w:r w:rsidRPr="000739A9">
        <w:rPr>
          <w:vertAlign w:val="superscript"/>
        </w:rPr>
        <w:instrText xml:space="preserve"> NOTEREF _Ref107850622 \h </w:instrText>
      </w:r>
      <w:r>
        <w:rPr>
          <w:vertAlign w:val="superscript"/>
        </w:rPr>
        <w:instrText xml:space="preserve"> \* MERGEFORMAT </w:instrText>
      </w:r>
      <w:r w:rsidRPr="000739A9">
        <w:rPr>
          <w:vertAlign w:val="superscript"/>
        </w:rPr>
      </w:r>
      <w:r w:rsidRPr="000739A9">
        <w:rPr>
          <w:vertAlign w:val="superscript"/>
        </w:rPr>
        <w:fldChar w:fldCharType="separate"/>
      </w:r>
      <w:r w:rsidR="00271F2E">
        <w:rPr>
          <w:vertAlign w:val="superscript"/>
        </w:rPr>
        <w:t>8</w:t>
      </w:r>
      <w:r w:rsidRPr="000739A9">
        <w:rPr>
          <w:vertAlign w:val="superscript"/>
        </w:rPr>
        <w:fldChar w:fldCharType="end"/>
      </w:r>
    </w:p>
    <w:p w14:paraId="06C19A4E" w14:textId="77777777" w:rsidR="008E7846" w:rsidRPr="00404A58" w:rsidRDefault="008E7846" w:rsidP="008E7846">
      <w:pPr>
        <w:pStyle w:val="Heading3"/>
      </w:pPr>
      <w:bookmarkStart w:id="41" w:name="_Toc247691530"/>
      <w:bookmarkStart w:id="42" w:name="_Toc314842513"/>
      <w:bookmarkStart w:id="43" w:name="_Toc110965762"/>
      <w:r w:rsidRPr="00404A58">
        <w:t>Clinical</w:t>
      </w:r>
      <w:bookmarkEnd w:id="41"/>
      <w:bookmarkEnd w:id="42"/>
      <w:bookmarkEnd w:id="43"/>
    </w:p>
    <w:p w14:paraId="364828E6" w14:textId="77777777" w:rsidR="0074163C" w:rsidRPr="00404A58" w:rsidRDefault="0074163C" w:rsidP="0074163C">
      <w:pPr>
        <w:pStyle w:val="Heading4"/>
      </w:pPr>
      <w:bookmarkStart w:id="44" w:name="_Toc98931928"/>
      <w:r w:rsidRPr="00404A58">
        <w:t>Summary of clinical studies</w:t>
      </w:r>
      <w:bookmarkEnd w:id="44"/>
    </w:p>
    <w:p w14:paraId="0955BD26" w14:textId="77777777" w:rsidR="0074163C" w:rsidRPr="00404A58" w:rsidRDefault="0074163C" w:rsidP="0074163C">
      <w:r w:rsidRPr="00404A58">
        <w:t>The clinical dossier consisted of</w:t>
      </w:r>
      <w:r w:rsidR="00EB36D6" w:rsidRPr="00404A58">
        <w:t>:</w:t>
      </w:r>
    </w:p>
    <w:p w14:paraId="39461A1F" w14:textId="183DD037" w:rsidR="0074163C" w:rsidRPr="00404A58" w:rsidRDefault="00FC69FB" w:rsidP="00BB2871">
      <w:pPr>
        <w:pStyle w:val="ListBullet"/>
        <w:spacing w:line="240" w:lineRule="auto"/>
        <w:ind w:left="357" w:hanging="357"/>
      </w:pPr>
      <w:r>
        <w:t xml:space="preserve">Two </w:t>
      </w:r>
      <w:r w:rsidR="0074163C" w:rsidRPr="00404A58">
        <w:t>Phase I studies</w:t>
      </w:r>
      <w:r w:rsidR="00C71850" w:rsidRPr="00404A58">
        <w:t>: Study BGB-3111-AU003, Study BGB-3111-1002</w:t>
      </w:r>
    </w:p>
    <w:p w14:paraId="12F1A35B" w14:textId="42E3EB19" w:rsidR="00C71850" w:rsidRPr="00404A58" w:rsidRDefault="00FC69FB" w:rsidP="00BB2871">
      <w:pPr>
        <w:pStyle w:val="ListBullet"/>
        <w:spacing w:line="240" w:lineRule="auto"/>
        <w:ind w:left="357" w:hanging="357"/>
      </w:pPr>
      <w:r>
        <w:t xml:space="preserve">Four </w:t>
      </w:r>
      <w:r w:rsidR="0074163C" w:rsidRPr="00404A58">
        <w:t>Phase II studies</w:t>
      </w:r>
      <w:r w:rsidR="00C71850" w:rsidRPr="00404A58">
        <w:t xml:space="preserve">: </w:t>
      </w:r>
      <w:r w:rsidR="001006D4" w:rsidRPr="00404A58">
        <w:t xml:space="preserve">Study </w:t>
      </w:r>
      <w:r w:rsidR="00C71850" w:rsidRPr="00404A58">
        <w:t>BGB-3111-206, Study BGB-3111-AU003, Study</w:t>
      </w:r>
      <w:r>
        <w:t> </w:t>
      </w:r>
      <w:r w:rsidR="00C71850" w:rsidRPr="00404A58">
        <w:t>BGB</w:t>
      </w:r>
      <w:r>
        <w:noBreakHyphen/>
      </w:r>
      <w:r w:rsidR="00C71850" w:rsidRPr="00404A58">
        <w:t>3111</w:t>
      </w:r>
      <w:r>
        <w:noBreakHyphen/>
      </w:r>
      <w:r w:rsidR="00C71850" w:rsidRPr="00404A58">
        <w:t>205, and Study BGB-3111-210</w:t>
      </w:r>
    </w:p>
    <w:p w14:paraId="3DF0C383" w14:textId="0990CA2C" w:rsidR="00C71850" w:rsidRPr="00404A58" w:rsidRDefault="00FC69FB" w:rsidP="00BB2871">
      <w:pPr>
        <w:pStyle w:val="ListBullet"/>
        <w:spacing w:line="240" w:lineRule="auto"/>
        <w:ind w:left="357" w:hanging="357"/>
      </w:pPr>
      <w:r>
        <w:t xml:space="preserve">Eight </w:t>
      </w:r>
      <w:r w:rsidR="00B05276" w:rsidRPr="00404A58">
        <w:t>clinical pharmacology studies were presented in support of zanubrutinib in MCL.</w:t>
      </w:r>
      <w:r>
        <w:t xml:space="preserve"> </w:t>
      </w:r>
      <w:r w:rsidR="00B05276" w:rsidRPr="00404A58">
        <w:t xml:space="preserve">General pharmacology was described in </w:t>
      </w:r>
      <w:r w:rsidR="00C71850" w:rsidRPr="00404A58">
        <w:t>S</w:t>
      </w:r>
      <w:r w:rsidR="00B05276" w:rsidRPr="00404A58">
        <w:t>ubmission PM-2020-02814-1-6</w:t>
      </w:r>
      <w:r>
        <w:t xml:space="preserve"> (see </w:t>
      </w:r>
      <w:r w:rsidR="007E2311">
        <w:t xml:space="preserve">the </w:t>
      </w:r>
      <w:r>
        <w:t xml:space="preserve">corresponding </w:t>
      </w:r>
      <w:proofErr w:type="spellStart"/>
      <w:r>
        <w:t>AusPAR</w:t>
      </w:r>
      <w:proofErr w:type="spellEnd"/>
      <w:r>
        <w:t>)</w:t>
      </w:r>
      <w:r w:rsidR="00B05276" w:rsidRPr="00404A58">
        <w:t>.</w:t>
      </w:r>
      <w:r w:rsidRPr="007A1F56">
        <w:rPr>
          <w:vertAlign w:val="superscript"/>
        </w:rPr>
        <w:fldChar w:fldCharType="begin"/>
      </w:r>
      <w:r w:rsidRPr="007A1F56">
        <w:rPr>
          <w:vertAlign w:val="superscript"/>
        </w:rPr>
        <w:instrText xml:space="preserve"> NOTEREF _Ref107850622 \h </w:instrText>
      </w:r>
      <w:r>
        <w:rPr>
          <w:vertAlign w:val="superscript"/>
        </w:rPr>
        <w:instrText xml:space="preserve"> \* MERGEFORMAT </w:instrText>
      </w:r>
      <w:r w:rsidRPr="007A1F56">
        <w:rPr>
          <w:vertAlign w:val="superscript"/>
        </w:rPr>
      </w:r>
      <w:r w:rsidRPr="007A1F56">
        <w:rPr>
          <w:vertAlign w:val="superscript"/>
        </w:rPr>
        <w:fldChar w:fldCharType="separate"/>
      </w:r>
      <w:r w:rsidR="00271F2E">
        <w:rPr>
          <w:vertAlign w:val="superscript"/>
        </w:rPr>
        <w:t>8</w:t>
      </w:r>
      <w:r w:rsidRPr="007A1F56">
        <w:rPr>
          <w:vertAlign w:val="superscript"/>
        </w:rPr>
        <w:fldChar w:fldCharType="end"/>
      </w:r>
    </w:p>
    <w:p w14:paraId="371C154A" w14:textId="2F443859" w:rsidR="00B05276" w:rsidRPr="00404A58" w:rsidRDefault="00B05276">
      <w:pPr>
        <w:pStyle w:val="Heading4"/>
      </w:pPr>
      <w:r w:rsidRPr="00404A58">
        <w:t>Pharmacology</w:t>
      </w:r>
    </w:p>
    <w:p w14:paraId="4B698DFA" w14:textId="539D0D12" w:rsidR="00B05276" w:rsidRPr="00404A58" w:rsidRDefault="00B05276" w:rsidP="00705C40">
      <w:pPr>
        <w:pStyle w:val="Heading5"/>
      </w:pPr>
      <w:r w:rsidRPr="00404A58">
        <w:t>Pharmacokinetics</w:t>
      </w:r>
    </w:p>
    <w:p w14:paraId="2B787E59" w14:textId="65F46C11" w:rsidR="00B05276" w:rsidRPr="00404A58" w:rsidRDefault="00B05276" w:rsidP="00705C40">
      <w:r w:rsidRPr="00404A58">
        <w:t>Study BGB-3111-AU-003</w:t>
      </w:r>
      <w:r w:rsidR="001006D4" w:rsidRPr="00404A58">
        <w:t xml:space="preserve"> </w:t>
      </w:r>
      <w:r w:rsidRPr="00404A58">
        <w:t xml:space="preserve">dosed patients at 40, 80, 160, and 320 mg </w:t>
      </w:r>
      <w:r w:rsidR="001006D4" w:rsidRPr="00404A58">
        <w:t>once daily</w:t>
      </w:r>
      <w:r w:rsidRPr="00404A58">
        <w:t xml:space="preserve"> and 160 mg </w:t>
      </w:r>
      <w:bookmarkStart w:id="45" w:name="_Hlk105331237"/>
      <w:r w:rsidR="001006D4" w:rsidRPr="00404A58">
        <w:t>twice daily</w:t>
      </w:r>
      <w:bookmarkEnd w:id="45"/>
      <w:r w:rsidRPr="00404A58">
        <w:t>. The maximum tolerated dose was not reached, and no dose</w:t>
      </w:r>
      <w:r w:rsidR="004A1542" w:rsidRPr="00404A58">
        <w:t xml:space="preserve"> </w:t>
      </w:r>
      <w:r w:rsidRPr="00404A58">
        <w:t>limiting toxicities were observed during the dose</w:t>
      </w:r>
      <w:r w:rsidR="004A1542" w:rsidRPr="00404A58">
        <w:t xml:space="preserve"> </w:t>
      </w:r>
      <w:r w:rsidRPr="00404A58">
        <w:t xml:space="preserve">escalation part of the study. Zanubrutinib </w:t>
      </w:r>
      <w:r w:rsidR="00FC69FB">
        <w:t>pharmacokinetics (</w:t>
      </w:r>
      <w:r w:rsidRPr="00404A58">
        <w:t>PK</w:t>
      </w:r>
      <w:r w:rsidR="00FC69FB">
        <w:t>)</w:t>
      </w:r>
      <w:r w:rsidRPr="00404A58">
        <w:t xml:space="preserve"> was approximately dose proportional between 40 mg and 320 mg </w:t>
      </w:r>
      <w:r w:rsidR="001006D4" w:rsidRPr="00404A58">
        <w:t>once daily</w:t>
      </w:r>
      <w:r w:rsidRPr="00404A58">
        <w:t xml:space="preserve">. The terminal elimination </w:t>
      </w:r>
      <w:r w:rsidR="00FC69FB" w:rsidRPr="00404A58">
        <w:t>half-life</w:t>
      </w:r>
      <w:r w:rsidRPr="00404A58">
        <w:t xml:space="preserve"> was approximately 2 to 4 hours at doses of 160 mg twice daily or 320</w:t>
      </w:r>
      <w:r w:rsidR="004A1542" w:rsidRPr="00404A58">
        <w:t> </w:t>
      </w:r>
      <w:r w:rsidRPr="00404A58">
        <w:t>mg once daily.</w:t>
      </w:r>
    </w:p>
    <w:p w14:paraId="4893DD98" w14:textId="642E2C30" w:rsidR="00B05276" w:rsidRPr="00404A58" w:rsidRDefault="00B05276" w:rsidP="00705C40">
      <w:r w:rsidRPr="00404A58">
        <w:t xml:space="preserve">Co-administration of zanubrutinib with </w:t>
      </w:r>
      <w:r w:rsidR="00FC69FB">
        <w:t xml:space="preserve">a </w:t>
      </w:r>
      <w:r w:rsidRPr="00404A58">
        <w:t xml:space="preserve">strong </w:t>
      </w:r>
      <w:r w:rsidR="000114EC" w:rsidRPr="00404A58">
        <w:t>cytochrome P450 (CYP)</w:t>
      </w:r>
      <w:r w:rsidR="000114EC" w:rsidRPr="00404A58">
        <w:rPr>
          <w:rStyle w:val="FootnoteReference"/>
        </w:rPr>
        <w:footnoteReference w:id="10"/>
      </w:r>
      <w:r w:rsidR="000114EC" w:rsidRPr="00404A58">
        <w:t xml:space="preserve"> 3A</w:t>
      </w:r>
      <w:r w:rsidRPr="00404A58">
        <w:t xml:space="preserve"> inhibitor itraconazole (200 mg </w:t>
      </w:r>
      <w:r w:rsidR="001006D4" w:rsidRPr="00404A58">
        <w:t>once daily</w:t>
      </w:r>
      <w:r w:rsidRPr="00404A58">
        <w:t xml:space="preserve"> for 4 days) increased exposure of zanubrutinib by 3.8-fold </w:t>
      </w:r>
      <w:r w:rsidRPr="00404A58">
        <w:lastRenderedPageBreak/>
        <w:t xml:space="preserve">for </w:t>
      </w:r>
      <w:r w:rsidR="000114EC" w:rsidRPr="00404A58">
        <w:t>area under the concentration time curve from time zero to infinity (</w:t>
      </w:r>
      <w:r w:rsidRPr="00404A58">
        <w:t>AUC</w:t>
      </w:r>
      <w:r w:rsidRPr="00404A58">
        <w:rPr>
          <w:vertAlign w:val="subscript"/>
        </w:rPr>
        <w:t>0</w:t>
      </w:r>
      <w:r w:rsidR="000114EC" w:rsidRPr="00404A58">
        <w:rPr>
          <w:vertAlign w:val="subscript"/>
        </w:rPr>
        <w:noBreakHyphen/>
      </w:r>
      <w:r w:rsidRPr="00404A58">
        <w:rPr>
          <w:vertAlign w:val="subscript"/>
        </w:rPr>
        <w:t>∞</w:t>
      </w:r>
      <w:r w:rsidRPr="00404A58">
        <w:t>)</w:t>
      </w:r>
      <w:r w:rsidR="000114EC" w:rsidRPr="00404A58">
        <w:t>)</w:t>
      </w:r>
      <w:r w:rsidRPr="00404A58">
        <w:t xml:space="preserve"> and 2.6-fold for </w:t>
      </w:r>
      <w:r w:rsidR="000114EC" w:rsidRPr="00404A58">
        <w:t>maximum concentration (</w:t>
      </w:r>
      <w:proofErr w:type="spellStart"/>
      <w:r w:rsidRPr="00404A58">
        <w:t>C</w:t>
      </w:r>
      <w:r w:rsidRPr="00404A58">
        <w:rPr>
          <w:vertAlign w:val="subscript"/>
        </w:rPr>
        <w:t>max</w:t>
      </w:r>
      <w:proofErr w:type="spellEnd"/>
      <w:r w:rsidR="000114EC" w:rsidRPr="00404A58">
        <w:t>).</w:t>
      </w:r>
    </w:p>
    <w:p w14:paraId="6BA8F213" w14:textId="08FAA5DE" w:rsidR="00B05276" w:rsidRPr="00404A58" w:rsidRDefault="00B05276" w:rsidP="00705C40">
      <w:pPr>
        <w:pStyle w:val="Heading5"/>
      </w:pPr>
      <w:r w:rsidRPr="00404A58">
        <w:t xml:space="preserve">Population </w:t>
      </w:r>
      <w:r w:rsidR="0067177E" w:rsidRPr="00404A58">
        <w:t xml:space="preserve">pharmacokinetics </w:t>
      </w:r>
      <w:r w:rsidRPr="00404A58">
        <w:t>data</w:t>
      </w:r>
    </w:p>
    <w:p w14:paraId="4B5BA548" w14:textId="2E7D8109" w:rsidR="00B05276" w:rsidRPr="00404A58" w:rsidRDefault="00B05276" w:rsidP="00705C40">
      <w:r w:rsidRPr="00404A58">
        <w:t xml:space="preserve">The </w:t>
      </w:r>
      <w:r w:rsidR="000114EC" w:rsidRPr="00404A58">
        <w:t>PK</w:t>
      </w:r>
      <w:r w:rsidRPr="00404A58">
        <w:t xml:space="preserve"> of zanubrutinib was described in a two-compartment model with sequential zero</w:t>
      </w:r>
      <w:r w:rsidR="00E12254" w:rsidRPr="00404A58">
        <w:t xml:space="preserve"> </w:t>
      </w:r>
      <w:r w:rsidRPr="00404A58">
        <w:t>order the first order absorption and first-order elimination from the central compartment described the PK of zanubrutinib.</w:t>
      </w:r>
    </w:p>
    <w:p w14:paraId="15E0A808" w14:textId="62C3D7C7" w:rsidR="00B05276" w:rsidRPr="00404A58" w:rsidRDefault="00602EC2" w:rsidP="00705C40">
      <w:r w:rsidRPr="00404A58">
        <w:t>Physiologically based PK</w:t>
      </w:r>
      <w:r w:rsidR="00B05276" w:rsidRPr="00404A58">
        <w:t xml:space="preserve"> simulations suggested that co-administration of multiple doses of a moderate CYP3A inhibitor increased the </w:t>
      </w:r>
      <w:r w:rsidRPr="00404A58">
        <w:t>maximum concentration at steady state (</w:t>
      </w:r>
      <w:proofErr w:type="spellStart"/>
      <w:proofErr w:type="gramStart"/>
      <w:r w:rsidR="00B05276" w:rsidRPr="00404A58">
        <w:t>C</w:t>
      </w:r>
      <w:r w:rsidR="00B05276" w:rsidRPr="00404A58">
        <w:rPr>
          <w:vertAlign w:val="subscript"/>
        </w:rPr>
        <w:t>max,ss</w:t>
      </w:r>
      <w:proofErr w:type="spellEnd"/>
      <w:proofErr w:type="gramEnd"/>
      <w:r w:rsidRPr="00404A58">
        <w:t xml:space="preserve">) </w:t>
      </w:r>
      <w:r w:rsidR="00B05276" w:rsidRPr="00404A58">
        <w:t xml:space="preserve">and </w:t>
      </w:r>
      <w:r w:rsidRPr="00404A58">
        <w:t>area under the concentration time curve (</w:t>
      </w:r>
      <w:r w:rsidR="00B05276" w:rsidRPr="00404A58">
        <w:t>AUC</w:t>
      </w:r>
      <w:r w:rsidRPr="00404A58">
        <w:t>)</w:t>
      </w:r>
      <w:r w:rsidR="00B05276" w:rsidRPr="00404A58">
        <w:t xml:space="preserve"> of zanubrutinib by approximately 2</w:t>
      </w:r>
      <w:r w:rsidR="00FC69FB">
        <w:noBreakHyphen/>
      </w:r>
      <w:r w:rsidR="00B05276" w:rsidRPr="00404A58">
        <w:t>fold. Co</w:t>
      </w:r>
      <w:r w:rsidR="00E12254" w:rsidRPr="00404A58">
        <w:noBreakHyphen/>
      </w:r>
      <w:r w:rsidR="00B05276" w:rsidRPr="00404A58">
        <w:t xml:space="preserve">administration of zanubrutinib with </w:t>
      </w:r>
      <w:r w:rsidR="00FC69FB">
        <w:t xml:space="preserve">the </w:t>
      </w:r>
      <w:r w:rsidR="00B05276" w:rsidRPr="00404A58">
        <w:t xml:space="preserve">strong CYP3A inducer </w:t>
      </w:r>
      <w:proofErr w:type="spellStart"/>
      <w:r w:rsidR="00B05276" w:rsidRPr="00404A58">
        <w:t>rifampin</w:t>
      </w:r>
      <w:proofErr w:type="spellEnd"/>
      <w:r w:rsidR="00B05276" w:rsidRPr="00404A58">
        <w:t xml:space="preserve"> (600 mg </w:t>
      </w:r>
      <w:r w:rsidR="001006D4" w:rsidRPr="00404A58">
        <w:t>once daily</w:t>
      </w:r>
      <w:r w:rsidR="00B05276" w:rsidRPr="00404A58">
        <w:t xml:space="preserve"> for 8 days) decreased exposure of zanubrutinib by 13.5-fold for </w:t>
      </w:r>
      <w:r w:rsidR="00E12254" w:rsidRPr="00404A58">
        <w:t>AUC</w:t>
      </w:r>
      <w:r w:rsidR="00E12254" w:rsidRPr="00404A58">
        <w:rPr>
          <w:vertAlign w:val="subscript"/>
        </w:rPr>
        <w:t>0-∞</w:t>
      </w:r>
      <w:r w:rsidR="00B05276" w:rsidRPr="00404A58">
        <w:t xml:space="preserve"> and 12.6-fold for </w:t>
      </w:r>
      <w:r w:rsidR="00E12254" w:rsidRPr="00404A58">
        <w:t>C</w:t>
      </w:r>
      <w:r w:rsidR="00E12254" w:rsidRPr="00404A58">
        <w:rPr>
          <w:vertAlign w:val="subscript"/>
        </w:rPr>
        <w:t>max</w:t>
      </w:r>
      <w:r w:rsidR="00B05276" w:rsidRPr="00404A58">
        <w:t xml:space="preserve"> in healthy subjects. Physiologically</w:t>
      </w:r>
      <w:r w:rsidR="00E12254" w:rsidRPr="00404A58">
        <w:t xml:space="preserve"> </w:t>
      </w:r>
      <w:r w:rsidR="00B05276" w:rsidRPr="00404A58">
        <w:t xml:space="preserve">based PK simulations suggested a moderate CYP3A inducer could decrease the </w:t>
      </w:r>
      <w:r w:rsidR="00E12254" w:rsidRPr="00404A58">
        <w:t>C</w:t>
      </w:r>
      <w:r w:rsidR="00E12254" w:rsidRPr="00404A58">
        <w:rPr>
          <w:vertAlign w:val="subscript"/>
        </w:rPr>
        <w:t>max</w:t>
      </w:r>
      <w:r w:rsidR="00B05276" w:rsidRPr="00404A58">
        <w:t xml:space="preserve"> and AUC of zanubrutinib by approximately 2- to 3</w:t>
      </w:r>
      <w:r w:rsidR="00E12254" w:rsidRPr="00404A58">
        <w:noBreakHyphen/>
      </w:r>
      <w:r w:rsidR="00B05276" w:rsidRPr="00404A58">
        <w:t>fold.</w:t>
      </w:r>
    </w:p>
    <w:p w14:paraId="669AEB75" w14:textId="5EF84C5E" w:rsidR="00B05276" w:rsidRPr="00404A58" w:rsidRDefault="00B05276" w:rsidP="00705C40">
      <w:pPr>
        <w:pStyle w:val="Heading5"/>
      </w:pPr>
      <w:r w:rsidRPr="00404A58">
        <w:t>Pharmacodynamics</w:t>
      </w:r>
    </w:p>
    <w:p w14:paraId="6047DC51" w14:textId="46CC8199" w:rsidR="00B05276" w:rsidRPr="00404A58" w:rsidRDefault="00B05276" w:rsidP="00705C40">
      <w:r w:rsidRPr="00404A58">
        <w:t xml:space="preserve">Nearly full BTK occupancy was seen in peripheral blood mononuclear cells from </w:t>
      </w:r>
      <w:r w:rsidR="001006D4" w:rsidRPr="00404A58">
        <w:t>Study</w:t>
      </w:r>
      <w:r w:rsidR="00E12254" w:rsidRPr="00404A58">
        <w:t> </w:t>
      </w:r>
      <w:r w:rsidR="001006D4" w:rsidRPr="00404A58">
        <w:t xml:space="preserve">BGB-3111-AU-003 </w:t>
      </w:r>
      <w:r w:rsidRPr="00404A58">
        <w:t xml:space="preserve">patients at 40 to 320 mg </w:t>
      </w:r>
      <w:r w:rsidR="001006D4" w:rsidRPr="00404A58">
        <w:t>once daily</w:t>
      </w:r>
      <w:r w:rsidRPr="00404A58">
        <w:t>. BTK occupancy ≥ 80% was observed in on</w:t>
      </w:r>
      <w:r w:rsidR="00E12254" w:rsidRPr="00404A58">
        <w:t xml:space="preserve"> </w:t>
      </w:r>
      <w:r w:rsidRPr="00404A58">
        <w:t xml:space="preserve">treatment lymph node biopsies from patients receiving 160 mg </w:t>
      </w:r>
      <w:r w:rsidR="001006D4" w:rsidRPr="00404A58">
        <w:t>twice daily</w:t>
      </w:r>
      <w:r w:rsidRPr="00404A58">
        <w:t xml:space="preserve"> and 320 mg </w:t>
      </w:r>
      <w:r w:rsidR="001006D4" w:rsidRPr="00404A58">
        <w:t>once daily</w:t>
      </w:r>
      <w:r w:rsidRPr="00404A58">
        <w:t>. Median BTK occupancy at steady</w:t>
      </w:r>
      <w:r w:rsidR="00E12254" w:rsidRPr="00404A58">
        <w:t xml:space="preserve"> </w:t>
      </w:r>
      <w:r w:rsidRPr="00404A58">
        <w:t>state trough was 100% with 160</w:t>
      </w:r>
      <w:r w:rsidR="00E12254" w:rsidRPr="00404A58">
        <w:t> </w:t>
      </w:r>
      <w:r w:rsidRPr="00404A58">
        <w:t xml:space="preserve">mg </w:t>
      </w:r>
      <w:r w:rsidR="001006D4" w:rsidRPr="00404A58">
        <w:t>twice daily</w:t>
      </w:r>
      <w:r w:rsidRPr="00404A58">
        <w:t xml:space="preserve"> </w:t>
      </w:r>
      <w:r w:rsidR="001006D4" w:rsidRPr="00404A58">
        <w:t>versus</w:t>
      </w:r>
      <w:r w:rsidRPr="00404A58">
        <w:t xml:space="preserve"> 94% with 320 mg </w:t>
      </w:r>
      <w:r w:rsidR="001006D4" w:rsidRPr="00404A58">
        <w:t>once daily</w:t>
      </w:r>
      <w:r w:rsidRPr="00404A58">
        <w:t xml:space="preserve">. Hence, 160 mg </w:t>
      </w:r>
      <w:r w:rsidR="004A2B72" w:rsidRPr="00404A58">
        <w:t>twice daily</w:t>
      </w:r>
      <w:r w:rsidRPr="00404A58">
        <w:t xml:space="preserve"> was selected as the study dose regimen for </w:t>
      </w:r>
      <w:r w:rsidR="00E12254" w:rsidRPr="00404A58">
        <w:t xml:space="preserve">Study </w:t>
      </w:r>
      <w:r w:rsidRPr="00404A58">
        <w:t>BGB-3111-206.</w:t>
      </w:r>
    </w:p>
    <w:p w14:paraId="3FDBF015" w14:textId="29EF4116" w:rsidR="00B05276" w:rsidRPr="00404A58" w:rsidRDefault="00B05276" w:rsidP="00705C40">
      <w:r w:rsidRPr="00404A58">
        <w:t xml:space="preserve">In </w:t>
      </w:r>
      <w:r w:rsidR="001006D4" w:rsidRPr="00404A58">
        <w:t>Study BGB-3111-AU-003</w:t>
      </w:r>
      <w:r w:rsidRPr="00404A58">
        <w:t xml:space="preserve"> the maximum tolerated dose was not reached and no dose</w:t>
      </w:r>
      <w:r w:rsidR="00E12254" w:rsidRPr="00404A58">
        <w:t xml:space="preserve"> </w:t>
      </w:r>
      <w:r w:rsidRPr="00404A58">
        <w:t>limiting toxicities were observed during the dose</w:t>
      </w:r>
      <w:r w:rsidR="00E12254" w:rsidRPr="00404A58">
        <w:t xml:space="preserve"> </w:t>
      </w:r>
      <w:r w:rsidRPr="00404A58">
        <w:t>escalation part of the study.</w:t>
      </w:r>
    </w:p>
    <w:p w14:paraId="73963B9A" w14:textId="77777777" w:rsidR="00B05276" w:rsidRPr="00404A58" w:rsidRDefault="00B05276" w:rsidP="00705C40">
      <w:pPr>
        <w:pStyle w:val="Heading4"/>
      </w:pPr>
      <w:r w:rsidRPr="00404A58">
        <w:t>Efficacy</w:t>
      </w:r>
    </w:p>
    <w:p w14:paraId="65798B50" w14:textId="445114A3" w:rsidR="00B05276" w:rsidRPr="00404A58" w:rsidRDefault="00B05276" w:rsidP="00705C40">
      <w:r w:rsidRPr="00404A58">
        <w:t xml:space="preserve">Clinical efficacy was supported by two studies: </w:t>
      </w:r>
      <w:r w:rsidR="00E12254" w:rsidRPr="00404A58">
        <w:t xml:space="preserve">Study </w:t>
      </w:r>
      <w:r w:rsidRPr="00404A58">
        <w:t>BGB-3111-206 in patients with</w:t>
      </w:r>
      <w:r w:rsidR="00FC69FB">
        <w:t xml:space="preserve"> relapse</w:t>
      </w:r>
      <w:r w:rsidR="007A1F56">
        <w:t xml:space="preserve"> or </w:t>
      </w:r>
      <w:r w:rsidR="00FC69FB">
        <w:t>refractory</w:t>
      </w:r>
      <w:r w:rsidRPr="00404A58">
        <w:t xml:space="preserve"> </w:t>
      </w:r>
      <w:r w:rsidR="00FC69FB">
        <w:t>(</w:t>
      </w:r>
      <w:r w:rsidRPr="00404A58">
        <w:t>r/r</w:t>
      </w:r>
      <w:r w:rsidR="00FC69FB">
        <w:t>)</w:t>
      </w:r>
      <w:r w:rsidRPr="00404A58">
        <w:t xml:space="preserve"> </w:t>
      </w:r>
      <w:r w:rsidR="00FC69FB">
        <w:t>mantle cell lymphoma (</w:t>
      </w:r>
      <w:r w:rsidRPr="00404A58">
        <w:t>MCL</w:t>
      </w:r>
      <w:r w:rsidR="00FC69FB">
        <w:t>)</w:t>
      </w:r>
      <w:r w:rsidRPr="00404A58">
        <w:t xml:space="preserve"> and </w:t>
      </w:r>
      <w:r w:rsidR="00E12254" w:rsidRPr="00404A58">
        <w:t xml:space="preserve">Study </w:t>
      </w:r>
      <w:r w:rsidRPr="00404A58">
        <w:t>BGB-3111-AU</w:t>
      </w:r>
      <w:r w:rsidR="00E12254" w:rsidRPr="00404A58">
        <w:t>-</w:t>
      </w:r>
      <w:r w:rsidRPr="00404A58">
        <w:t>003 in B</w:t>
      </w:r>
      <w:r w:rsidR="00FC69FB">
        <w:noBreakHyphen/>
      </w:r>
      <w:r w:rsidRPr="00404A58">
        <w:t>cell malignancies that included 37 patients with r/r MCL.</w:t>
      </w:r>
    </w:p>
    <w:p w14:paraId="02E26C62" w14:textId="34CF7C4F" w:rsidR="00B05276" w:rsidRPr="00404A58" w:rsidRDefault="00E12254" w:rsidP="00705C40">
      <w:pPr>
        <w:pStyle w:val="Heading5"/>
      </w:pPr>
      <w:r w:rsidRPr="00404A58">
        <w:t xml:space="preserve">Study </w:t>
      </w:r>
      <w:r w:rsidR="00B05276" w:rsidRPr="00404A58">
        <w:t>BGB-311</w:t>
      </w:r>
      <w:r w:rsidR="000B7A29">
        <w:t>1</w:t>
      </w:r>
      <w:r w:rsidR="00B05276" w:rsidRPr="00404A58">
        <w:t>-206 (</w:t>
      </w:r>
      <w:r w:rsidR="003C4B7E" w:rsidRPr="00404A58">
        <w:t>pivotal</w:t>
      </w:r>
      <w:r w:rsidR="00B05276" w:rsidRPr="00404A58">
        <w:t xml:space="preserve"> study)</w:t>
      </w:r>
    </w:p>
    <w:p w14:paraId="4364A9CB" w14:textId="3774670A" w:rsidR="00B05276" w:rsidRPr="00404A58" w:rsidRDefault="003C4B7E" w:rsidP="00705C40">
      <w:r w:rsidRPr="00404A58">
        <w:t xml:space="preserve">Study </w:t>
      </w:r>
      <w:r w:rsidR="00B05276" w:rsidRPr="00404A58">
        <w:t>BGB-311</w:t>
      </w:r>
      <w:r w:rsidR="000B7A29">
        <w:t>1</w:t>
      </w:r>
      <w:r w:rsidR="00B05276" w:rsidRPr="00404A58">
        <w:t xml:space="preserve">-206 is an ongoing, </w:t>
      </w:r>
      <w:r w:rsidR="00E12254" w:rsidRPr="00404A58">
        <w:t>Phase II</w:t>
      </w:r>
      <w:r w:rsidR="00B05276" w:rsidRPr="00404A58">
        <w:t>, single arm, open</w:t>
      </w:r>
      <w:r w:rsidR="00035254" w:rsidRPr="00404A58">
        <w:t xml:space="preserve"> </w:t>
      </w:r>
      <w:r w:rsidR="00B05276" w:rsidRPr="00404A58">
        <w:t xml:space="preserve">label study in 86 adult Chinese patients with r/r MCL who had received at </w:t>
      </w:r>
      <w:r w:rsidR="00FC69FB">
        <w:t>least</w:t>
      </w:r>
      <w:r w:rsidR="00B05276" w:rsidRPr="00404A58">
        <w:t xml:space="preserve"> </w:t>
      </w:r>
      <w:r w:rsidR="00FC69FB">
        <w:t>one</w:t>
      </w:r>
      <w:r w:rsidR="00B05276" w:rsidRPr="00404A58">
        <w:t xml:space="preserve"> but </w:t>
      </w:r>
      <w:r w:rsidR="00FC69FB">
        <w:t>less than</w:t>
      </w:r>
      <w:r w:rsidR="00B05276" w:rsidRPr="00404A58">
        <w:t xml:space="preserve"> 5 prior line(s) of therapy.</w:t>
      </w:r>
    </w:p>
    <w:p w14:paraId="07D2A173" w14:textId="77777777" w:rsidR="00B05276" w:rsidRPr="00404A58" w:rsidRDefault="00B05276" w:rsidP="00705C40">
      <w:pPr>
        <w:pStyle w:val="Heading6"/>
      </w:pPr>
      <w:r w:rsidRPr="00404A58">
        <w:t>Study treatments</w:t>
      </w:r>
    </w:p>
    <w:p w14:paraId="368874F2" w14:textId="0F6E9E72" w:rsidR="00B05276" w:rsidRPr="00404A58" w:rsidRDefault="00B05276" w:rsidP="00705C40">
      <w:r w:rsidRPr="00404A58">
        <w:t xml:space="preserve">Patients were treated with oral zanubrutinib 160 mg (2 x 80 mg capsules) </w:t>
      </w:r>
      <w:r w:rsidR="001006D4" w:rsidRPr="00404A58">
        <w:t>twice daily</w:t>
      </w:r>
      <w:r w:rsidRPr="00404A58">
        <w:t xml:space="preserve"> continuously for up to 3 years or until </w:t>
      </w:r>
      <w:bookmarkStart w:id="46" w:name="_Hlk105331933"/>
      <w:r w:rsidRPr="00404A58">
        <w:t>progressive disease</w:t>
      </w:r>
      <w:bookmarkEnd w:id="46"/>
      <w:r w:rsidRPr="00404A58">
        <w:t>, unacceptable toxicity, death, withdrawal of consent or study termination.</w:t>
      </w:r>
    </w:p>
    <w:p w14:paraId="2BFB3C49" w14:textId="77777777" w:rsidR="00B05276" w:rsidRPr="00404A58" w:rsidRDefault="00B05276" w:rsidP="00705C40">
      <w:pPr>
        <w:pStyle w:val="Heading6"/>
      </w:pPr>
      <w:r w:rsidRPr="00404A58">
        <w:t>Outcome measurements</w:t>
      </w:r>
    </w:p>
    <w:p w14:paraId="60448439" w14:textId="3ABACF17" w:rsidR="00B05276" w:rsidRPr="00404A58" w:rsidRDefault="00B05276" w:rsidP="00705C40">
      <w:r w:rsidRPr="00404A58">
        <w:t>The primary and secondary endpoints were assessed according to the Lugano classification.</w:t>
      </w:r>
      <w:r w:rsidR="00053A45" w:rsidRPr="00404A58">
        <w:rPr>
          <w:rStyle w:val="FootnoteReference"/>
        </w:rPr>
        <w:footnoteReference w:id="11"/>
      </w:r>
      <w:r w:rsidRPr="00404A58">
        <w:t xml:space="preserve"> Screening tumour assessments included a contrast </w:t>
      </w:r>
      <w:r w:rsidR="00602EC2" w:rsidRPr="00404A58">
        <w:t xml:space="preserve">computerised </w:t>
      </w:r>
      <w:r w:rsidR="00602EC2" w:rsidRPr="00404A58">
        <w:lastRenderedPageBreak/>
        <w:t>tomography (CT)</w:t>
      </w:r>
      <w:r w:rsidRPr="00404A58">
        <w:t xml:space="preserve"> scan (or </w:t>
      </w:r>
      <w:r w:rsidR="00602EC2" w:rsidRPr="00404A58">
        <w:t>magnetic resonance imaging (</w:t>
      </w:r>
      <w:r w:rsidRPr="00404A58">
        <w:t>MRI)</w:t>
      </w:r>
      <w:r w:rsidR="00602EC2" w:rsidRPr="00404A58">
        <w:t>)</w:t>
      </w:r>
      <w:r w:rsidRPr="00404A58">
        <w:t xml:space="preserve"> of the neck, chest, abdomen and pelvis, </w:t>
      </w:r>
      <w:r w:rsidR="00602EC2" w:rsidRPr="00404A58">
        <w:t>fluorodeoxyglucose</w:t>
      </w:r>
      <w:r w:rsidRPr="00404A58">
        <w:t>-</w:t>
      </w:r>
      <w:r w:rsidR="00602EC2" w:rsidRPr="00404A58">
        <w:t>positron emission tomography (</w:t>
      </w:r>
      <w:r w:rsidRPr="00404A58">
        <w:t>PET</w:t>
      </w:r>
      <w:r w:rsidR="00602EC2" w:rsidRPr="00404A58">
        <w:t>)</w:t>
      </w:r>
      <w:r w:rsidRPr="00404A58">
        <w:t xml:space="preserve"> scan, bone marrow biopsy and endoscopic gastrointestinal biopsy (for suspected gastrointestinal involvement). For patients with </w:t>
      </w:r>
      <w:r w:rsidR="00602EC2" w:rsidRPr="00404A58">
        <w:t>fluorodeoxyglucose</w:t>
      </w:r>
      <w:r w:rsidR="00E434BE" w:rsidRPr="00404A58">
        <w:t xml:space="preserve"> </w:t>
      </w:r>
      <w:r w:rsidRPr="00404A58">
        <w:t xml:space="preserve">avid disease at screening, PET and CT or MRI were repeated 12 </w:t>
      </w:r>
      <w:proofErr w:type="gramStart"/>
      <w:r w:rsidRPr="00404A58">
        <w:t>weekly</w:t>
      </w:r>
      <w:proofErr w:type="gramEnd"/>
      <w:r w:rsidRPr="00404A58">
        <w:t xml:space="preserve"> for the first 96</w:t>
      </w:r>
      <w:r w:rsidR="00E434BE" w:rsidRPr="00404A58">
        <w:t> </w:t>
      </w:r>
      <w:r w:rsidRPr="00404A58">
        <w:t xml:space="preserve">weeks, then 24 weekly thereafter until </w:t>
      </w:r>
      <w:r w:rsidR="00E434BE" w:rsidRPr="00404A58">
        <w:t xml:space="preserve">progressive disease </w:t>
      </w:r>
      <w:r w:rsidRPr="00404A58">
        <w:t xml:space="preserve">or end of study. PET and contrast CT scans were required for </w:t>
      </w:r>
      <w:r w:rsidR="00FC69FB">
        <w:t>complete response (</w:t>
      </w:r>
      <w:r w:rsidRPr="00404A58">
        <w:t>CR</w:t>
      </w:r>
      <w:r w:rsidR="00FC69FB">
        <w:t>)</w:t>
      </w:r>
      <w:r w:rsidRPr="00404A58">
        <w:t xml:space="preserve"> confirmation for all subjects. Endoscopy was mandatory for CR confirmation for any patient with a documented history of gastrointestinal involvement. Bone marrow biopsy was required for CR confirmation in patients with bone marrow tumour involvement prior to study drug.</w:t>
      </w:r>
    </w:p>
    <w:p w14:paraId="3F917864" w14:textId="77777777" w:rsidR="00B05276" w:rsidRPr="00404A58" w:rsidRDefault="00B05276" w:rsidP="00705C40">
      <w:pPr>
        <w:pStyle w:val="Heading6"/>
      </w:pPr>
      <w:r w:rsidRPr="00404A58">
        <w:t>Inclusion and exclusion criteria</w:t>
      </w:r>
    </w:p>
    <w:p w14:paraId="62448FE1" w14:textId="281262A2" w:rsidR="00292A79" w:rsidRPr="00404A58" w:rsidRDefault="00292A79" w:rsidP="00292A79">
      <w:pPr>
        <w:pStyle w:val="Heading7"/>
        <w:rPr>
          <w:sz w:val="22"/>
          <w:szCs w:val="28"/>
        </w:rPr>
      </w:pPr>
      <w:r w:rsidRPr="00404A58">
        <w:rPr>
          <w:sz w:val="22"/>
          <w:szCs w:val="28"/>
        </w:rPr>
        <w:t>Key inclusion criteria</w:t>
      </w:r>
    </w:p>
    <w:p w14:paraId="7BFEA39D" w14:textId="3488E4B1" w:rsidR="00292A79" w:rsidRPr="00404A58" w:rsidRDefault="00292A79" w:rsidP="00292A79">
      <w:pPr>
        <w:pStyle w:val="ListBullet"/>
      </w:pPr>
      <w:r w:rsidRPr="00404A58">
        <w:t xml:space="preserve">Pathological diagnosis of MCL to include evidence for morphological and cyclin </w:t>
      </w:r>
      <w:r w:rsidR="00C65E89">
        <w:t>D1</w:t>
      </w:r>
      <w:r w:rsidR="00602EC2" w:rsidRPr="00404A58">
        <w:t xml:space="preserve"> </w:t>
      </w:r>
      <w:r w:rsidRPr="00404A58">
        <w:t>and B</w:t>
      </w:r>
      <w:r w:rsidR="00E12254" w:rsidRPr="00404A58">
        <w:t>-</w:t>
      </w:r>
      <w:r w:rsidRPr="00404A58">
        <w:t xml:space="preserve">cell markers and </w:t>
      </w:r>
      <w:r w:rsidR="002A5B18">
        <w:t>CD5</w:t>
      </w:r>
      <w:r w:rsidRPr="00404A58">
        <w:t xml:space="preserve"> co-expression or </w:t>
      </w:r>
      <w:proofErr w:type="gramStart"/>
      <w:r w:rsidRPr="00404A58">
        <w:t>t(</w:t>
      </w:r>
      <w:proofErr w:type="gramEnd"/>
      <w:r w:rsidRPr="00404A58">
        <w:t xml:space="preserve">11;14). Tumour tissue or unstained slides sent to central laboratory for </w:t>
      </w:r>
      <w:r w:rsidR="00E434BE" w:rsidRPr="00404A58">
        <w:t xml:space="preserve">chronic myeloid </w:t>
      </w:r>
      <w:r w:rsidR="002A5B18" w:rsidRPr="00404A58">
        <w:t>leukaemia</w:t>
      </w:r>
      <w:r w:rsidR="00E434BE" w:rsidRPr="00404A58">
        <w:t xml:space="preserve"> </w:t>
      </w:r>
      <w:r w:rsidRPr="00404A58">
        <w:t>confirmation</w:t>
      </w:r>
      <w:r w:rsidR="00E434BE" w:rsidRPr="00404A58">
        <w:t>.</w:t>
      </w:r>
    </w:p>
    <w:p w14:paraId="72D7AAC1" w14:textId="77777777" w:rsidR="00292A79" w:rsidRPr="00404A58" w:rsidRDefault="00292A79" w:rsidP="00292A79">
      <w:pPr>
        <w:pStyle w:val="ListBullet"/>
      </w:pPr>
      <w:r w:rsidRPr="00404A58">
        <w:t>Age 18 to 75 years of age.</w:t>
      </w:r>
    </w:p>
    <w:p w14:paraId="56BE9D88" w14:textId="4AEC2AB3" w:rsidR="00292A79" w:rsidRPr="00404A58" w:rsidRDefault="00602EC2" w:rsidP="00292A79">
      <w:pPr>
        <w:pStyle w:val="ListBullet"/>
      </w:pPr>
      <w:r w:rsidRPr="00404A58">
        <w:t>Eastern Cooperative Oncology Group (</w:t>
      </w:r>
      <w:r w:rsidR="00292A79" w:rsidRPr="00404A58">
        <w:t>ECOG</w:t>
      </w:r>
      <w:r w:rsidRPr="00404A58">
        <w:t>)</w:t>
      </w:r>
      <w:r w:rsidR="003B5C95" w:rsidRPr="00404A58">
        <w:rPr>
          <w:rStyle w:val="FootnoteReference"/>
        </w:rPr>
        <w:footnoteReference w:id="12"/>
      </w:r>
      <w:r w:rsidR="00292A79" w:rsidRPr="00404A58">
        <w:t xml:space="preserve"> </w:t>
      </w:r>
      <w:r w:rsidRPr="00404A58">
        <w:t xml:space="preserve">Performance Status </w:t>
      </w:r>
      <w:r w:rsidR="002A5B18">
        <w:t xml:space="preserve">score of </w:t>
      </w:r>
      <w:r w:rsidR="00292A79" w:rsidRPr="00404A58">
        <w:t>0 to 2.</w:t>
      </w:r>
    </w:p>
    <w:p w14:paraId="69AE4824" w14:textId="77777777" w:rsidR="00292A79" w:rsidRPr="00404A58" w:rsidRDefault="00292A79" w:rsidP="00292A79">
      <w:pPr>
        <w:pStyle w:val="ListBullet"/>
      </w:pPr>
      <w:r w:rsidRPr="00404A58">
        <w:t>Measurable disease by CT/MRI</w:t>
      </w:r>
    </w:p>
    <w:p w14:paraId="5E126FD5" w14:textId="2FD4D002" w:rsidR="00292A79" w:rsidRPr="00404A58" w:rsidRDefault="002A5B18" w:rsidP="00292A79">
      <w:pPr>
        <w:pStyle w:val="ListBullet"/>
      </w:pPr>
      <w:r>
        <w:t xml:space="preserve">At least one </w:t>
      </w:r>
      <w:r w:rsidR="00292A79" w:rsidRPr="00404A58">
        <w:t xml:space="preserve">but </w:t>
      </w:r>
      <w:r>
        <w:t>less than</w:t>
      </w:r>
      <w:r w:rsidR="00292A79" w:rsidRPr="00404A58">
        <w:t xml:space="preserve"> 5 prior regimens for MCL</w:t>
      </w:r>
      <w:r w:rsidR="00E434BE" w:rsidRPr="00404A58">
        <w:t>.</w:t>
      </w:r>
    </w:p>
    <w:p w14:paraId="045927A8" w14:textId="192D9996" w:rsidR="00292A79" w:rsidRPr="00404A58" w:rsidRDefault="00292A79" w:rsidP="00292A79">
      <w:pPr>
        <w:pStyle w:val="ListBullet"/>
      </w:pPr>
      <w:r w:rsidRPr="00404A58">
        <w:t>Documented failure to achieve any response or documented progressive disease during or after response to most recent treatment</w:t>
      </w:r>
      <w:r w:rsidR="00E434BE" w:rsidRPr="00404A58">
        <w:t>.</w:t>
      </w:r>
    </w:p>
    <w:p w14:paraId="6B53135F" w14:textId="77777777" w:rsidR="00292A79" w:rsidRPr="00404A58" w:rsidRDefault="00292A79" w:rsidP="00292A79">
      <w:pPr>
        <w:pStyle w:val="ListBullet"/>
      </w:pPr>
      <w:r w:rsidRPr="00404A58">
        <w:t>Neutrophils ≥ 1 x 10</w:t>
      </w:r>
      <w:r w:rsidRPr="00404A58">
        <w:rPr>
          <w:vertAlign w:val="superscript"/>
        </w:rPr>
        <w:t>9</w:t>
      </w:r>
      <w:r w:rsidRPr="00404A58">
        <w:t>/L independent of growth factor support ≤ 7 days of study entry.</w:t>
      </w:r>
    </w:p>
    <w:p w14:paraId="6D1B1E51" w14:textId="2C0C5E99" w:rsidR="00292A79" w:rsidRPr="00404A58" w:rsidRDefault="00292A79" w:rsidP="00292A79">
      <w:pPr>
        <w:pStyle w:val="ListBullet"/>
      </w:pPr>
      <w:r w:rsidRPr="00404A58">
        <w:t>Platelets ≥ 75 x 10</w:t>
      </w:r>
      <w:r w:rsidRPr="00404A58">
        <w:rPr>
          <w:vertAlign w:val="superscript"/>
        </w:rPr>
        <w:t>9</w:t>
      </w:r>
      <w:r w:rsidRPr="00404A58">
        <w:t>/L independent of growth factor support or transfusion ≤ 7 days of study entry (platelets ≥ 50 x 10</w:t>
      </w:r>
      <w:r w:rsidRPr="00404A58">
        <w:rPr>
          <w:vertAlign w:val="superscript"/>
        </w:rPr>
        <w:t>9</w:t>
      </w:r>
      <w:r w:rsidRPr="00404A58">
        <w:t xml:space="preserve">/L if </w:t>
      </w:r>
      <w:r w:rsidR="00E434BE" w:rsidRPr="00404A58">
        <w:t xml:space="preserve">bone marrow </w:t>
      </w:r>
      <w:r w:rsidRPr="00404A58">
        <w:t>involvement).</w:t>
      </w:r>
    </w:p>
    <w:p w14:paraId="4466FE8A" w14:textId="77777777" w:rsidR="00292A79" w:rsidRPr="00404A58" w:rsidRDefault="00292A79" w:rsidP="00292A79">
      <w:pPr>
        <w:pStyle w:val="ListBullet"/>
      </w:pPr>
      <w:r w:rsidRPr="00404A58">
        <w:t>Creatinine clearance of ≥ 30 mL/min</w:t>
      </w:r>
    </w:p>
    <w:p w14:paraId="3E3FCA60" w14:textId="6E6ECD30" w:rsidR="00292A79" w:rsidRPr="00404A58" w:rsidRDefault="00602EC2" w:rsidP="00292A79">
      <w:pPr>
        <w:pStyle w:val="ListBullet"/>
      </w:pPr>
      <w:r w:rsidRPr="00404A58">
        <w:t>Aspartate aminotransferase</w:t>
      </w:r>
      <w:r w:rsidR="00292A79" w:rsidRPr="00404A58">
        <w:t xml:space="preserve"> and </w:t>
      </w:r>
      <w:r w:rsidRPr="00404A58">
        <w:t>alanine aminotransferase</w:t>
      </w:r>
      <w:r w:rsidR="00292A79" w:rsidRPr="00404A58">
        <w:t xml:space="preserve"> ≤ 2.5 x </w:t>
      </w:r>
      <w:r w:rsidRPr="00404A58">
        <w:t>upper limit normal (</w:t>
      </w:r>
      <w:r w:rsidR="00292A79" w:rsidRPr="00404A58">
        <w:t>ULN</w:t>
      </w:r>
      <w:r w:rsidRPr="00404A58">
        <w:t>)</w:t>
      </w:r>
      <w:r w:rsidR="00292A79" w:rsidRPr="00404A58">
        <w:t xml:space="preserve">, </w:t>
      </w:r>
      <w:r w:rsidR="00E434BE" w:rsidRPr="00404A58">
        <w:t>t</w:t>
      </w:r>
      <w:r w:rsidR="00292A79" w:rsidRPr="00404A58">
        <w:t>otal bilirubin ≤ 2 x ULN (unless documented Gilbert’s syndrome).</w:t>
      </w:r>
    </w:p>
    <w:p w14:paraId="3043A156" w14:textId="30593C17" w:rsidR="00292A79" w:rsidRPr="00404A58" w:rsidRDefault="003C4B7E" w:rsidP="00292A79">
      <w:pPr>
        <w:pStyle w:val="ListBullet"/>
      </w:pPr>
      <w:r w:rsidRPr="00404A58">
        <w:t>International normalised ratio (</w:t>
      </w:r>
      <w:r w:rsidR="00292A79" w:rsidRPr="00404A58">
        <w:t>INR</w:t>
      </w:r>
      <w:r w:rsidRPr="00404A58">
        <w:t>)</w:t>
      </w:r>
      <w:r w:rsidR="00292A79" w:rsidRPr="00404A58">
        <w:t xml:space="preserve"> ≤ 1.5 and </w:t>
      </w:r>
      <w:r w:rsidRPr="00404A58">
        <w:t>activated partial thromboplastin time (</w:t>
      </w:r>
      <w:proofErr w:type="spellStart"/>
      <w:r w:rsidR="00292A79" w:rsidRPr="00404A58">
        <w:t>aPTT</w:t>
      </w:r>
      <w:proofErr w:type="spellEnd"/>
      <w:r w:rsidRPr="00404A58">
        <w:t>)</w:t>
      </w:r>
      <w:r w:rsidR="00292A79" w:rsidRPr="00404A58">
        <w:t xml:space="preserve"> ≤ 1.5 x ULN</w:t>
      </w:r>
    </w:p>
    <w:p w14:paraId="7E96D88D" w14:textId="230C8A1C" w:rsidR="00292A79" w:rsidRPr="00404A58" w:rsidRDefault="00292A79" w:rsidP="00292A79">
      <w:pPr>
        <w:pStyle w:val="ListBullet"/>
      </w:pPr>
      <w:r w:rsidRPr="00404A58">
        <w:t xml:space="preserve">Relapse ≥ 6 months after </w:t>
      </w:r>
      <w:r w:rsidR="00E434BE" w:rsidRPr="00404A58">
        <w:t xml:space="preserve">autologous stem cell transplantation </w:t>
      </w:r>
      <w:r w:rsidRPr="00404A58">
        <w:t>if no active related infections.</w:t>
      </w:r>
    </w:p>
    <w:p w14:paraId="71E16E4C" w14:textId="21110629" w:rsidR="00292A79" w:rsidRPr="00404A58" w:rsidRDefault="00292A79" w:rsidP="00292A79">
      <w:pPr>
        <w:pStyle w:val="Heading7"/>
        <w:rPr>
          <w:sz w:val="22"/>
          <w:szCs w:val="28"/>
        </w:rPr>
      </w:pPr>
      <w:r w:rsidRPr="00404A58">
        <w:rPr>
          <w:sz w:val="22"/>
          <w:szCs w:val="28"/>
        </w:rPr>
        <w:t xml:space="preserve">Key </w:t>
      </w:r>
      <w:r w:rsidR="00E434BE" w:rsidRPr="00404A58">
        <w:rPr>
          <w:sz w:val="22"/>
          <w:szCs w:val="28"/>
        </w:rPr>
        <w:t>exclusion criteria</w:t>
      </w:r>
    </w:p>
    <w:p w14:paraId="4816F879" w14:textId="1D506A20" w:rsidR="00292A79" w:rsidRPr="00404A58" w:rsidRDefault="00292A79" w:rsidP="00292A79">
      <w:pPr>
        <w:pStyle w:val="ListBullet"/>
      </w:pPr>
      <w:r w:rsidRPr="00404A58">
        <w:t xml:space="preserve">Current or history of </w:t>
      </w:r>
      <w:r w:rsidR="00E434BE" w:rsidRPr="00404A58">
        <w:t>central nervous system</w:t>
      </w:r>
      <w:r w:rsidRPr="00404A58">
        <w:t xml:space="preserve"> lymphoma.</w:t>
      </w:r>
    </w:p>
    <w:p w14:paraId="34471BE4" w14:textId="2349AEBC" w:rsidR="00292A79" w:rsidRPr="00404A58" w:rsidRDefault="00292A79" w:rsidP="00292A79">
      <w:pPr>
        <w:pStyle w:val="ListBullet"/>
      </w:pPr>
      <w:r w:rsidRPr="00404A58">
        <w:lastRenderedPageBreak/>
        <w:t>Prior BTK inhibitor</w:t>
      </w:r>
      <w:r w:rsidR="002A5B18">
        <w:t xml:space="preserve"> use</w:t>
      </w:r>
      <w:r w:rsidRPr="00404A58">
        <w:t>.</w:t>
      </w:r>
    </w:p>
    <w:p w14:paraId="2705BCD1" w14:textId="55A9B8D4" w:rsidR="00292A79" w:rsidRPr="00404A58" w:rsidRDefault="00292A79" w:rsidP="00292A79">
      <w:pPr>
        <w:pStyle w:val="ListBullet"/>
      </w:pPr>
      <w:r w:rsidRPr="00404A58">
        <w:t>Prior corticosteroids ≥ prednisone 10 mg/day or equivalent with antineoplastic intent ≤</w:t>
      </w:r>
      <w:r w:rsidR="00E434BE" w:rsidRPr="00404A58">
        <w:t> </w:t>
      </w:r>
      <w:r w:rsidRPr="00404A58">
        <w:t>7</w:t>
      </w:r>
      <w:r w:rsidR="00E434BE" w:rsidRPr="00404A58">
        <w:t> </w:t>
      </w:r>
      <w:r w:rsidRPr="00404A58">
        <w:t>days of start of study drug. Prior chemotherapy, targeted therapy, or radiation therapy ≤</w:t>
      </w:r>
      <w:r w:rsidR="00E434BE" w:rsidRPr="00404A58">
        <w:t> </w:t>
      </w:r>
      <w:r w:rsidRPr="00404A58">
        <w:t xml:space="preserve">3 weeks, antineoplastic therapy with Chinese herbal medication or </w:t>
      </w:r>
      <w:proofErr w:type="gramStart"/>
      <w:r w:rsidRPr="00404A58">
        <w:t>antibody</w:t>
      </w:r>
      <w:r w:rsidR="00E434BE" w:rsidRPr="00404A58">
        <w:t xml:space="preserve"> </w:t>
      </w:r>
      <w:r w:rsidRPr="00404A58">
        <w:t>based</w:t>
      </w:r>
      <w:proofErr w:type="gramEnd"/>
      <w:r w:rsidRPr="00404A58">
        <w:t xml:space="preserve"> therapies within 4 weeks of the start of study drug.</w:t>
      </w:r>
    </w:p>
    <w:p w14:paraId="2229603D" w14:textId="06465137" w:rsidR="00292A79" w:rsidRPr="00404A58" w:rsidRDefault="00292A79" w:rsidP="00292A79">
      <w:pPr>
        <w:pStyle w:val="ListBullet"/>
      </w:pPr>
      <w:r w:rsidRPr="00404A58">
        <w:t>Toxicity from prior chemotherapy unless recovered to ≤ Grade</w:t>
      </w:r>
      <w:r w:rsidR="00E434BE" w:rsidRPr="00404A58">
        <w:t> </w:t>
      </w:r>
      <w:r w:rsidRPr="00404A58">
        <w:t xml:space="preserve">1 (except for </w:t>
      </w:r>
      <w:proofErr w:type="gramStart"/>
      <w:r w:rsidRPr="00404A58">
        <w:t>alopecia, or</w:t>
      </w:r>
      <w:proofErr w:type="gramEnd"/>
      <w:r w:rsidRPr="00404A58">
        <w:t xml:space="preserve"> meeting neutrophil or platelet inclusion criterion).</w:t>
      </w:r>
    </w:p>
    <w:p w14:paraId="285DD47C" w14:textId="02EBD34D" w:rsidR="00292A79" w:rsidRPr="00404A58" w:rsidRDefault="00292A79" w:rsidP="00292A79">
      <w:pPr>
        <w:pStyle w:val="ListBullet"/>
      </w:pPr>
      <w:r w:rsidRPr="00404A58">
        <w:t xml:space="preserve">Currently clinically significant active cardiovascular disease such as uncontrolled arrhythmia, uncontrolled hypertension, congestive heart failure, any </w:t>
      </w:r>
      <w:r w:rsidR="0068710F" w:rsidRPr="00404A58">
        <w:t>New York Heart Association (</w:t>
      </w:r>
      <w:r w:rsidRPr="00404A58">
        <w:t>NYHA</w:t>
      </w:r>
      <w:r w:rsidR="0068710F" w:rsidRPr="00404A58">
        <w:t>)</w:t>
      </w:r>
      <w:r w:rsidR="0068710F" w:rsidRPr="00404A58">
        <w:rPr>
          <w:rStyle w:val="FootnoteReference"/>
        </w:rPr>
        <w:footnoteReference w:id="13"/>
      </w:r>
      <w:r w:rsidRPr="00404A58">
        <w:t xml:space="preserve"> Class 3 or 4 or history of myocardial infarction ≤ 6 months of screening. Patients with echocardiogram results that demonstrated </w:t>
      </w:r>
      <w:r w:rsidR="00E434BE" w:rsidRPr="00404A58">
        <w:t xml:space="preserve">left ventricular ejection fraction </w:t>
      </w:r>
      <w:r w:rsidRPr="00404A58">
        <w:t>&lt; 50%.</w:t>
      </w:r>
    </w:p>
    <w:p w14:paraId="32AD6819" w14:textId="123CAC87" w:rsidR="00292A79" w:rsidRPr="00404A58" w:rsidRDefault="0069053A" w:rsidP="00292A79">
      <w:pPr>
        <w:pStyle w:val="ListBullet"/>
      </w:pPr>
      <w:r w:rsidRPr="00404A58">
        <w:t>QT</w:t>
      </w:r>
      <w:r w:rsidR="00D72CC1">
        <w:t>-interval</w:t>
      </w:r>
      <w:r w:rsidRPr="00404A58">
        <w:t xml:space="preserve"> corrected using Fridericia’s formula (</w:t>
      </w:r>
      <w:proofErr w:type="spellStart"/>
      <w:r w:rsidR="00292A79" w:rsidRPr="00404A58">
        <w:t>QTcF</w:t>
      </w:r>
      <w:proofErr w:type="spellEnd"/>
      <w:r w:rsidRPr="00404A58">
        <w:t>)</w:t>
      </w:r>
      <w:r w:rsidR="00C025FE" w:rsidRPr="00404A58">
        <w:rPr>
          <w:rStyle w:val="FootnoteReference"/>
        </w:rPr>
        <w:footnoteReference w:id="14"/>
      </w:r>
      <w:r w:rsidR="00D72CC1">
        <w:t xml:space="preserve"> </w:t>
      </w:r>
      <w:r w:rsidR="00292A79" w:rsidRPr="00404A58">
        <w:t xml:space="preserve">&gt; 450 </w:t>
      </w:r>
      <w:proofErr w:type="spellStart"/>
      <w:r w:rsidR="00292A79" w:rsidRPr="00404A58">
        <w:t>ms</w:t>
      </w:r>
      <w:proofErr w:type="spellEnd"/>
      <w:r w:rsidR="00292A79" w:rsidRPr="00404A58">
        <w:t xml:space="preserve"> or other significant </w:t>
      </w:r>
      <w:r w:rsidR="00953790" w:rsidRPr="00404A58">
        <w:t xml:space="preserve">electrocardiogram </w:t>
      </w:r>
      <w:r w:rsidR="00292A79" w:rsidRPr="00404A58">
        <w:t xml:space="preserve">abnormalities including </w:t>
      </w:r>
      <w:r w:rsidR="00953790" w:rsidRPr="00404A58">
        <w:t>T</w:t>
      </w:r>
      <w:r w:rsidR="00292A79" w:rsidRPr="00404A58">
        <w:t>ype</w:t>
      </w:r>
      <w:r w:rsidR="00953790" w:rsidRPr="00404A58">
        <w:t> </w:t>
      </w:r>
      <w:r w:rsidR="00292A79" w:rsidRPr="00404A58">
        <w:t>II second</w:t>
      </w:r>
      <w:r w:rsidR="00953790" w:rsidRPr="00404A58">
        <w:t xml:space="preserve"> </w:t>
      </w:r>
      <w:r w:rsidR="00292A79" w:rsidRPr="00404A58">
        <w:t xml:space="preserve">degree or </w:t>
      </w:r>
      <w:proofErr w:type="gramStart"/>
      <w:r w:rsidR="00292A79" w:rsidRPr="00404A58">
        <w:t>third</w:t>
      </w:r>
      <w:r w:rsidR="00953790" w:rsidRPr="00404A58">
        <w:t xml:space="preserve"> </w:t>
      </w:r>
      <w:r w:rsidR="00292A79" w:rsidRPr="00404A58">
        <w:t>degree</w:t>
      </w:r>
      <w:proofErr w:type="gramEnd"/>
      <w:r w:rsidR="00292A79" w:rsidRPr="00404A58">
        <w:t xml:space="preserve"> </w:t>
      </w:r>
      <w:r w:rsidR="00953790" w:rsidRPr="00404A58">
        <w:t xml:space="preserve">atrioventricular </w:t>
      </w:r>
      <w:r w:rsidR="00292A79" w:rsidRPr="00404A58">
        <w:t>block.</w:t>
      </w:r>
    </w:p>
    <w:p w14:paraId="417F52C3" w14:textId="4F6961D5" w:rsidR="00292A79" w:rsidRPr="00404A58" w:rsidRDefault="00292A79" w:rsidP="00292A79">
      <w:pPr>
        <w:pStyle w:val="ListBullet"/>
      </w:pPr>
      <w:r w:rsidRPr="00404A58">
        <w:t xml:space="preserve">Received allogenic </w:t>
      </w:r>
      <w:r w:rsidR="00953790" w:rsidRPr="00404A58">
        <w:t>h</w:t>
      </w:r>
      <w:r w:rsidR="00D72CC1">
        <w:t>a</w:t>
      </w:r>
      <w:r w:rsidR="00953790" w:rsidRPr="00404A58">
        <w:t xml:space="preserve">ematopoietic stem cell transplantation </w:t>
      </w:r>
      <w:r w:rsidRPr="00404A58">
        <w:t>prior to enrolment</w:t>
      </w:r>
      <w:r w:rsidR="00953790" w:rsidRPr="00404A58">
        <w:t>.</w:t>
      </w:r>
    </w:p>
    <w:p w14:paraId="25EE15C2" w14:textId="77777777" w:rsidR="00B05276" w:rsidRPr="00404A58" w:rsidRDefault="00B05276" w:rsidP="00705C40">
      <w:pPr>
        <w:pStyle w:val="Heading6"/>
      </w:pPr>
      <w:r w:rsidRPr="00404A58">
        <w:t>Patient characteristics</w:t>
      </w:r>
    </w:p>
    <w:p w14:paraId="39C57C75" w14:textId="09A17D3B" w:rsidR="00B05276" w:rsidRPr="00404A58" w:rsidRDefault="00B05276" w:rsidP="00705C40">
      <w:r w:rsidRPr="00404A58">
        <w:t>Patients were mostly male (77.9%), with a median age of 60.5 years (range 34</w:t>
      </w:r>
      <w:r w:rsidR="00953790" w:rsidRPr="00404A58">
        <w:t xml:space="preserve"> to </w:t>
      </w:r>
      <w:r w:rsidRPr="00404A58">
        <w:t>75 years) and with most (74.4%) &lt; 65 years. ECOG</w:t>
      </w:r>
      <w:r w:rsidR="00D72CC1">
        <w:t xml:space="preserve"> </w:t>
      </w:r>
      <w:r w:rsidR="007A1F56">
        <w:t>Performance</w:t>
      </w:r>
      <w:r w:rsidR="007A1F56" w:rsidRPr="00404A58">
        <w:t xml:space="preserve"> Status</w:t>
      </w:r>
      <w:r w:rsidRPr="00404A58">
        <w:t xml:space="preserve"> was 0 (69.8%), 1 (25.6%), and 2 (4.7%).</w:t>
      </w:r>
    </w:p>
    <w:p w14:paraId="68446B32" w14:textId="4098092E" w:rsidR="00B05276" w:rsidRPr="00404A58" w:rsidRDefault="00B05276" w:rsidP="00705C40">
      <w:r w:rsidRPr="00404A58">
        <w:t>Patients were a median of 30.09 months since diagnosis (range 3.1</w:t>
      </w:r>
      <w:r w:rsidR="00953790" w:rsidRPr="00404A58">
        <w:t>to</w:t>
      </w:r>
      <w:r w:rsidRPr="00404A58">
        <w:t xml:space="preserve"> 102.4 months). 91.9% had no target lesion </w:t>
      </w:r>
      <w:r w:rsidR="00053A45" w:rsidRPr="00404A58">
        <w:t>longest transvers diameter of lesion (</w:t>
      </w:r>
      <w:proofErr w:type="spellStart"/>
      <w:r w:rsidRPr="00404A58">
        <w:t>LDi</w:t>
      </w:r>
      <w:proofErr w:type="spellEnd"/>
      <w:r w:rsidR="00053A45" w:rsidRPr="00404A58">
        <w:t>)</w:t>
      </w:r>
      <w:r w:rsidRPr="00404A58">
        <w:t xml:space="preserve"> ≤ 10 cm.</w:t>
      </w:r>
    </w:p>
    <w:p w14:paraId="23D13D13" w14:textId="092DF1EA" w:rsidR="00B05276" w:rsidRPr="00404A58" w:rsidRDefault="00B05276" w:rsidP="00705C40">
      <w:r w:rsidRPr="00404A58">
        <w:t>Most were Stage III (16.3%) or IV (74.4%. The median Ki67</w:t>
      </w:r>
      <w:r w:rsidR="00953790" w:rsidRPr="00404A58">
        <w:t>;</w:t>
      </w:r>
      <w:r w:rsidR="00053A45" w:rsidRPr="00404A58">
        <w:rPr>
          <w:rStyle w:val="FootnoteReference"/>
        </w:rPr>
        <w:footnoteReference w:id="15"/>
      </w:r>
      <w:r w:rsidR="00953790" w:rsidRPr="00404A58">
        <w:t xml:space="preserve"> </w:t>
      </w:r>
      <w:r w:rsidRPr="00404A58">
        <w:t xml:space="preserve">positive cell percentage was 30% (range 3, 80%), and 45.3% and 38.4% were </w:t>
      </w:r>
      <w:r w:rsidR="008D2C11" w:rsidRPr="008D2C11">
        <w:t>Mantle Cell Lymphoma Prognostic Index (biological) score</w:t>
      </w:r>
      <w:r w:rsidR="003C4B7E" w:rsidRPr="00404A58">
        <w:t xml:space="preserve"> (</w:t>
      </w:r>
      <w:r w:rsidRPr="00404A58">
        <w:t>MIPI-b</w:t>
      </w:r>
      <w:r w:rsidR="003C4B7E" w:rsidRPr="00404A58">
        <w:t>)</w:t>
      </w:r>
      <w:r w:rsidR="00953790" w:rsidRPr="00404A58">
        <w:t>;</w:t>
      </w:r>
      <w:r w:rsidR="00053A45" w:rsidRPr="00404A58">
        <w:rPr>
          <w:rStyle w:val="FootnoteReference"/>
        </w:rPr>
        <w:footnoteReference w:id="16"/>
      </w:r>
      <w:r w:rsidRPr="00404A58">
        <w:t xml:space="preserve"> intermediate and high risk, respectively. Almost 71% had extranodal disease at study entry and 45.3% had bone marrow involvement. The disease state was relapsed disease in 47.7% and refractory in 52.3%.</w:t>
      </w:r>
    </w:p>
    <w:p w14:paraId="2D20C890" w14:textId="6FF27B1B" w:rsidR="00B05276" w:rsidRPr="00404A58" w:rsidRDefault="00B05276" w:rsidP="00705C40">
      <w:r w:rsidRPr="00404A58">
        <w:t>Patients had a median of 2 prior therapies, with 91% receiving a</w:t>
      </w:r>
      <w:r w:rsidR="003C4B7E" w:rsidRPr="00404A58">
        <w:t xml:space="preserve"> cyclophosphamide/doxorubicin/vincristine/prednisone (</w:t>
      </w:r>
      <w:r w:rsidRPr="00404A58">
        <w:t>CHOP</w:t>
      </w:r>
      <w:r w:rsidR="003C4B7E" w:rsidRPr="00404A58">
        <w:t>)</w:t>
      </w:r>
      <w:r w:rsidRPr="00404A58">
        <w:t xml:space="preserve"> based regimen, and 74% including rituximab as a single agent or part of the regimen, and 4% had a previous autologous stem cell transplant.</w:t>
      </w:r>
    </w:p>
    <w:p w14:paraId="5DBAFACD" w14:textId="77777777" w:rsidR="00B05276" w:rsidRPr="00404A58" w:rsidRDefault="00B05276" w:rsidP="00705C40">
      <w:pPr>
        <w:pStyle w:val="Heading6"/>
      </w:pPr>
      <w:r w:rsidRPr="00404A58">
        <w:t>Sample size and protocol changes</w:t>
      </w:r>
    </w:p>
    <w:p w14:paraId="6934770B" w14:textId="79719A13" w:rsidR="00B05276" w:rsidRPr="00404A58" w:rsidRDefault="00B05276" w:rsidP="00705C40">
      <w:r w:rsidRPr="00404A58">
        <w:t xml:space="preserve">A sample size of 80 patients was based on an assumed overall response rate (ORR) of 70% compared with 40% in a historical control, to provide a statistical significance at a </w:t>
      </w:r>
      <w:proofErr w:type="gramStart"/>
      <w:r w:rsidR="00953790" w:rsidRPr="00404A58">
        <w:t xml:space="preserve">one </w:t>
      </w:r>
      <w:r w:rsidRPr="00404A58">
        <w:t>sided</w:t>
      </w:r>
      <w:proofErr w:type="gramEnd"/>
      <w:r w:rsidRPr="00404A58">
        <w:t xml:space="preserve"> alpha of 0.025 with power of &gt;</w:t>
      </w:r>
      <w:r w:rsidR="00953790" w:rsidRPr="00404A58">
        <w:t xml:space="preserve"> </w:t>
      </w:r>
      <w:r w:rsidRPr="00404A58">
        <w:t xml:space="preserve">0.99. Of the 86 patients enrolled into the study, all received </w:t>
      </w:r>
      <w:r w:rsidR="00F44161" w:rsidRPr="00404A58">
        <w:t>at least one</w:t>
      </w:r>
      <w:r w:rsidRPr="00404A58">
        <w:t xml:space="preserve"> dose of study drug. At the data cut of 15 February 2019, 60.5% of patients were continuing to receive study drug and 39.5% had discontinued study drug </w:t>
      </w:r>
      <w:r w:rsidR="00DD4CC6" w:rsidRPr="00404A58">
        <w:lastRenderedPageBreak/>
        <w:t>(</w:t>
      </w:r>
      <w:r w:rsidRPr="00404A58">
        <w:t>mostly progressive disease (27.9%) or death (16.3%)</w:t>
      </w:r>
      <w:r w:rsidR="00DD4CC6" w:rsidRPr="00404A58">
        <w:t>)</w:t>
      </w:r>
      <w:r w:rsidRPr="00404A58">
        <w:t>. The major protocol violations (9.3%), mostly medication related, are unlikely to have substantially impacted the outcomes.</w:t>
      </w:r>
    </w:p>
    <w:p w14:paraId="1CC7C268" w14:textId="77777777" w:rsidR="00B05276" w:rsidRPr="00404A58" w:rsidRDefault="00B05276" w:rsidP="00705C40">
      <w:pPr>
        <w:pStyle w:val="Heading6"/>
      </w:pPr>
      <w:r w:rsidRPr="00404A58">
        <w:t>Study endpoints and key results</w:t>
      </w:r>
    </w:p>
    <w:p w14:paraId="3679C85A" w14:textId="217FCBC1" w:rsidR="00B05276" w:rsidRPr="00404A58" w:rsidRDefault="00B05276" w:rsidP="00705C40">
      <w:r w:rsidRPr="00404A58">
        <w:t xml:space="preserve">The primary endpoint was </w:t>
      </w:r>
      <w:r w:rsidR="002D5FF2" w:rsidRPr="00404A58">
        <w:t xml:space="preserve">objective response rate </w:t>
      </w:r>
      <w:r w:rsidRPr="00404A58">
        <w:t>(</w:t>
      </w:r>
      <w:r w:rsidR="00D72CC1">
        <w:t>complete response (</w:t>
      </w:r>
      <w:r w:rsidR="0069053A" w:rsidRPr="00404A58">
        <w:t>CR</w:t>
      </w:r>
      <w:r w:rsidR="00D72CC1">
        <w:t>)</w:t>
      </w:r>
      <w:r w:rsidRPr="00404A58">
        <w:t xml:space="preserve"> or </w:t>
      </w:r>
      <w:r w:rsidR="0069053A" w:rsidRPr="00404A58">
        <w:t>partial response (PR)</w:t>
      </w:r>
      <w:r w:rsidRPr="00404A58">
        <w:t xml:space="preserve">) by Independent Review Committee (IRC). The secondary endpoints were </w:t>
      </w:r>
      <w:r w:rsidR="0069053A" w:rsidRPr="00404A58">
        <w:t>duration of response</w:t>
      </w:r>
      <w:r w:rsidRPr="00404A58">
        <w:t xml:space="preserve"> (DOR) (by IRC and investigator), </w:t>
      </w:r>
      <w:r w:rsidR="0069053A" w:rsidRPr="00404A58">
        <w:t>progression</w:t>
      </w:r>
      <w:r w:rsidR="00D72CC1">
        <w:noBreakHyphen/>
      </w:r>
      <w:r w:rsidR="0069053A" w:rsidRPr="00404A58">
        <w:t xml:space="preserve">free survival </w:t>
      </w:r>
      <w:r w:rsidRPr="00404A58">
        <w:t xml:space="preserve">(PFS) (IRC and </w:t>
      </w:r>
      <w:r w:rsidR="00953790" w:rsidRPr="00404A58">
        <w:t>investigator</w:t>
      </w:r>
      <w:r w:rsidRPr="00404A58">
        <w:t xml:space="preserve">), </w:t>
      </w:r>
      <w:r w:rsidR="0069053A" w:rsidRPr="00404A58">
        <w:t xml:space="preserve">time to response </w:t>
      </w:r>
      <w:r w:rsidRPr="00404A58">
        <w:t xml:space="preserve">(TTR) (IRC and </w:t>
      </w:r>
      <w:r w:rsidR="00953790" w:rsidRPr="00404A58">
        <w:t>investigator</w:t>
      </w:r>
      <w:r w:rsidRPr="00404A58">
        <w:t xml:space="preserve">), ORR (by </w:t>
      </w:r>
      <w:r w:rsidR="00953790" w:rsidRPr="00404A58">
        <w:t>investigator</w:t>
      </w:r>
      <w:r w:rsidRPr="00404A58">
        <w:t xml:space="preserve">). </w:t>
      </w:r>
      <w:r w:rsidR="00D72CC1">
        <w:t>O</w:t>
      </w:r>
      <w:r w:rsidR="0069053A" w:rsidRPr="00404A58">
        <w:t xml:space="preserve">verall survival </w:t>
      </w:r>
      <w:r w:rsidRPr="00404A58">
        <w:t>(OS) was an exploratory endpoint. Patients with no post</w:t>
      </w:r>
      <w:r w:rsidR="00953790" w:rsidRPr="00404A58">
        <w:t xml:space="preserve">-Baseline </w:t>
      </w:r>
      <w:r w:rsidRPr="00404A58">
        <w:t>response assessments were considered non-responders for ORR.</w:t>
      </w:r>
    </w:p>
    <w:p w14:paraId="790803DA" w14:textId="5FB94A4C" w:rsidR="00B05276" w:rsidRPr="00404A58" w:rsidRDefault="00B05276" w:rsidP="00705C40">
      <w:pPr>
        <w:pStyle w:val="Heading7"/>
        <w:rPr>
          <w:sz w:val="22"/>
          <w:szCs w:val="28"/>
          <w:lang w:eastAsia="ja-JP"/>
        </w:rPr>
      </w:pPr>
      <w:r w:rsidRPr="00404A58">
        <w:rPr>
          <w:sz w:val="22"/>
          <w:szCs w:val="28"/>
          <w:lang w:eastAsia="ja-JP"/>
        </w:rPr>
        <w:t>Primary endpoint</w:t>
      </w:r>
    </w:p>
    <w:p w14:paraId="4388B642" w14:textId="3B050D04" w:rsidR="00B05276" w:rsidRPr="00404A58" w:rsidRDefault="00404A58" w:rsidP="00705C40">
      <w:pPr>
        <w:pStyle w:val="ListBullet"/>
      </w:pPr>
      <w:r w:rsidRPr="00404A58">
        <w:t xml:space="preserve">Overall response rate (ORR) </w:t>
      </w:r>
      <w:r w:rsidR="00B05276" w:rsidRPr="00404A58">
        <w:t xml:space="preserve">by IRC was 83.7% (95% </w:t>
      </w:r>
      <w:r w:rsidR="00953790" w:rsidRPr="00404A58">
        <w:t>confidence interval (</w:t>
      </w:r>
      <w:r w:rsidR="00B05276" w:rsidRPr="00404A58">
        <w:t>CI</w:t>
      </w:r>
      <w:r w:rsidR="00953790" w:rsidRPr="00404A58">
        <w:t>)</w:t>
      </w:r>
      <w:r w:rsidR="00B05276" w:rsidRPr="00404A58">
        <w:t>: 74.2%</w:t>
      </w:r>
      <w:r w:rsidR="00953790" w:rsidRPr="00404A58">
        <w:t>,</w:t>
      </w:r>
      <w:r w:rsidR="00B05276" w:rsidRPr="00404A58">
        <w:t xml:space="preserve"> 90.8%). CR was 68.6%</w:t>
      </w:r>
      <w:r w:rsidR="00953790" w:rsidRPr="00404A58">
        <w:t>;</w:t>
      </w:r>
      <w:r w:rsidR="00053A45" w:rsidRPr="00404A58">
        <w:rPr>
          <w:rStyle w:val="FootnoteReference"/>
        </w:rPr>
        <w:footnoteReference w:id="17"/>
      </w:r>
      <w:r w:rsidR="00B05276" w:rsidRPr="00404A58">
        <w:t xml:space="preserve"> and PR was 15.1%.</w:t>
      </w:r>
    </w:p>
    <w:p w14:paraId="6EC4E9C0" w14:textId="2F51D13E" w:rsidR="00B05276" w:rsidRPr="00404A58" w:rsidRDefault="00B05276" w:rsidP="00705C40">
      <w:pPr>
        <w:pStyle w:val="ListBullet"/>
      </w:pPr>
      <w:r w:rsidRPr="00404A58">
        <w:rPr>
          <w:i/>
          <w:iCs/>
        </w:rPr>
        <w:t>Post-hoc</w:t>
      </w:r>
      <w:r w:rsidRPr="00404A58">
        <w:t xml:space="preserve"> subgroup analyses of the ORR were generally consistent with the overall population.</w:t>
      </w:r>
    </w:p>
    <w:p w14:paraId="13485A8C" w14:textId="1C4D621A" w:rsidR="00B05276" w:rsidRPr="00404A58" w:rsidRDefault="00B05276" w:rsidP="00705C40">
      <w:pPr>
        <w:pStyle w:val="Heading7"/>
        <w:rPr>
          <w:sz w:val="22"/>
          <w:szCs w:val="28"/>
          <w:lang w:eastAsia="ja-JP"/>
        </w:rPr>
      </w:pPr>
      <w:r w:rsidRPr="00404A58">
        <w:rPr>
          <w:sz w:val="22"/>
          <w:szCs w:val="28"/>
          <w:lang w:eastAsia="ja-JP"/>
        </w:rPr>
        <w:t>Secondary endpoints</w:t>
      </w:r>
    </w:p>
    <w:p w14:paraId="59C660A2" w14:textId="74B6D79C" w:rsidR="00B05276" w:rsidRPr="00404A58" w:rsidRDefault="00B05276" w:rsidP="00705C40">
      <w:pPr>
        <w:pStyle w:val="ListBullet"/>
      </w:pPr>
      <w:r w:rsidRPr="00404A58">
        <w:t>Median DOR (IRC) for ORR (</w:t>
      </w:r>
      <w:r w:rsidR="00602EC2" w:rsidRPr="00404A58">
        <w:t>PR</w:t>
      </w:r>
      <w:r w:rsidRPr="00404A58">
        <w:t xml:space="preserve"> or </w:t>
      </w:r>
      <w:r w:rsidR="00602EC2" w:rsidRPr="00404A58">
        <w:t>CR</w:t>
      </w:r>
      <w:r w:rsidRPr="00404A58">
        <w:t>): 19.5 months.</w:t>
      </w:r>
    </w:p>
    <w:p w14:paraId="2A761466" w14:textId="36F70641" w:rsidR="00B05276" w:rsidRPr="00404A58" w:rsidRDefault="00B05276" w:rsidP="00705C40">
      <w:pPr>
        <w:pStyle w:val="ListBullet"/>
      </w:pPr>
      <w:r w:rsidRPr="00404A58">
        <w:t>Estimated event</w:t>
      </w:r>
      <w:r w:rsidR="00953790" w:rsidRPr="00404A58">
        <w:t xml:space="preserve"> </w:t>
      </w:r>
      <w:r w:rsidRPr="00404A58">
        <w:t>free rate for DOR: 78.3% at 12 months after start of response.</w:t>
      </w:r>
    </w:p>
    <w:p w14:paraId="0EF955F7" w14:textId="4CBA54D9" w:rsidR="00B05276" w:rsidRPr="00404A58" w:rsidRDefault="00B05276" w:rsidP="00705C40">
      <w:pPr>
        <w:pStyle w:val="ListBullet"/>
      </w:pPr>
      <w:r w:rsidRPr="00404A58">
        <w:t>Median PFS by IRC: 22.1 months. The estimated PFS event</w:t>
      </w:r>
      <w:r w:rsidR="00953790" w:rsidRPr="00404A58">
        <w:t xml:space="preserve"> </w:t>
      </w:r>
      <w:r w:rsidRPr="00404A58">
        <w:t>free rates (progression or death): 75.5% and 71.6% at 12 and 15 months, respectively.</w:t>
      </w:r>
    </w:p>
    <w:p w14:paraId="0E638E18" w14:textId="3B4449E9" w:rsidR="00B05276" w:rsidRPr="00404A58" w:rsidRDefault="00B05276" w:rsidP="00705C40">
      <w:pPr>
        <w:pStyle w:val="ListBullet"/>
      </w:pPr>
      <w:r w:rsidRPr="00404A58">
        <w:t xml:space="preserve">Median TTR (IRC) for OR was 2.73 months. The median time to </w:t>
      </w:r>
      <w:r w:rsidR="00602EC2" w:rsidRPr="00404A58">
        <w:t>CR</w:t>
      </w:r>
      <w:r w:rsidRPr="00404A58">
        <w:t xml:space="preserve"> was 2.89 months.</w:t>
      </w:r>
    </w:p>
    <w:p w14:paraId="1C4EEC63" w14:textId="3C1CDB28" w:rsidR="00B05276" w:rsidRPr="00404A58" w:rsidRDefault="00404A58" w:rsidP="00705C40">
      <w:pPr>
        <w:pStyle w:val="ListBullet"/>
      </w:pPr>
      <w:r w:rsidRPr="00404A58">
        <w:t>Overall response rate (</w:t>
      </w:r>
      <w:r w:rsidR="00B05276" w:rsidRPr="00404A58">
        <w:t>ORR</w:t>
      </w:r>
      <w:r w:rsidRPr="00404A58">
        <w:t>)</w:t>
      </w:r>
      <w:r w:rsidR="00B05276" w:rsidRPr="00404A58">
        <w:t xml:space="preserve"> (</w:t>
      </w:r>
      <w:r w:rsidR="00953790" w:rsidRPr="00404A58">
        <w:t>investigator</w:t>
      </w:r>
      <w:r w:rsidR="00B05276" w:rsidRPr="00404A58">
        <w:t>): 83.7% (95% CI 74.2% to 90.8%).</w:t>
      </w:r>
    </w:p>
    <w:p w14:paraId="1ACF5840" w14:textId="01D1A0F8" w:rsidR="00B05276" w:rsidRPr="00404A58" w:rsidRDefault="00B05276" w:rsidP="00705C40">
      <w:r w:rsidRPr="00404A58">
        <w:t xml:space="preserve">The results for the secondary endpoints by </w:t>
      </w:r>
      <w:r w:rsidR="00953790" w:rsidRPr="00404A58">
        <w:t>investigator</w:t>
      </w:r>
      <w:r w:rsidRPr="00404A58">
        <w:t xml:space="preserve"> were consistent with the IRC results.</w:t>
      </w:r>
    </w:p>
    <w:p w14:paraId="1F795144" w14:textId="645E9A2B" w:rsidR="00B05276" w:rsidRPr="00404A58" w:rsidRDefault="00B05276" w:rsidP="00705C40">
      <w:pPr>
        <w:pStyle w:val="Heading7"/>
        <w:rPr>
          <w:sz w:val="22"/>
          <w:szCs w:val="28"/>
        </w:rPr>
      </w:pPr>
      <w:r w:rsidRPr="00404A58">
        <w:rPr>
          <w:sz w:val="22"/>
          <w:szCs w:val="28"/>
        </w:rPr>
        <w:t>Exploratory</w:t>
      </w:r>
    </w:p>
    <w:p w14:paraId="0C2F5228" w14:textId="77777777" w:rsidR="00B05276" w:rsidRPr="00404A58" w:rsidRDefault="00B05276" w:rsidP="00705C40">
      <w:r w:rsidRPr="00404A58">
        <w:t>Median OS was not reached. OS at 9 months was 89.2%, and 12 and 15 months was 84.1% each.</w:t>
      </w:r>
    </w:p>
    <w:p w14:paraId="0E6F81B4" w14:textId="45073ED1" w:rsidR="00B05276" w:rsidRPr="00404A58" w:rsidRDefault="00B05276" w:rsidP="00705C40">
      <w:pPr>
        <w:pStyle w:val="Heading6"/>
      </w:pPr>
      <w:r w:rsidRPr="00404A58">
        <w:t xml:space="preserve">Updated </w:t>
      </w:r>
      <w:r w:rsidR="00953790" w:rsidRPr="00404A58">
        <w:t xml:space="preserve">efficacy data from </w:t>
      </w:r>
      <w:r w:rsidRPr="00404A58">
        <w:t xml:space="preserve">Study </w:t>
      </w:r>
      <w:bookmarkStart w:id="48" w:name="_Hlk105331409"/>
      <w:r w:rsidR="004A1542" w:rsidRPr="00404A58">
        <w:t>BGB-311</w:t>
      </w:r>
      <w:r w:rsidR="000B7A29">
        <w:t>1</w:t>
      </w:r>
      <w:r w:rsidR="004A1542" w:rsidRPr="00404A58">
        <w:t>-206</w:t>
      </w:r>
      <w:bookmarkEnd w:id="48"/>
      <w:r w:rsidR="004A1542" w:rsidRPr="00404A58">
        <w:t xml:space="preserve"> </w:t>
      </w:r>
      <w:r w:rsidRPr="00404A58">
        <w:t>as of February 2020</w:t>
      </w:r>
    </w:p>
    <w:p w14:paraId="66CFA091" w14:textId="4D7F768E" w:rsidR="00B05276" w:rsidRPr="00404A58" w:rsidRDefault="00B05276" w:rsidP="00705C40">
      <w:r w:rsidRPr="00404A58">
        <w:t>The sponsor has provided an update to the efficacy data with topline data from a September 2020 data cut. Tabulated results from the data cuts of 15 February 2019, 31</w:t>
      </w:r>
      <w:r w:rsidR="00953790" w:rsidRPr="00404A58">
        <w:t> </w:t>
      </w:r>
      <w:r w:rsidRPr="00404A58">
        <w:t xml:space="preserve">August 2019, 8 September 2020 are included </w:t>
      </w:r>
      <w:r w:rsidR="00953790" w:rsidRPr="00404A58">
        <w:t xml:space="preserve">in </w:t>
      </w:r>
      <w:r w:rsidR="00953790" w:rsidRPr="00404A58">
        <w:fldChar w:fldCharType="begin"/>
      </w:r>
      <w:r w:rsidR="00953790" w:rsidRPr="00404A58">
        <w:instrText xml:space="preserve"> REF _Ref105347078 \h </w:instrText>
      </w:r>
      <w:r w:rsidR="00F350BD" w:rsidRPr="00404A58">
        <w:instrText xml:space="preserve"> \* MERGEFORMAT </w:instrText>
      </w:r>
      <w:r w:rsidR="00953790" w:rsidRPr="00404A58">
        <w:fldChar w:fldCharType="separate"/>
      </w:r>
      <w:r w:rsidR="00271F2E" w:rsidRPr="00271F2E">
        <w:t xml:space="preserve">Table </w:t>
      </w:r>
      <w:r w:rsidR="00271F2E">
        <w:rPr>
          <w:noProof/>
        </w:rPr>
        <w:t>3</w:t>
      </w:r>
      <w:r w:rsidR="00953790" w:rsidRPr="00404A58">
        <w:fldChar w:fldCharType="end"/>
      </w:r>
      <w:r w:rsidR="00953790" w:rsidRPr="00404A58">
        <w:t xml:space="preserve"> </w:t>
      </w:r>
      <w:r w:rsidRPr="00404A58">
        <w:t>below.</w:t>
      </w:r>
    </w:p>
    <w:p w14:paraId="5A2FB54D" w14:textId="464E9312" w:rsidR="00953790" w:rsidRPr="00271F2E" w:rsidRDefault="00953790" w:rsidP="00BB2871">
      <w:pPr>
        <w:pStyle w:val="TableTitle"/>
        <w:pageBreakBefore/>
      </w:pPr>
      <w:bookmarkStart w:id="49" w:name="_Ref105347078"/>
      <w:r w:rsidRPr="00271F2E">
        <w:lastRenderedPageBreak/>
        <w:t xml:space="preserve">Table </w:t>
      </w:r>
      <w:fldSimple w:instr=" SEQ Table \* ARABIC ">
        <w:r w:rsidR="00271F2E">
          <w:rPr>
            <w:noProof/>
          </w:rPr>
          <w:t>3</w:t>
        </w:r>
      </w:fldSimple>
      <w:bookmarkEnd w:id="49"/>
      <w:r w:rsidRPr="00271F2E">
        <w:t xml:space="preserve">: </w:t>
      </w:r>
      <w:r w:rsidR="00035254" w:rsidRPr="00271F2E">
        <w:t>Study BGB-311</w:t>
      </w:r>
      <w:r w:rsidR="000B7A29" w:rsidRPr="00271F2E">
        <w:t>1</w:t>
      </w:r>
      <w:r w:rsidR="00035254" w:rsidRPr="00271F2E">
        <w:t>-206 Updated efficacy data as of February 2020</w:t>
      </w:r>
    </w:p>
    <w:tbl>
      <w:tblPr>
        <w:tblStyle w:val="TableTGAblue"/>
        <w:tblW w:w="8810" w:type="dxa"/>
        <w:tblLayout w:type="fixed"/>
        <w:tblLook w:val="04A0" w:firstRow="1" w:lastRow="0" w:firstColumn="1" w:lastColumn="0" w:noHBand="0" w:noVBand="1"/>
      </w:tblPr>
      <w:tblGrid>
        <w:gridCol w:w="2510"/>
        <w:gridCol w:w="2070"/>
        <w:gridCol w:w="2250"/>
        <w:gridCol w:w="1980"/>
      </w:tblGrid>
      <w:tr w:rsidR="00B05276" w:rsidRPr="00404A58" w14:paraId="33306C68" w14:textId="77777777" w:rsidTr="003929F6">
        <w:trPr>
          <w:cnfStyle w:val="100000000000" w:firstRow="1" w:lastRow="0" w:firstColumn="0" w:lastColumn="0" w:oddVBand="0" w:evenVBand="0" w:oddHBand="0" w:evenHBand="0" w:firstRowFirstColumn="0" w:firstRowLastColumn="0" w:lastRowFirstColumn="0" w:lastRowLastColumn="0"/>
          <w:trHeight w:val="937"/>
        </w:trPr>
        <w:tc>
          <w:tcPr>
            <w:tcW w:w="2510" w:type="dxa"/>
          </w:tcPr>
          <w:p w14:paraId="7F8A070C" w14:textId="77777777" w:rsidR="00B05276" w:rsidRPr="00404A58" w:rsidRDefault="00B05276" w:rsidP="00DD4CC6">
            <w:pPr>
              <w:pStyle w:val="Tabletext"/>
              <w:ind w:left="0" w:right="0"/>
              <w:rPr>
                <w:b w:val="0"/>
                <w:bCs/>
              </w:rPr>
            </w:pPr>
            <w:bookmarkStart w:id="50" w:name="_bookmark1"/>
            <w:bookmarkStart w:id="51" w:name="_bookmark0"/>
            <w:bookmarkEnd w:id="50"/>
            <w:bookmarkEnd w:id="51"/>
            <w:r w:rsidRPr="00404A58">
              <w:rPr>
                <w:bCs/>
              </w:rPr>
              <w:t>Response</w:t>
            </w:r>
            <w:r w:rsidRPr="00404A58">
              <w:rPr>
                <w:bCs/>
                <w:spacing w:val="-2"/>
              </w:rPr>
              <w:t xml:space="preserve"> </w:t>
            </w:r>
            <w:r w:rsidRPr="00404A58">
              <w:rPr>
                <w:bCs/>
              </w:rPr>
              <w:t>category</w:t>
            </w:r>
          </w:p>
        </w:tc>
        <w:tc>
          <w:tcPr>
            <w:tcW w:w="2070" w:type="dxa"/>
            <w:hideMark/>
          </w:tcPr>
          <w:p w14:paraId="6D3D4A5F" w14:textId="77777777" w:rsidR="00B05276" w:rsidRPr="00404A58" w:rsidRDefault="00B05276" w:rsidP="00DD4CC6">
            <w:pPr>
              <w:pStyle w:val="Tabletext"/>
              <w:ind w:left="0" w:right="0"/>
              <w:rPr>
                <w:b w:val="0"/>
                <w:bCs/>
              </w:rPr>
            </w:pPr>
            <w:r w:rsidRPr="00404A58">
              <w:rPr>
                <w:bCs/>
              </w:rPr>
              <w:t>BGB-3111-206</w:t>
            </w:r>
          </w:p>
          <w:p w14:paraId="635B17D2" w14:textId="30A62F99" w:rsidR="00B05276" w:rsidRPr="00404A58" w:rsidRDefault="00B05276" w:rsidP="00DD4CC6">
            <w:pPr>
              <w:pStyle w:val="Tabletext"/>
              <w:ind w:left="0" w:right="0"/>
              <w:rPr>
                <w:b w:val="0"/>
                <w:bCs/>
                <w:spacing w:val="-52"/>
              </w:rPr>
            </w:pPr>
            <w:r w:rsidRPr="00404A58">
              <w:rPr>
                <w:bCs/>
              </w:rPr>
              <w:t>(Investigator)</w:t>
            </w:r>
          </w:p>
          <w:p w14:paraId="38ADB020" w14:textId="77777777" w:rsidR="00B05276" w:rsidRPr="00404A58" w:rsidRDefault="00B05276" w:rsidP="00DD4CC6">
            <w:pPr>
              <w:pStyle w:val="Tabletext"/>
              <w:ind w:left="0" w:right="0"/>
              <w:rPr>
                <w:b w:val="0"/>
                <w:bCs/>
              </w:rPr>
            </w:pPr>
            <w:bookmarkStart w:id="52" w:name="_Hlk105352752"/>
            <w:r w:rsidRPr="00404A58">
              <w:rPr>
                <w:bCs/>
              </w:rPr>
              <w:t>n</w:t>
            </w:r>
            <w:bookmarkEnd w:id="52"/>
            <w:r w:rsidRPr="00404A58">
              <w:rPr>
                <w:bCs/>
              </w:rPr>
              <w:t xml:space="preserve"> =</w:t>
            </w:r>
            <w:r w:rsidRPr="00404A58">
              <w:rPr>
                <w:bCs/>
                <w:spacing w:val="-2"/>
              </w:rPr>
              <w:t xml:space="preserve"> </w:t>
            </w:r>
            <w:r w:rsidRPr="00404A58">
              <w:rPr>
                <w:bCs/>
              </w:rPr>
              <w:t>86</w:t>
            </w:r>
          </w:p>
        </w:tc>
        <w:tc>
          <w:tcPr>
            <w:tcW w:w="2250" w:type="dxa"/>
            <w:hideMark/>
          </w:tcPr>
          <w:p w14:paraId="7A4A977C" w14:textId="77777777" w:rsidR="00B05276" w:rsidRPr="00404A58" w:rsidRDefault="00B05276" w:rsidP="00DD4CC6">
            <w:pPr>
              <w:pStyle w:val="Tabletext"/>
              <w:ind w:left="0" w:right="0"/>
              <w:rPr>
                <w:b w:val="0"/>
                <w:bCs/>
              </w:rPr>
            </w:pPr>
            <w:r w:rsidRPr="00404A58">
              <w:rPr>
                <w:bCs/>
              </w:rPr>
              <w:t>BGB-3111-206</w:t>
            </w:r>
          </w:p>
          <w:p w14:paraId="1AA2646A" w14:textId="727CDDDD" w:rsidR="00B05276" w:rsidRPr="00404A58" w:rsidRDefault="00B05276" w:rsidP="00DD4CC6">
            <w:pPr>
              <w:pStyle w:val="Tabletext"/>
              <w:ind w:left="0" w:right="0"/>
              <w:rPr>
                <w:b w:val="0"/>
                <w:bCs/>
                <w:spacing w:val="-52"/>
              </w:rPr>
            </w:pPr>
            <w:r w:rsidRPr="00404A58">
              <w:rPr>
                <w:bCs/>
              </w:rPr>
              <w:t>(Investigator)</w:t>
            </w:r>
          </w:p>
          <w:p w14:paraId="62F2ED6E" w14:textId="77777777" w:rsidR="00B05276" w:rsidRPr="00404A58" w:rsidRDefault="00B05276" w:rsidP="00DD4CC6">
            <w:pPr>
              <w:pStyle w:val="Tabletext"/>
              <w:ind w:left="0" w:right="0"/>
              <w:rPr>
                <w:b w:val="0"/>
                <w:bCs/>
              </w:rPr>
            </w:pPr>
            <w:r w:rsidRPr="00404A58">
              <w:rPr>
                <w:bCs/>
              </w:rPr>
              <w:t>n =</w:t>
            </w:r>
            <w:r w:rsidRPr="00404A58">
              <w:rPr>
                <w:bCs/>
                <w:spacing w:val="-2"/>
              </w:rPr>
              <w:t xml:space="preserve"> </w:t>
            </w:r>
            <w:r w:rsidRPr="00404A58">
              <w:rPr>
                <w:bCs/>
              </w:rPr>
              <w:t>86</w:t>
            </w:r>
          </w:p>
        </w:tc>
        <w:tc>
          <w:tcPr>
            <w:tcW w:w="1980" w:type="dxa"/>
            <w:hideMark/>
          </w:tcPr>
          <w:p w14:paraId="1C8B7446" w14:textId="77777777" w:rsidR="00B05276" w:rsidRPr="00404A58" w:rsidRDefault="00B05276" w:rsidP="00DD4CC6">
            <w:pPr>
              <w:pStyle w:val="Tabletext"/>
              <w:ind w:left="0" w:right="0"/>
              <w:rPr>
                <w:b w:val="0"/>
                <w:bCs/>
              </w:rPr>
            </w:pPr>
            <w:r w:rsidRPr="00404A58">
              <w:rPr>
                <w:bCs/>
              </w:rPr>
              <w:t>BGB-3111-206</w:t>
            </w:r>
          </w:p>
          <w:p w14:paraId="2CF856B5" w14:textId="3B586CF5" w:rsidR="00B05276" w:rsidRPr="00404A58" w:rsidRDefault="00B05276" w:rsidP="00DD4CC6">
            <w:pPr>
              <w:pStyle w:val="Tabletext"/>
              <w:ind w:left="0" w:right="0"/>
              <w:rPr>
                <w:b w:val="0"/>
                <w:bCs/>
                <w:spacing w:val="-52"/>
              </w:rPr>
            </w:pPr>
            <w:r w:rsidRPr="00404A58">
              <w:rPr>
                <w:bCs/>
              </w:rPr>
              <w:t>(Investigator)</w:t>
            </w:r>
          </w:p>
          <w:p w14:paraId="4E2316D9" w14:textId="77777777" w:rsidR="00B05276" w:rsidRPr="00404A58" w:rsidRDefault="00B05276" w:rsidP="00DD4CC6">
            <w:pPr>
              <w:pStyle w:val="Tabletext"/>
              <w:ind w:left="0" w:right="0"/>
              <w:rPr>
                <w:b w:val="0"/>
                <w:bCs/>
              </w:rPr>
            </w:pPr>
            <w:r w:rsidRPr="00404A58">
              <w:rPr>
                <w:bCs/>
              </w:rPr>
              <w:t>n =</w:t>
            </w:r>
            <w:r w:rsidRPr="00404A58">
              <w:rPr>
                <w:bCs/>
                <w:spacing w:val="-2"/>
              </w:rPr>
              <w:t xml:space="preserve"> </w:t>
            </w:r>
            <w:r w:rsidRPr="00404A58">
              <w:rPr>
                <w:bCs/>
              </w:rPr>
              <w:t>86</w:t>
            </w:r>
          </w:p>
        </w:tc>
      </w:tr>
      <w:tr w:rsidR="00B05276" w:rsidRPr="00404A58" w14:paraId="16737093" w14:textId="77777777" w:rsidTr="003929F6">
        <w:trPr>
          <w:trHeight w:val="743"/>
        </w:trPr>
        <w:tc>
          <w:tcPr>
            <w:tcW w:w="2510" w:type="dxa"/>
          </w:tcPr>
          <w:p w14:paraId="314F28F6" w14:textId="77777777" w:rsidR="00B05276" w:rsidRPr="00404A58" w:rsidRDefault="00B05276" w:rsidP="00DD4CC6">
            <w:pPr>
              <w:pStyle w:val="Tabletext"/>
              <w:ind w:left="0" w:right="0"/>
              <w:rPr>
                <w:bCs/>
              </w:rPr>
            </w:pPr>
            <w:r w:rsidRPr="00404A58">
              <w:rPr>
                <w:bCs/>
              </w:rPr>
              <w:t>Data</w:t>
            </w:r>
            <w:r w:rsidRPr="00404A58">
              <w:rPr>
                <w:bCs/>
                <w:spacing w:val="-1"/>
              </w:rPr>
              <w:t xml:space="preserve"> </w:t>
            </w:r>
            <w:r w:rsidRPr="00404A58">
              <w:rPr>
                <w:bCs/>
              </w:rPr>
              <w:t>cut-off date</w:t>
            </w:r>
          </w:p>
        </w:tc>
        <w:tc>
          <w:tcPr>
            <w:tcW w:w="2070" w:type="dxa"/>
          </w:tcPr>
          <w:p w14:paraId="5B89D69C" w14:textId="683FF507" w:rsidR="00B05276" w:rsidRPr="00404A58" w:rsidRDefault="00B05276" w:rsidP="00DD4CC6">
            <w:pPr>
              <w:pStyle w:val="Tabletext"/>
              <w:ind w:left="0" w:right="0"/>
            </w:pPr>
            <w:r w:rsidRPr="00404A58">
              <w:t>15 Feb</w:t>
            </w:r>
            <w:r w:rsidR="00D72CC1">
              <w:t>ruary</w:t>
            </w:r>
            <w:r w:rsidRPr="00404A58">
              <w:rPr>
                <w:spacing w:val="-3"/>
              </w:rPr>
              <w:t xml:space="preserve"> </w:t>
            </w:r>
            <w:r w:rsidRPr="00404A58">
              <w:t>2019</w:t>
            </w:r>
          </w:p>
        </w:tc>
        <w:tc>
          <w:tcPr>
            <w:tcW w:w="2250" w:type="dxa"/>
          </w:tcPr>
          <w:p w14:paraId="2339757B" w14:textId="661D96D5" w:rsidR="00B05276" w:rsidRPr="00404A58" w:rsidRDefault="00B05276" w:rsidP="00DD4CC6">
            <w:pPr>
              <w:pStyle w:val="Tabletext"/>
              <w:ind w:left="0" w:right="0"/>
            </w:pPr>
            <w:r w:rsidRPr="00404A58">
              <w:t>31</w:t>
            </w:r>
            <w:r w:rsidRPr="00404A58">
              <w:rPr>
                <w:spacing w:val="-1"/>
              </w:rPr>
              <w:t xml:space="preserve"> </w:t>
            </w:r>
            <w:r w:rsidRPr="00404A58">
              <w:t>Aug</w:t>
            </w:r>
            <w:r w:rsidR="00D72CC1">
              <w:t>ust</w:t>
            </w:r>
            <w:r w:rsidRPr="00404A58">
              <w:rPr>
                <w:spacing w:val="1"/>
              </w:rPr>
              <w:t xml:space="preserve"> </w:t>
            </w:r>
            <w:r w:rsidRPr="00404A58">
              <w:t>2019</w:t>
            </w:r>
          </w:p>
        </w:tc>
        <w:tc>
          <w:tcPr>
            <w:tcW w:w="1980" w:type="dxa"/>
          </w:tcPr>
          <w:p w14:paraId="75A6AE23" w14:textId="6DB437BE" w:rsidR="00B05276" w:rsidRPr="00404A58" w:rsidRDefault="00B05276" w:rsidP="00DD4CC6">
            <w:pPr>
              <w:pStyle w:val="Tabletext"/>
              <w:ind w:left="0" w:right="0"/>
            </w:pPr>
            <w:r w:rsidRPr="00404A58">
              <w:t>8</w:t>
            </w:r>
            <w:r w:rsidRPr="00404A58">
              <w:rPr>
                <w:spacing w:val="-1"/>
              </w:rPr>
              <w:t xml:space="preserve"> </w:t>
            </w:r>
            <w:r w:rsidRPr="00404A58">
              <w:t>Sept</w:t>
            </w:r>
            <w:r w:rsidR="00D72CC1">
              <w:t>ember</w:t>
            </w:r>
            <w:r w:rsidRPr="00404A58">
              <w:rPr>
                <w:spacing w:val="1"/>
              </w:rPr>
              <w:t xml:space="preserve"> </w:t>
            </w:r>
            <w:r w:rsidRPr="00404A58">
              <w:t>2020</w:t>
            </w:r>
          </w:p>
        </w:tc>
      </w:tr>
      <w:tr w:rsidR="00B05276" w:rsidRPr="00404A58" w14:paraId="6484DC4C" w14:textId="77777777" w:rsidTr="003929F6">
        <w:trPr>
          <w:trHeight w:val="740"/>
        </w:trPr>
        <w:tc>
          <w:tcPr>
            <w:tcW w:w="2510" w:type="dxa"/>
            <w:hideMark/>
          </w:tcPr>
          <w:p w14:paraId="69459E46" w14:textId="5B2B8578" w:rsidR="00DD4CC6" w:rsidRPr="00404A58" w:rsidRDefault="00B05276" w:rsidP="00DD4CC6">
            <w:pPr>
              <w:pStyle w:val="Tabletext"/>
              <w:ind w:left="0" w:right="0"/>
            </w:pPr>
            <w:r w:rsidRPr="00404A58">
              <w:t>Median follow-up</w:t>
            </w:r>
            <w:r w:rsidR="00DD4CC6" w:rsidRPr="00404A58">
              <w:t xml:space="preserve"> </w:t>
            </w:r>
            <w:r w:rsidRPr="00404A58">
              <w:t>time</w:t>
            </w:r>
          </w:p>
          <w:p w14:paraId="65B2749E" w14:textId="0B201801" w:rsidR="00B05276" w:rsidRPr="00404A58" w:rsidRDefault="00B05276" w:rsidP="00DD4CC6">
            <w:pPr>
              <w:pStyle w:val="Tabletext"/>
              <w:ind w:left="0" w:right="0"/>
            </w:pPr>
            <w:r w:rsidRPr="00404A58">
              <w:t>I</w:t>
            </w:r>
            <w:r w:rsidR="00DD4CC6" w:rsidRPr="00404A58">
              <w:t xml:space="preserve"> </w:t>
            </w:r>
            <w:r w:rsidRPr="00404A58">
              <w:t>(range)</w:t>
            </w:r>
          </w:p>
        </w:tc>
        <w:tc>
          <w:tcPr>
            <w:tcW w:w="2070" w:type="dxa"/>
            <w:hideMark/>
          </w:tcPr>
          <w:p w14:paraId="0A30BA9A" w14:textId="166FEC60" w:rsidR="00B05276" w:rsidRPr="00404A58" w:rsidRDefault="00B05276" w:rsidP="00DD4CC6">
            <w:pPr>
              <w:pStyle w:val="Tabletext"/>
              <w:ind w:left="0" w:right="0"/>
            </w:pPr>
            <w:r w:rsidRPr="00404A58">
              <w:t>18.43 (0.3</w:t>
            </w:r>
            <w:r w:rsidR="00D72CC1">
              <w:t xml:space="preserve">, </w:t>
            </w:r>
            <w:r w:rsidRPr="00404A58">
              <w:t>23.5)</w:t>
            </w:r>
          </w:p>
          <w:p w14:paraId="0A735A53" w14:textId="77777777" w:rsidR="00B05276" w:rsidRPr="00404A58" w:rsidRDefault="00B05276" w:rsidP="00DD4CC6">
            <w:pPr>
              <w:pStyle w:val="Tabletext"/>
              <w:ind w:left="0" w:right="0"/>
            </w:pPr>
            <w:r w:rsidRPr="00404A58">
              <w:t>months</w:t>
            </w:r>
          </w:p>
        </w:tc>
        <w:tc>
          <w:tcPr>
            <w:tcW w:w="2250" w:type="dxa"/>
            <w:hideMark/>
          </w:tcPr>
          <w:p w14:paraId="065CD45C" w14:textId="7A2D04DF" w:rsidR="00B05276" w:rsidRPr="00404A58" w:rsidRDefault="00B05276" w:rsidP="00DD4CC6">
            <w:pPr>
              <w:pStyle w:val="Tabletext"/>
              <w:ind w:left="0" w:right="0"/>
            </w:pPr>
            <w:r w:rsidRPr="00404A58">
              <w:t>24.84 (0.3</w:t>
            </w:r>
            <w:r w:rsidR="00D72CC1">
              <w:rPr>
                <w:spacing w:val="-5"/>
              </w:rPr>
              <w:t xml:space="preserve">, </w:t>
            </w:r>
            <w:r w:rsidRPr="00404A58">
              <w:t>30.0)</w:t>
            </w:r>
          </w:p>
          <w:p w14:paraId="324B755C" w14:textId="77777777" w:rsidR="00B05276" w:rsidRPr="00404A58" w:rsidRDefault="00B05276" w:rsidP="00DD4CC6">
            <w:pPr>
              <w:pStyle w:val="Tabletext"/>
              <w:ind w:left="0" w:right="0"/>
            </w:pPr>
            <w:r w:rsidRPr="00404A58">
              <w:t>months</w:t>
            </w:r>
          </w:p>
        </w:tc>
        <w:tc>
          <w:tcPr>
            <w:tcW w:w="1980" w:type="dxa"/>
            <w:hideMark/>
          </w:tcPr>
          <w:p w14:paraId="13E21D25" w14:textId="037BDE2A" w:rsidR="00B05276" w:rsidRPr="00404A58" w:rsidRDefault="00B05276" w:rsidP="00DD4CC6">
            <w:pPr>
              <w:pStyle w:val="Tabletext"/>
              <w:ind w:left="0" w:right="0"/>
            </w:pPr>
            <w:r w:rsidRPr="00404A58">
              <w:t>35.2 (0.3</w:t>
            </w:r>
            <w:r w:rsidR="00D72CC1">
              <w:t xml:space="preserve">, </w:t>
            </w:r>
            <w:r w:rsidRPr="00404A58">
              <w:t>41.6) months</w:t>
            </w:r>
          </w:p>
        </w:tc>
      </w:tr>
      <w:tr w:rsidR="00B05276" w:rsidRPr="00404A58" w14:paraId="0D89BBD0" w14:textId="77777777" w:rsidTr="003929F6">
        <w:trPr>
          <w:trHeight w:val="940"/>
        </w:trPr>
        <w:tc>
          <w:tcPr>
            <w:tcW w:w="2510" w:type="dxa"/>
            <w:hideMark/>
          </w:tcPr>
          <w:p w14:paraId="33D385A6" w14:textId="4206B4D8" w:rsidR="00B05276" w:rsidRPr="00404A58" w:rsidRDefault="00B05276" w:rsidP="00DD4CC6">
            <w:pPr>
              <w:pStyle w:val="Tabletext"/>
              <w:ind w:left="0" w:right="0"/>
              <w:rPr>
                <w:bCs/>
              </w:rPr>
            </w:pPr>
            <w:bookmarkStart w:id="53" w:name="_Hlk105352766"/>
            <w:r w:rsidRPr="00404A58">
              <w:rPr>
                <w:bCs/>
              </w:rPr>
              <w:t>ORR</w:t>
            </w:r>
            <w:r w:rsidR="00DD4CC6" w:rsidRPr="00404A58">
              <w:rPr>
                <w:bCs/>
              </w:rPr>
              <w:t xml:space="preserve"> </w:t>
            </w:r>
            <w:r w:rsidRPr="00404A58">
              <w:rPr>
                <w:bCs/>
              </w:rPr>
              <w:t>(CR</w:t>
            </w:r>
            <w:r w:rsidRPr="00404A58">
              <w:rPr>
                <w:bCs/>
                <w:spacing w:val="-1"/>
              </w:rPr>
              <w:t xml:space="preserve"> </w:t>
            </w:r>
            <w:r w:rsidRPr="00404A58">
              <w:rPr>
                <w:bCs/>
              </w:rPr>
              <w:t>+</w:t>
            </w:r>
            <w:r w:rsidRPr="00404A58">
              <w:rPr>
                <w:bCs/>
                <w:spacing w:val="-1"/>
              </w:rPr>
              <w:t xml:space="preserve"> </w:t>
            </w:r>
            <w:r w:rsidRPr="00404A58">
              <w:rPr>
                <w:bCs/>
              </w:rPr>
              <w:t>PR</w:t>
            </w:r>
            <w:bookmarkEnd w:id="53"/>
            <w:r w:rsidRPr="00404A58">
              <w:rPr>
                <w:bCs/>
              </w:rPr>
              <w:t>),</w:t>
            </w:r>
            <w:r w:rsidR="00D72CC1">
              <w:rPr>
                <w:bCs/>
              </w:rPr>
              <w:t xml:space="preserve"> </w:t>
            </w:r>
            <w:r w:rsidRPr="00404A58">
              <w:rPr>
                <w:bCs/>
              </w:rPr>
              <w:t>n</w:t>
            </w:r>
            <w:r w:rsidRPr="00404A58">
              <w:rPr>
                <w:bCs/>
                <w:spacing w:val="-1"/>
              </w:rPr>
              <w:t xml:space="preserve"> </w:t>
            </w:r>
            <w:r w:rsidRPr="00404A58">
              <w:rPr>
                <w:bCs/>
              </w:rPr>
              <w:t xml:space="preserve">(%) </w:t>
            </w:r>
            <w:r w:rsidR="00DD4CC6" w:rsidRPr="00404A58">
              <w:rPr>
                <w:bCs/>
              </w:rPr>
              <w:t>(</w:t>
            </w:r>
            <w:r w:rsidRPr="00404A58">
              <w:rPr>
                <w:bCs/>
              </w:rPr>
              <w:t>95%CI</w:t>
            </w:r>
            <w:r w:rsidR="00DD4CC6" w:rsidRPr="00404A58">
              <w:rPr>
                <w:bCs/>
              </w:rPr>
              <w:t>)</w:t>
            </w:r>
          </w:p>
        </w:tc>
        <w:tc>
          <w:tcPr>
            <w:tcW w:w="2070" w:type="dxa"/>
            <w:hideMark/>
          </w:tcPr>
          <w:p w14:paraId="54BAF257" w14:textId="77777777" w:rsidR="00B05276" w:rsidRPr="00404A58" w:rsidRDefault="00B05276" w:rsidP="00DD4CC6">
            <w:pPr>
              <w:pStyle w:val="Tabletext"/>
              <w:ind w:left="0" w:right="0"/>
            </w:pPr>
            <w:r w:rsidRPr="00404A58">
              <w:t>72</w:t>
            </w:r>
            <w:r w:rsidRPr="00404A58">
              <w:rPr>
                <w:spacing w:val="-1"/>
              </w:rPr>
              <w:t xml:space="preserve"> </w:t>
            </w:r>
            <w:r w:rsidRPr="00404A58">
              <w:t>(83.7)</w:t>
            </w:r>
          </w:p>
          <w:p w14:paraId="22EFE6EC" w14:textId="43DB73D0" w:rsidR="00B05276" w:rsidRPr="00404A58" w:rsidRDefault="00DD4CC6" w:rsidP="00DD4CC6">
            <w:pPr>
              <w:pStyle w:val="Tabletext"/>
              <w:ind w:left="0" w:right="0"/>
            </w:pPr>
            <w:r w:rsidRPr="00404A58">
              <w:t>(</w:t>
            </w:r>
            <w:r w:rsidR="00B05276" w:rsidRPr="00404A58">
              <w:t>74.2, 90.8</w:t>
            </w:r>
            <w:r w:rsidRPr="00404A58">
              <w:t>)</w:t>
            </w:r>
          </w:p>
        </w:tc>
        <w:tc>
          <w:tcPr>
            <w:tcW w:w="2250" w:type="dxa"/>
            <w:hideMark/>
          </w:tcPr>
          <w:p w14:paraId="687AB41D" w14:textId="77777777" w:rsidR="00B05276" w:rsidRPr="00404A58" w:rsidRDefault="00B05276" w:rsidP="00DD4CC6">
            <w:pPr>
              <w:pStyle w:val="Tabletext"/>
              <w:ind w:left="0" w:right="0"/>
            </w:pPr>
            <w:r w:rsidRPr="00404A58">
              <w:t>72</w:t>
            </w:r>
            <w:r w:rsidRPr="00404A58">
              <w:rPr>
                <w:spacing w:val="-1"/>
              </w:rPr>
              <w:t xml:space="preserve"> </w:t>
            </w:r>
            <w:r w:rsidRPr="00404A58">
              <w:t>(83.7)</w:t>
            </w:r>
          </w:p>
          <w:p w14:paraId="465CA835" w14:textId="1B87F788" w:rsidR="00B05276" w:rsidRPr="00404A58" w:rsidRDefault="00DD4CC6" w:rsidP="00DD4CC6">
            <w:pPr>
              <w:pStyle w:val="Tabletext"/>
              <w:ind w:left="0" w:right="0"/>
            </w:pPr>
            <w:r w:rsidRPr="00404A58">
              <w:t>(</w:t>
            </w:r>
            <w:r w:rsidR="00B05276" w:rsidRPr="00404A58">
              <w:t>74.2, 90.8</w:t>
            </w:r>
            <w:r w:rsidRPr="00404A58">
              <w:t>)</w:t>
            </w:r>
          </w:p>
        </w:tc>
        <w:tc>
          <w:tcPr>
            <w:tcW w:w="1980" w:type="dxa"/>
            <w:hideMark/>
          </w:tcPr>
          <w:p w14:paraId="6BADD3C4" w14:textId="77777777" w:rsidR="00B05276" w:rsidRPr="00404A58" w:rsidRDefault="00B05276" w:rsidP="00DD4CC6">
            <w:pPr>
              <w:pStyle w:val="Tabletext"/>
              <w:ind w:left="0" w:right="0"/>
            </w:pPr>
            <w:r w:rsidRPr="00404A58">
              <w:t>72</w:t>
            </w:r>
            <w:r w:rsidRPr="00404A58">
              <w:rPr>
                <w:spacing w:val="-1"/>
              </w:rPr>
              <w:t xml:space="preserve"> </w:t>
            </w:r>
            <w:r w:rsidRPr="00404A58">
              <w:t>(83.7)</w:t>
            </w:r>
          </w:p>
          <w:p w14:paraId="06A1F03B" w14:textId="29662A55" w:rsidR="00B05276" w:rsidRPr="00404A58" w:rsidRDefault="00DD4CC6" w:rsidP="00DD4CC6">
            <w:pPr>
              <w:pStyle w:val="Tabletext"/>
              <w:ind w:left="0" w:right="0"/>
            </w:pPr>
            <w:r w:rsidRPr="00404A58">
              <w:t>(</w:t>
            </w:r>
            <w:r w:rsidR="00B05276" w:rsidRPr="00404A58">
              <w:t>74.2, 90.8</w:t>
            </w:r>
            <w:r w:rsidRPr="00404A58">
              <w:t>)</w:t>
            </w:r>
          </w:p>
        </w:tc>
      </w:tr>
      <w:tr w:rsidR="00B05276" w:rsidRPr="00404A58" w14:paraId="1190A77C" w14:textId="77777777" w:rsidTr="003929F6">
        <w:trPr>
          <w:trHeight w:val="371"/>
        </w:trPr>
        <w:tc>
          <w:tcPr>
            <w:tcW w:w="2510" w:type="dxa"/>
            <w:hideMark/>
          </w:tcPr>
          <w:p w14:paraId="77F6CCC3" w14:textId="77777777" w:rsidR="00B05276" w:rsidRPr="00404A58" w:rsidRDefault="00B05276" w:rsidP="00DD4CC6">
            <w:pPr>
              <w:pStyle w:val="Tabletext"/>
              <w:ind w:left="0" w:right="0"/>
              <w:rPr>
                <w:bCs/>
              </w:rPr>
            </w:pPr>
            <w:r w:rsidRPr="00404A58">
              <w:rPr>
                <w:bCs/>
              </w:rPr>
              <w:t>Complete</w:t>
            </w:r>
            <w:r w:rsidRPr="00404A58">
              <w:rPr>
                <w:bCs/>
                <w:spacing w:val="-3"/>
              </w:rPr>
              <w:t xml:space="preserve"> </w:t>
            </w:r>
            <w:r w:rsidRPr="00404A58">
              <w:rPr>
                <w:bCs/>
              </w:rPr>
              <w:t>response</w:t>
            </w:r>
          </w:p>
        </w:tc>
        <w:tc>
          <w:tcPr>
            <w:tcW w:w="2070" w:type="dxa"/>
            <w:hideMark/>
          </w:tcPr>
          <w:p w14:paraId="521A4981" w14:textId="77777777" w:rsidR="00B05276" w:rsidRPr="00404A58" w:rsidRDefault="00B05276" w:rsidP="00DD4CC6">
            <w:pPr>
              <w:pStyle w:val="Tabletext"/>
              <w:ind w:left="0" w:right="0"/>
            </w:pPr>
            <w:r w:rsidRPr="00404A58">
              <w:t>67</w:t>
            </w:r>
            <w:r w:rsidRPr="00404A58">
              <w:rPr>
                <w:spacing w:val="-1"/>
              </w:rPr>
              <w:t xml:space="preserve"> </w:t>
            </w:r>
            <w:r w:rsidRPr="00404A58">
              <w:t>(77.9)</w:t>
            </w:r>
          </w:p>
        </w:tc>
        <w:tc>
          <w:tcPr>
            <w:tcW w:w="2250" w:type="dxa"/>
            <w:hideMark/>
          </w:tcPr>
          <w:p w14:paraId="5582ACA8" w14:textId="77777777" w:rsidR="00B05276" w:rsidRPr="00404A58" w:rsidRDefault="00B05276" w:rsidP="00DD4CC6">
            <w:pPr>
              <w:pStyle w:val="Tabletext"/>
              <w:ind w:left="0" w:right="0"/>
            </w:pPr>
            <w:r w:rsidRPr="00404A58">
              <w:t>67</w:t>
            </w:r>
            <w:r w:rsidRPr="00404A58">
              <w:rPr>
                <w:spacing w:val="-1"/>
              </w:rPr>
              <w:t xml:space="preserve"> </w:t>
            </w:r>
            <w:r w:rsidRPr="00404A58">
              <w:t>(77.9)</w:t>
            </w:r>
          </w:p>
        </w:tc>
        <w:tc>
          <w:tcPr>
            <w:tcW w:w="1980" w:type="dxa"/>
            <w:hideMark/>
          </w:tcPr>
          <w:p w14:paraId="11269E39" w14:textId="77777777" w:rsidR="00B05276" w:rsidRPr="00404A58" w:rsidRDefault="00B05276" w:rsidP="00DD4CC6">
            <w:pPr>
              <w:pStyle w:val="Tabletext"/>
              <w:ind w:left="0" w:right="0"/>
            </w:pPr>
            <w:r w:rsidRPr="00404A58">
              <w:t>67</w:t>
            </w:r>
            <w:r w:rsidRPr="00404A58">
              <w:rPr>
                <w:spacing w:val="-1"/>
              </w:rPr>
              <w:t xml:space="preserve"> </w:t>
            </w:r>
            <w:r w:rsidRPr="00404A58">
              <w:t>(77.9)</w:t>
            </w:r>
          </w:p>
        </w:tc>
      </w:tr>
      <w:tr w:rsidR="00B05276" w:rsidRPr="00404A58" w14:paraId="3FA2624A" w14:textId="77777777" w:rsidTr="003929F6">
        <w:trPr>
          <w:trHeight w:val="373"/>
        </w:trPr>
        <w:tc>
          <w:tcPr>
            <w:tcW w:w="2510" w:type="dxa"/>
            <w:hideMark/>
          </w:tcPr>
          <w:p w14:paraId="7575EB0E" w14:textId="77777777" w:rsidR="00B05276" w:rsidRPr="00404A58" w:rsidRDefault="00B05276" w:rsidP="00DD4CC6">
            <w:pPr>
              <w:pStyle w:val="Tabletext"/>
              <w:ind w:left="0" w:right="0"/>
              <w:rPr>
                <w:bCs/>
              </w:rPr>
            </w:pPr>
            <w:r w:rsidRPr="00404A58">
              <w:rPr>
                <w:bCs/>
              </w:rPr>
              <w:t>Partial</w:t>
            </w:r>
            <w:r w:rsidRPr="00404A58">
              <w:rPr>
                <w:bCs/>
                <w:spacing w:val="-3"/>
              </w:rPr>
              <w:t xml:space="preserve"> </w:t>
            </w:r>
            <w:r w:rsidRPr="00404A58">
              <w:rPr>
                <w:bCs/>
              </w:rPr>
              <w:t>response</w:t>
            </w:r>
          </w:p>
        </w:tc>
        <w:tc>
          <w:tcPr>
            <w:tcW w:w="2070" w:type="dxa"/>
            <w:hideMark/>
          </w:tcPr>
          <w:p w14:paraId="47C75BF7" w14:textId="77777777" w:rsidR="00B05276" w:rsidRPr="00404A58" w:rsidRDefault="00B05276" w:rsidP="00DD4CC6">
            <w:pPr>
              <w:pStyle w:val="Tabletext"/>
              <w:ind w:left="0" w:right="0"/>
            </w:pPr>
            <w:r w:rsidRPr="00404A58">
              <w:t>5</w:t>
            </w:r>
            <w:r w:rsidRPr="00404A58">
              <w:rPr>
                <w:spacing w:val="-1"/>
              </w:rPr>
              <w:t xml:space="preserve"> </w:t>
            </w:r>
            <w:r w:rsidRPr="00404A58">
              <w:t>(5.8)</w:t>
            </w:r>
          </w:p>
        </w:tc>
        <w:tc>
          <w:tcPr>
            <w:tcW w:w="2250" w:type="dxa"/>
            <w:hideMark/>
          </w:tcPr>
          <w:p w14:paraId="461FF184" w14:textId="77777777" w:rsidR="00B05276" w:rsidRPr="00404A58" w:rsidRDefault="00B05276" w:rsidP="00DD4CC6">
            <w:pPr>
              <w:pStyle w:val="Tabletext"/>
              <w:ind w:left="0" w:right="0"/>
            </w:pPr>
            <w:r w:rsidRPr="00404A58">
              <w:t>5</w:t>
            </w:r>
            <w:r w:rsidRPr="00404A58">
              <w:rPr>
                <w:spacing w:val="-1"/>
              </w:rPr>
              <w:t xml:space="preserve"> </w:t>
            </w:r>
            <w:r w:rsidRPr="00404A58">
              <w:t>(5.8)</w:t>
            </w:r>
          </w:p>
        </w:tc>
        <w:tc>
          <w:tcPr>
            <w:tcW w:w="1980" w:type="dxa"/>
            <w:hideMark/>
          </w:tcPr>
          <w:p w14:paraId="5281262D" w14:textId="77777777" w:rsidR="00B05276" w:rsidRPr="00404A58" w:rsidRDefault="00B05276" w:rsidP="00DD4CC6">
            <w:pPr>
              <w:pStyle w:val="Tabletext"/>
              <w:ind w:left="0" w:right="0"/>
            </w:pPr>
            <w:r w:rsidRPr="00404A58">
              <w:t>5</w:t>
            </w:r>
            <w:r w:rsidRPr="00404A58">
              <w:rPr>
                <w:spacing w:val="-1"/>
              </w:rPr>
              <w:t xml:space="preserve"> </w:t>
            </w:r>
            <w:r w:rsidRPr="00404A58">
              <w:t>(5.8)</w:t>
            </w:r>
          </w:p>
        </w:tc>
      </w:tr>
      <w:tr w:rsidR="00B05276" w:rsidRPr="00404A58" w14:paraId="799A384E" w14:textId="77777777" w:rsidTr="003929F6">
        <w:trPr>
          <w:trHeight w:val="373"/>
        </w:trPr>
        <w:tc>
          <w:tcPr>
            <w:tcW w:w="2510" w:type="dxa"/>
            <w:hideMark/>
          </w:tcPr>
          <w:p w14:paraId="53A197D5" w14:textId="77777777" w:rsidR="00B05276" w:rsidRPr="00404A58" w:rsidRDefault="00B05276" w:rsidP="00DD4CC6">
            <w:pPr>
              <w:pStyle w:val="Tabletext"/>
              <w:ind w:left="0" w:right="0"/>
              <w:rPr>
                <w:bCs/>
              </w:rPr>
            </w:pPr>
            <w:r w:rsidRPr="00404A58">
              <w:rPr>
                <w:bCs/>
              </w:rPr>
              <w:t>Stable</w:t>
            </w:r>
            <w:r w:rsidRPr="00404A58">
              <w:rPr>
                <w:bCs/>
                <w:spacing w:val="-1"/>
              </w:rPr>
              <w:t xml:space="preserve"> </w:t>
            </w:r>
            <w:r w:rsidRPr="00404A58">
              <w:rPr>
                <w:bCs/>
              </w:rPr>
              <w:t>disease</w:t>
            </w:r>
          </w:p>
        </w:tc>
        <w:tc>
          <w:tcPr>
            <w:tcW w:w="2070" w:type="dxa"/>
            <w:hideMark/>
          </w:tcPr>
          <w:p w14:paraId="794AB63E" w14:textId="77777777" w:rsidR="00B05276" w:rsidRPr="00404A58" w:rsidRDefault="00B05276" w:rsidP="00DD4CC6">
            <w:pPr>
              <w:pStyle w:val="Tabletext"/>
              <w:ind w:left="0" w:right="0"/>
            </w:pPr>
            <w:r w:rsidRPr="00404A58">
              <w:t>1</w:t>
            </w:r>
            <w:r w:rsidRPr="00404A58">
              <w:rPr>
                <w:spacing w:val="-1"/>
              </w:rPr>
              <w:t xml:space="preserve"> </w:t>
            </w:r>
            <w:r w:rsidRPr="00404A58">
              <w:t>(1.2)</w:t>
            </w:r>
          </w:p>
        </w:tc>
        <w:tc>
          <w:tcPr>
            <w:tcW w:w="2250" w:type="dxa"/>
            <w:hideMark/>
          </w:tcPr>
          <w:p w14:paraId="423E6FFE" w14:textId="77777777" w:rsidR="00B05276" w:rsidRPr="00404A58" w:rsidRDefault="00B05276" w:rsidP="00DD4CC6">
            <w:pPr>
              <w:pStyle w:val="Tabletext"/>
              <w:ind w:left="0" w:right="0"/>
            </w:pPr>
            <w:r w:rsidRPr="00404A58">
              <w:t>1</w:t>
            </w:r>
            <w:r w:rsidRPr="00404A58">
              <w:rPr>
                <w:spacing w:val="-1"/>
              </w:rPr>
              <w:t xml:space="preserve"> </w:t>
            </w:r>
            <w:r w:rsidRPr="00404A58">
              <w:t>(1.2)</w:t>
            </w:r>
          </w:p>
        </w:tc>
        <w:tc>
          <w:tcPr>
            <w:tcW w:w="1980" w:type="dxa"/>
            <w:hideMark/>
          </w:tcPr>
          <w:p w14:paraId="705B4CB2" w14:textId="77777777" w:rsidR="00B05276" w:rsidRPr="00404A58" w:rsidRDefault="00B05276" w:rsidP="00DD4CC6">
            <w:pPr>
              <w:pStyle w:val="Tabletext"/>
              <w:ind w:left="0" w:right="0"/>
            </w:pPr>
            <w:r w:rsidRPr="00404A58">
              <w:t>1</w:t>
            </w:r>
            <w:r w:rsidRPr="00404A58">
              <w:rPr>
                <w:spacing w:val="-1"/>
              </w:rPr>
              <w:t xml:space="preserve"> </w:t>
            </w:r>
            <w:r w:rsidRPr="00404A58">
              <w:t>(1.2)</w:t>
            </w:r>
          </w:p>
        </w:tc>
      </w:tr>
      <w:tr w:rsidR="00B05276" w:rsidRPr="00404A58" w14:paraId="33DEAF26" w14:textId="77777777" w:rsidTr="003929F6">
        <w:trPr>
          <w:trHeight w:val="372"/>
        </w:trPr>
        <w:tc>
          <w:tcPr>
            <w:tcW w:w="2510" w:type="dxa"/>
            <w:hideMark/>
          </w:tcPr>
          <w:p w14:paraId="2C6EFB0D" w14:textId="77777777" w:rsidR="00B05276" w:rsidRPr="00404A58" w:rsidRDefault="00B05276" w:rsidP="00DD4CC6">
            <w:pPr>
              <w:pStyle w:val="Tabletext"/>
              <w:ind w:left="0" w:right="0"/>
              <w:rPr>
                <w:bCs/>
              </w:rPr>
            </w:pPr>
            <w:r w:rsidRPr="00404A58">
              <w:rPr>
                <w:bCs/>
              </w:rPr>
              <w:t>Progressive</w:t>
            </w:r>
            <w:r w:rsidRPr="00404A58">
              <w:rPr>
                <w:bCs/>
                <w:spacing w:val="-1"/>
              </w:rPr>
              <w:t xml:space="preserve"> </w:t>
            </w:r>
            <w:r w:rsidRPr="00404A58">
              <w:rPr>
                <w:bCs/>
              </w:rPr>
              <w:t>disease</w:t>
            </w:r>
          </w:p>
        </w:tc>
        <w:tc>
          <w:tcPr>
            <w:tcW w:w="2070" w:type="dxa"/>
            <w:hideMark/>
          </w:tcPr>
          <w:p w14:paraId="38A1FF29" w14:textId="77777777" w:rsidR="00B05276" w:rsidRPr="00404A58" w:rsidRDefault="00B05276" w:rsidP="00DD4CC6">
            <w:pPr>
              <w:pStyle w:val="Tabletext"/>
              <w:ind w:left="0" w:right="0"/>
            </w:pPr>
            <w:r w:rsidRPr="00404A58">
              <w:t>8</w:t>
            </w:r>
            <w:r w:rsidRPr="00404A58">
              <w:rPr>
                <w:spacing w:val="-1"/>
              </w:rPr>
              <w:t xml:space="preserve"> </w:t>
            </w:r>
            <w:r w:rsidRPr="00404A58">
              <w:t>(9.3)</w:t>
            </w:r>
          </w:p>
        </w:tc>
        <w:tc>
          <w:tcPr>
            <w:tcW w:w="2250" w:type="dxa"/>
            <w:hideMark/>
          </w:tcPr>
          <w:p w14:paraId="39C68EC7" w14:textId="77777777" w:rsidR="00B05276" w:rsidRPr="00404A58" w:rsidRDefault="00B05276" w:rsidP="00DD4CC6">
            <w:pPr>
              <w:pStyle w:val="Tabletext"/>
              <w:ind w:left="0" w:right="0"/>
            </w:pPr>
            <w:r w:rsidRPr="00404A58">
              <w:t>8</w:t>
            </w:r>
            <w:r w:rsidRPr="00404A58">
              <w:rPr>
                <w:spacing w:val="-1"/>
              </w:rPr>
              <w:t xml:space="preserve"> </w:t>
            </w:r>
            <w:r w:rsidRPr="00404A58">
              <w:t>(9.3)</w:t>
            </w:r>
          </w:p>
        </w:tc>
        <w:tc>
          <w:tcPr>
            <w:tcW w:w="1980" w:type="dxa"/>
            <w:hideMark/>
          </w:tcPr>
          <w:p w14:paraId="11603BB1" w14:textId="77777777" w:rsidR="00B05276" w:rsidRPr="00404A58" w:rsidRDefault="00B05276" w:rsidP="00DD4CC6">
            <w:pPr>
              <w:pStyle w:val="Tabletext"/>
              <w:ind w:left="0" w:right="0"/>
            </w:pPr>
            <w:r w:rsidRPr="00404A58">
              <w:t>8</w:t>
            </w:r>
            <w:r w:rsidRPr="00404A58">
              <w:rPr>
                <w:spacing w:val="-1"/>
              </w:rPr>
              <w:t xml:space="preserve"> </w:t>
            </w:r>
            <w:r w:rsidRPr="00404A58">
              <w:t>(9.3)</w:t>
            </w:r>
          </w:p>
        </w:tc>
      </w:tr>
      <w:tr w:rsidR="00B05276" w:rsidRPr="00404A58" w14:paraId="3EA2D5D9" w14:textId="77777777" w:rsidTr="003929F6">
        <w:trPr>
          <w:trHeight w:val="880"/>
        </w:trPr>
        <w:tc>
          <w:tcPr>
            <w:tcW w:w="2510" w:type="dxa"/>
            <w:hideMark/>
          </w:tcPr>
          <w:p w14:paraId="00F200FA" w14:textId="77777777" w:rsidR="00B05276" w:rsidRPr="00404A58" w:rsidRDefault="00B05276" w:rsidP="00DD4CC6">
            <w:pPr>
              <w:pStyle w:val="Tabletext"/>
              <w:ind w:left="0" w:right="0"/>
              <w:rPr>
                <w:bCs/>
              </w:rPr>
            </w:pPr>
            <w:r w:rsidRPr="00404A58">
              <w:rPr>
                <w:bCs/>
              </w:rPr>
              <w:t>Discontinued prior</w:t>
            </w:r>
            <w:r w:rsidRPr="00404A58">
              <w:rPr>
                <w:bCs/>
                <w:spacing w:val="-52"/>
              </w:rPr>
              <w:t xml:space="preserve"> </w:t>
            </w:r>
            <w:r w:rsidRPr="00404A58">
              <w:rPr>
                <w:bCs/>
              </w:rPr>
              <w:t>to first response</w:t>
            </w:r>
            <w:r w:rsidRPr="00404A58">
              <w:rPr>
                <w:bCs/>
                <w:spacing w:val="1"/>
              </w:rPr>
              <w:t xml:space="preserve"> </w:t>
            </w:r>
            <w:r w:rsidRPr="00404A58">
              <w:rPr>
                <w:bCs/>
              </w:rPr>
              <w:t>assessment</w:t>
            </w:r>
          </w:p>
        </w:tc>
        <w:tc>
          <w:tcPr>
            <w:tcW w:w="2070" w:type="dxa"/>
          </w:tcPr>
          <w:p w14:paraId="55BDA0B9" w14:textId="77777777" w:rsidR="00B05276" w:rsidRPr="00404A58" w:rsidRDefault="00B05276" w:rsidP="00DD4CC6">
            <w:pPr>
              <w:pStyle w:val="Tabletext"/>
              <w:ind w:left="0" w:right="0"/>
            </w:pPr>
            <w:r w:rsidRPr="00404A58">
              <w:t>5</w:t>
            </w:r>
            <w:r w:rsidRPr="00404A58">
              <w:rPr>
                <w:spacing w:val="-1"/>
              </w:rPr>
              <w:t xml:space="preserve"> </w:t>
            </w:r>
            <w:r w:rsidRPr="00404A58">
              <w:t>(5.8)</w:t>
            </w:r>
          </w:p>
        </w:tc>
        <w:tc>
          <w:tcPr>
            <w:tcW w:w="2250" w:type="dxa"/>
          </w:tcPr>
          <w:p w14:paraId="305E5C7F" w14:textId="77777777" w:rsidR="00B05276" w:rsidRPr="00404A58" w:rsidRDefault="00B05276" w:rsidP="00DD4CC6">
            <w:pPr>
              <w:pStyle w:val="Tabletext"/>
              <w:ind w:left="0" w:right="0"/>
            </w:pPr>
            <w:r w:rsidRPr="00404A58">
              <w:t>5</w:t>
            </w:r>
            <w:r w:rsidRPr="00404A58">
              <w:rPr>
                <w:spacing w:val="-1"/>
              </w:rPr>
              <w:t xml:space="preserve"> </w:t>
            </w:r>
            <w:r w:rsidRPr="00404A58">
              <w:t>(5.8)</w:t>
            </w:r>
          </w:p>
        </w:tc>
        <w:tc>
          <w:tcPr>
            <w:tcW w:w="1980" w:type="dxa"/>
          </w:tcPr>
          <w:p w14:paraId="7899C837" w14:textId="77777777" w:rsidR="00B05276" w:rsidRPr="00404A58" w:rsidRDefault="00B05276" w:rsidP="00DD4CC6">
            <w:pPr>
              <w:pStyle w:val="Tabletext"/>
              <w:ind w:left="0" w:right="0"/>
            </w:pPr>
            <w:r w:rsidRPr="00404A58">
              <w:t>5</w:t>
            </w:r>
            <w:r w:rsidRPr="00404A58">
              <w:rPr>
                <w:spacing w:val="-1"/>
              </w:rPr>
              <w:t xml:space="preserve"> </w:t>
            </w:r>
            <w:r w:rsidRPr="00404A58">
              <w:t>(5.8)</w:t>
            </w:r>
          </w:p>
        </w:tc>
      </w:tr>
      <w:tr w:rsidR="00B05276" w:rsidRPr="00404A58" w14:paraId="07C9AE7C" w14:textId="77777777" w:rsidTr="003929F6">
        <w:trPr>
          <w:trHeight w:val="523"/>
        </w:trPr>
        <w:tc>
          <w:tcPr>
            <w:tcW w:w="8810" w:type="dxa"/>
            <w:gridSpan w:val="4"/>
            <w:hideMark/>
          </w:tcPr>
          <w:p w14:paraId="07F2C705" w14:textId="1FBA0E1C" w:rsidR="00B05276" w:rsidRPr="00404A58" w:rsidRDefault="00B05276" w:rsidP="00DD4CC6">
            <w:pPr>
              <w:pStyle w:val="Tabletext"/>
              <w:ind w:left="0" w:right="0"/>
              <w:rPr>
                <w:bCs/>
              </w:rPr>
            </w:pPr>
            <w:bookmarkStart w:id="54" w:name="_Hlk105352787"/>
            <w:r w:rsidRPr="00404A58">
              <w:rPr>
                <w:bCs/>
              </w:rPr>
              <w:t>Duration</w:t>
            </w:r>
            <w:r w:rsidRPr="00404A58">
              <w:rPr>
                <w:bCs/>
                <w:spacing w:val="-4"/>
              </w:rPr>
              <w:t xml:space="preserve"> </w:t>
            </w:r>
            <w:r w:rsidRPr="00404A58">
              <w:rPr>
                <w:bCs/>
              </w:rPr>
              <w:t>of response</w:t>
            </w:r>
            <w:r w:rsidRPr="00404A58">
              <w:rPr>
                <w:bCs/>
                <w:spacing w:val="-2"/>
              </w:rPr>
              <w:t xml:space="preserve"> </w:t>
            </w:r>
            <w:r w:rsidRPr="00404A58">
              <w:rPr>
                <w:bCs/>
              </w:rPr>
              <w:t>(DOR)</w:t>
            </w:r>
            <w:bookmarkEnd w:id="54"/>
          </w:p>
        </w:tc>
      </w:tr>
      <w:tr w:rsidR="00B05276" w:rsidRPr="00404A58" w14:paraId="764696DE" w14:textId="77777777" w:rsidTr="003929F6">
        <w:trPr>
          <w:trHeight w:val="937"/>
        </w:trPr>
        <w:tc>
          <w:tcPr>
            <w:tcW w:w="2510" w:type="dxa"/>
            <w:hideMark/>
          </w:tcPr>
          <w:p w14:paraId="5F379034" w14:textId="5ECBD678" w:rsidR="00B05276" w:rsidRPr="00404A58" w:rsidRDefault="00B05276" w:rsidP="00DD4CC6">
            <w:pPr>
              <w:pStyle w:val="Tabletext"/>
              <w:ind w:left="0" w:right="0"/>
              <w:rPr>
                <w:bCs/>
              </w:rPr>
            </w:pPr>
            <w:r w:rsidRPr="00404A58">
              <w:rPr>
                <w:bCs/>
              </w:rPr>
              <w:t>Median follow-up</w:t>
            </w:r>
            <w:r w:rsidR="00DD4CC6" w:rsidRPr="00404A58">
              <w:rPr>
                <w:bCs/>
              </w:rPr>
              <w:t xml:space="preserve"> </w:t>
            </w:r>
            <w:r w:rsidRPr="00404A58">
              <w:rPr>
                <w:bCs/>
              </w:rPr>
              <w:t>time</w:t>
            </w:r>
            <w:r w:rsidRPr="00404A58">
              <w:rPr>
                <w:bCs/>
                <w:spacing w:val="-3"/>
              </w:rPr>
              <w:t xml:space="preserve"> </w:t>
            </w:r>
            <w:r w:rsidRPr="00404A58">
              <w:rPr>
                <w:bCs/>
              </w:rPr>
              <w:t>for</w:t>
            </w:r>
            <w:r w:rsidRPr="00404A58">
              <w:rPr>
                <w:bCs/>
                <w:spacing w:val="1"/>
              </w:rPr>
              <w:t xml:space="preserve"> </w:t>
            </w:r>
            <w:r w:rsidRPr="00404A58">
              <w:rPr>
                <w:bCs/>
              </w:rPr>
              <w:t>DOR</w:t>
            </w:r>
          </w:p>
          <w:p w14:paraId="71A40DD4" w14:textId="77777777" w:rsidR="00B05276" w:rsidRPr="00404A58" w:rsidRDefault="00B05276" w:rsidP="00DD4CC6">
            <w:pPr>
              <w:pStyle w:val="Tabletext"/>
              <w:ind w:left="0" w:right="0"/>
              <w:rPr>
                <w:bCs/>
              </w:rPr>
            </w:pPr>
            <w:r w:rsidRPr="00404A58">
              <w:rPr>
                <w:bCs/>
              </w:rPr>
              <w:t>(range)</w:t>
            </w:r>
          </w:p>
        </w:tc>
        <w:tc>
          <w:tcPr>
            <w:tcW w:w="2070" w:type="dxa"/>
            <w:hideMark/>
          </w:tcPr>
          <w:p w14:paraId="3DB37048" w14:textId="77777777" w:rsidR="00B05276" w:rsidRPr="00404A58" w:rsidRDefault="00B05276" w:rsidP="00DD4CC6">
            <w:pPr>
              <w:pStyle w:val="Tabletext"/>
              <w:ind w:left="0" w:right="0"/>
            </w:pPr>
            <w:r w:rsidRPr="00404A58">
              <w:t>16.4</w:t>
            </w:r>
            <w:r w:rsidRPr="00404A58">
              <w:rPr>
                <w:spacing w:val="7"/>
              </w:rPr>
              <w:t xml:space="preserve"> </w:t>
            </w:r>
            <w:r w:rsidRPr="00404A58">
              <w:t>(2.3</w:t>
            </w:r>
            <w:r w:rsidRPr="00404A58">
              <w:rPr>
                <w:spacing w:val="-5"/>
              </w:rPr>
              <w:t xml:space="preserve"> </w:t>
            </w:r>
            <w:r w:rsidRPr="00404A58">
              <w:t>to 9.5) months</w:t>
            </w:r>
          </w:p>
        </w:tc>
        <w:tc>
          <w:tcPr>
            <w:tcW w:w="2250" w:type="dxa"/>
            <w:hideMark/>
          </w:tcPr>
          <w:p w14:paraId="27E75426" w14:textId="77777777" w:rsidR="00B05276" w:rsidRPr="00404A58" w:rsidRDefault="00B05276" w:rsidP="00DD4CC6">
            <w:pPr>
              <w:pStyle w:val="Tabletext"/>
              <w:ind w:left="0" w:right="0"/>
            </w:pPr>
            <w:r w:rsidRPr="00404A58">
              <w:t>19.4</w:t>
            </w:r>
            <w:r w:rsidRPr="00404A58">
              <w:rPr>
                <w:spacing w:val="8"/>
              </w:rPr>
              <w:t xml:space="preserve"> </w:t>
            </w:r>
            <w:r w:rsidRPr="00404A58">
              <w:t>(2.3</w:t>
            </w:r>
            <w:r w:rsidRPr="00404A58">
              <w:rPr>
                <w:spacing w:val="-5"/>
              </w:rPr>
              <w:t xml:space="preserve"> </w:t>
            </w:r>
            <w:r w:rsidRPr="00404A58">
              <w:t>to</w:t>
            </w:r>
            <w:r w:rsidRPr="00404A58">
              <w:rPr>
                <w:spacing w:val="-5"/>
              </w:rPr>
              <w:t xml:space="preserve"> </w:t>
            </w:r>
            <w:r w:rsidRPr="00404A58">
              <w:t>24.9) months</w:t>
            </w:r>
          </w:p>
        </w:tc>
        <w:tc>
          <w:tcPr>
            <w:tcW w:w="1980" w:type="dxa"/>
            <w:hideMark/>
          </w:tcPr>
          <w:p w14:paraId="7093EF0C" w14:textId="77777777" w:rsidR="00B05276" w:rsidRPr="00404A58" w:rsidRDefault="00B05276" w:rsidP="00DD4CC6">
            <w:pPr>
              <w:pStyle w:val="Tabletext"/>
              <w:ind w:left="0" w:right="0"/>
            </w:pPr>
            <w:r w:rsidRPr="00404A58">
              <w:t>30.6</w:t>
            </w:r>
            <w:r w:rsidRPr="00404A58">
              <w:rPr>
                <w:spacing w:val="5"/>
              </w:rPr>
              <w:t xml:space="preserve"> </w:t>
            </w:r>
            <w:r w:rsidRPr="00404A58">
              <w:t>(2.3</w:t>
            </w:r>
            <w:r w:rsidRPr="00404A58">
              <w:rPr>
                <w:spacing w:val="-5"/>
              </w:rPr>
              <w:t xml:space="preserve"> </w:t>
            </w:r>
            <w:r w:rsidRPr="00404A58">
              <w:t>to</w:t>
            </w:r>
            <w:r w:rsidRPr="00404A58">
              <w:rPr>
                <w:spacing w:val="-5"/>
              </w:rPr>
              <w:t xml:space="preserve"> </w:t>
            </w:r>
            <w:r w:rsidRPr="00404A58">
              <w:t>36.2) months</w:t>
            </w:r>
          </w:p>
        </w:tc>
      </w:tr>
      <w:tr w:rsidR="00B05276" w:rsidRPr="00404A58" w14:paraId="49CDA5AB" w14:textId="77777777" w:rsidTr="003929F6">
        <w:trPr>
          <w:trHeight w:val="724"/>
        </w:trPr>
        <w:tc>
          <w:tcPr>
            <w:tcW w:w="2510" w:type="dxa"/>
            <w:hideMark/>
          </w:tcPr>
          <w:p w14:paraId="0D16B811" w14:textId="77777777" w:rsidR="00B05276" w:rsidRPr="00404A58" w:rsidRDefault="00B05276" w:rsidP="00DD4CC6">
            <w:pPr>
              <w:pStyle w:val="Tabletext"/>
              <w:ind w:left="0" w:right="0"/>
              <w:rPr>
                <w:bCs/>
              </w:rPr>
            </w:pPr>
            <w:r w:rsidRPr="00404A58">
              <w:rPr>
                <w:bCs/>
              </w:rPr>
              <w:t>Median DOR</w:t>
            </w:r>
            <w:r w:rsidRPr="00404A58">
              <w:rPr>
                <w:bCs/>
                <w:spacing w:val="-52"/>
              </w:rPr>
              <w:t xml:space="preserve"> </w:t>
            </w:r>
            <w:r w:rsidRPr="00404A58">
              <w:rPr>
                <w:bCs/>
              </w:rPr>
              <w:t>(range)</w:t>
            </w:r>
          </w:p>
        </w:tc>
        <w:tc>
          <w:tcPr>
            <w:tcW w:w="2070" w:type="dxa"/>
            <w:hideMark/>
          </w:tcPr>
          <w:p w14:paraId="3BA00991" w14:textId="77777777" w:rsidR="00B05276" w:rsidRPr="00404A58" w:rsidRDefault="00B05276" w:rsidP="00DD4CC6">
            <w:pPr>
              <w:pStyle w:val="Tabletext"/>
              <w:ind w:left="0" w:right="0"/>
            </w:pPr>
            <w:r w:rsidRPr="00404A58">
              <w:t>19.5 (2.3</w:t>
            </w:r>
            <w:r w:rsidRPr="00404A58">
              <w:rPr>
                <w:spacing w:val="-5"/>
              </w:rPr>
              <w:t xml:space="preserve"> </w:t>
            </w:r>
            <w:r w:rsidRPr="00404A58">
              <w:t>to</w:t>
            </w:r>
            <w:r w:rsidRPr="00404A58">
              <w:rPr>
                <w:spacing w:val="-5"/>
              </w:rPr>
              <w:t xml:space="preserve"> </w:t>
            </w:r>
            <w:r w:rsidRPr="00404A58">
              <w:t>19.5) months*</w:t>
            </w:r>
          </w:p>
        </w:tc>
        <w:tc>
          <w:tcPr>
            <w:tcW w:w="2250" w:type="dxa"/>
            <w:hideMark/>
          </w:tcPr>
          <w:p w14:paraId="059BCBA8" w14:textId="77777777" w:rsidR="00B05276" w:rsidRPr="00404A58" w:rsidRDefault="00B05276" w:rsidP="00DD4CC6">
            <w:pPr>
              <w:pStyle w:val="Tabletext"/>
              <w:ind w:left="0" w:right="0"/>
            </w:pPr>
            <w:r w:rsidRPr="00404A58">
              <w:t>24.9 (2.3</w:t>
            </w:r>
            <w:r w:rsidRPr="00404A58">
              <w:rPr>
                <w:spacing w:val="-5"/>
              </w:rPr>
              <w:t xml:space="preserve"> </w:t>
            </w:r>
            <w:r w:rsidRPr="00404A58">
              <w:t>to</w:t>
            </w:r>
            <w:r w:rsidRPr="00404A58">
              <w:rPr>
                <w:spacing w:val="-5"/>
              </w:rPr>
              <w:t xml:space="preserve"> </w:t>
            </w:r>
            <w:r w:rsidRPr="00404A58">
              <w:t>24.9) months*</w:t>
            </w:r>
          </w:p>
        </w:tc>
        <w:tc>
          <w:tcPr>
            <w:tcW w:w="1980" w:type="dxa"/>
            <w:hideMark/>
          </w:tcPr>
          <w:p w14:paraId="44E0A68D" w14:textId="77777777" w:rsidR="00B05276" w:rsidRPr="00404A58" w:rsidRDefault="00B05276" w:rsidP="00DD4CC6">
            <w:pPr>
              <w:pStyle w:val="Tabletext"/>
              <w:ind w:left="0" w:right="0"/>
            </w:pPr>
            <w:r w:rsidRPr="00404A58">
              <w:t>Not reached</w:t>
            </w:r>
          </w:p>
          <w:p w14:paraId="796243BD" w14:textId="77777777" w:rsidR="00B05276" w:rsidRPr="00404A58" w:rsidRDefault="00B05276" w:rsidP="00DD4CC6">
            <w:pPr>
              <w:pStyle w:val="Tabletext"/>
              <w:ind w:left="0" w:right="0"/>
            </w:pPr>
            <w:r w:rsidRPr="00404A58">
              <w:t>(2.3</w:t>
            </w:r>
            <w:r w:rsidRPr="00404A58">
              <w:rPr>
                <w:spacing w:val="-1"/>
              </w:rPr>
              <w:t xml:space="preserve"> </w:t>
            </w:r>
            <w:r w:rsidRPr="00404A58">
              <w:t>to 36.2+ months)</w:t>
            </w:r>
          </w:p>
        </w:tc>
      </w:tr>
      <w:tr w:rsidR="00B05276" w:rsidRPr="00404A58" w14:paraId="0C35CA64" w14:textId="77777777" w:rsidTr="003929F6">
        <w:trPr>
          <w:trHeight w:val="460"/>
        </w:trPr>
        <w:tc>
          <w:tcPr>
            <w:tcW w:w="8810" w:type="dxa"/>
            <w:gridSpan w:val="4"/>
            <w:hideMark/>
          </w:tcPr>
          <w:p w14:paraId="71595C46" w14:textId="77777777" w:rsidR="00B05276" w:rsidRPr="00404A58" w:rsidRDefault="00B05276" w:rsidP="00DD4CC6">
            <w:pPr>
              <w:pStyle w:val="Tabletext"/>
              <w:ind w:left="0" w:right="0"/>
              <w:rPr>
                <w:bCs/>
              </w:rPr>
            </w:pPr>
            <w:r w:rsidRPr="00404A58">
              <w:rPr>
                <w:bCs/>
              </w:rPr>
              <w:t>Progression/death</w:t>
            </w:r>
            <w:r w:rsidRPr="00404A58">
              <w:rPr>
                <w:bCs/>
                <w:spacing w:val="-4"/>
              </w:rPr>
              <w:t xml:space="preserve"> </w:t>
            </w:r>
            <w:r w:rsidRPr="00404A58">
              <w:rPr>
                <w:bCs/>
              </w:rPr>
              <w:t>event-free rate</w:t>
            </w:r>
            <w:r w:rsidRPr="00404A58">
              <w:rPr>
                <w:bCs/>
                <w:spacing w:val="-2"/>
              </w:rPr>
              <w:t xml:space="preserve"> </w:t>
            </w:r>
            <w:r w:rsidRPr="00404A58">
              <w:rPr>
                <w:bCs/>
              </w:rPr>
              <w:t>at</w:t>
            </w:r>
          </w:p>
        </w:tc>
      </w:tr>
      <w:tr w:rsidR="00B05276" w:rsidRPr="00404A58" w14:paraId="4FA2EABC" w14:textId="77777777" w:rsidTr="003929F6">
        <w:trPr>
          <w:trHeight w:val="373"/>
        </w:trPr>
        <w:tc>
          <w:tcPr>
            <w:tcW w:w="2510" w:type="dxa"/>
            <w:hideMark/>
          </w:tcPr>
          <w:p w14:paraId="06A2139B" w14:textId="77777777" w:rsidR="00B05276" w:rsidRPr="00404A58" w:rsidRDefault="00B05276" w:rsidP="00DD4CC6">
            <w:pPr>
              <w:pStyle w:val="Tabletext"/>
              <w:ind w:left="0" w:right="0"/>
              <w:rPr>
                <w:bCs/>
              </w:rPr>
            </w:pPr>
            <w:r w:rsidRPr="00404A58">
              <w:rPr>
                <w:bCs/>
              </w:rPr>
              <w:t>6</w:t>
            </w:r>
            <w:r w:rsidRPr="00404A58">
              <w:rPr>
                <w:bCs/>
                <w:spacing w:val="-1"/>
              </w:rPr>
              <w:t xml:space="preserve"> </w:t>
            </w:r>
            <w:r w:rsidRPr="00404A58">
              <w:rPr>
                <w:bCs/>
              </w:rPr>
              <w:t>months (95%</w:t>
            </w:r>
            <w:r w:rsidRPr="00404A58">
              <w:rPr>
                <w:bCs/>
                <w:spacing w:val="-3"/>
              </w:rPr>
              <w:t xml:space="preserve"> </w:t>
            </w:r>
            <w:r w:rsidRPr="00404A58">
              <w:rPr>
                <w:bCs/>
              </w:rPr>
              <w:t>CI)</w:t>
            </w:r>
          </w:p>
        </w:tc>
        <w:tc>
          <w:tcPr>
            <w:tcW w:w="2070" w:type="dxa"/>
            <w:hideMark/>
          </w:tcPr>
          <w:p w14:paraId="12D6DA68" w14:textId="77777777" w:rsidR="00B05276" w:rsidRPr="00404A58" w:rsidRDefault="00B05276" w:rsidP="00DD4CC6">
            <w:pPr>
              <w:pStyle w:val="Tabletext"/>
              <w:ind w:left="0" w:right="0"/>
            </w:pPr>
            <w:r w:rsidRPr="00404A58">
              <w:t>88.8</w:t>
            </w:r>
            <w:r w:rsidRPr="00404A58">
              <w:rPr>
                <w:spacing w:val="-1"/>
              </w:rPr>
              <w:t xml:space="preserve"> </w:t>
            </w:r>
            <w:r w:rsidRPr="00404A58">
              <w:t>(78.9, 94.2)</w:t>
            </w:r>
          </w:p>
        </w:tc>
        <w:tc>
          <w:tcPr>
            <w:tcW w:w="2250" w:type="dxa"/>
            <w:hideMark/>
          </w:tcPr>
          <w:p w14:paraId="57858AFE" w14:textId="77777777" w:rsidR="00B05276" w:rsidRPr="00404A58" w:rsidRDefault="00B05276" w:rsidP="00DD4CC6">
            <w:pPr>
              <w:pStyle w:val="Tabletext"/>
              <w:ind w:left="0" w:right="0"/>
            </w:pPr>
            <w:r w:rsidRPr="00404A58">
              <w:t>88.8</w:t>
            </w:r>
            <w:r w:rsidRPr="00404A58">
              <w:rPr>
                <w:spacing w:val="-1"/>
              </w:rPr>
              <w:t xml:space="preserve"> </w:t>
            </w:r>
            <w:r w:rsidRPr="00404A58">
              <w:t>(78.9, 94.2)</w:t>
            </w:r>
          </w:p>
        </w:tc>
        <w:tc>
          <w:tcPr>
            <w:tcW w:w="1980" w:type="dxa"/>
            <w:hideMark/>
          </w:tcPr>
          <w:p w14:paraId="3932097E" w14:textId="77777777" w:rsidR="00B05276" w:rsidRPr="00404A58" w:rsidRDefault="00B05276" w:rsidP="00DD4CC6">
            <w:pPr>
              <w:pStyle w:val="Tabletext"/>
              <w:ind w:left="0" w:right="0"/>
            </w:pPr>
            <w:r w:rsidRPr="00404A58">
              <w:t>88.8</w:t>
            </w:r>
            <w:r w:rsidRPr="00404A58">
              <w:rPr>
                <w:spacing w:val="-1"/>
              </w:rPr>
              <w:t xml:space="preserve"> </w:t>
            </w:r>
            <w:r w:rsidRPr="00404A58">
              <w:t>(78.9, 94.2)</w:t>
            </w:r>
          </w:p>
        </w:tc>
      </w:tr>
      <w:tr w:rsidR="00B05276" w:rsidRPr="00404A58" w14:paraId="7EC881AB" w14:textId="77777777" w:rsidTr="003929F6">
        <w:trPr>
          <w:trHeight w:val="373"/>
        </w:trPr>
        <w:tc>
          <w:tcPr>
            <w:tcW w:w="2510" w:type="dxa"/>
            <w:hideMark/>
          </w:tcPr>
          <w:p w14:paraId="3813FE79" w14:textId="77777777" w:rsidR="00B05276" w:rsidRPr="00404A58" w:rsidRDefault="00B05276" w:rsidP="00DD4CC6">
            <w:pPr>
              <w:pStyle w:val="Tabletext"/>
              <w:ind w:left="0" w:right="0"/>
              <w:rPr>
                <w:bCs/>
              </w:rPr>
            </w:pPr>
            <w:r w:rsidRPr="00404A58">
              <w:rPr>
                <w:bCs/>
              </w:rPr>
              <w:t>12 months</w:t>
            </w:r>
            <w:r w:rsidRPr="00404A58">
              <w:rPr>
                <w:bCs/>
                <w:spacing w:val="-2"/>
              </w:rPr>
              <w:t xml:space="preserve"> </w:t>
            </w:r>
            <w:r w:rsidRPr="00404A58">
              <w:rPr>
                <w:bCs/>
              </w:rPr>
              <w:t>(95%</w:t>
            </w:r>
            <w:r w:rsidRPr="00404A58">
              <w:rPr>
                <w:bCs/>
                <w:spacing w:val="-3"/>
              </w:rPr>
              <w:t xml:space="preserve"> </w:t>
            </w:r>
            <w:r w:rsidRPr="00404A58">
              <w:rPr>
                <w:bCs/>
              </w:rPr>
              <w:t>CI)</w:t>
            </w:r>
          </w:p>
        </w:tc>
        <w:tc>
          <w:tcPr>
            <w:tcW w:w="2070" w:type="dxa"/>
            <w:hideMark/>
          </w:tcPr>
          <w:p w14:paraId="72162911" w14:textId="77777777" w:rsidR="00B05276" w:rsidRPr="00404A58" w:rsidRDefault="00B05276" w:rsidP="00DD4CC6">
            <w:pPr>
              <w:pStyle w:val="Tabletext"/>
              <w:ind w:left="0" w:right="0"/>
            </w:pPr>
            <w:r w:rsidRPr="00404A58">
              <w:t>81.8</w:t>
            </w:r>
            <w:r w:rsidRPr="00404A58">
              <w:rPr>
                <w:spacing w:val="-1"/>
              </w:rPr>
              <w:t xml:space="preserve"> </w:t>
            </w:r>
            <w:r w:rsidRPr="00404A58">
              <w:t>(70.7, 89.0)</w:t>
            </w:r>
          </w:p>
        </w:tc>
        <w:tc>
          <w:tcPr>
            <w:tcW w:w="2250" w:type="dxa"/>
            <w:hideMark/>
          </w:tcPr>
          <w:p w14:paraId="57326B75" w14:textId="77777777" w:rsidR="00B05276" w:rsidRPr="00404A58" w:rsidRDefault="00B05276" w:rsidP="00DD4CC6">
            <w:pPr>
              <w:pStyle w:val="Tabletext"/>
              <w:ind w:left="0" w:right="0"/>
            </w:pPr>
            <w:r w:rsidRPr="00404A58">
              <w:t>81.8</w:t>
            </w:r>
            <w:r w:rsidRPr="00404A58">
              <w:rPr>
                <w:spacing w:val="-1"/>
              </w:rPr>
              <w:t xml:space="preserve"> </w:t>
            </w:r>
            <w:r w:rsidRPr="00404A58">
              <w:t>(70.7, 89.0)</w:t>
            </w:r>
          </w:p>
        </w:tc>
        <w:tc>
          <w:tcPr>
            <w:tcW w:w="1980" w:type="dxa"/>
            <w:hideMark/>
          </w:tcPr>
          <w:p w14:paraId="44515220" w14:textId="77777777" w:rsidR="00B05276" w:rsidRPr="00404A58" w:rsidRDefault="00B05276" w:rsidP="00DD4CC6">
            <w:pPr>
              <w:pStyle w:val="Tabletext"/>
              <w:ind w:left="0" w:right="0"/>
            </w:pPr>
            <w:r w:rsidRPr="00404A58">
              <w:t>81.8</w:t>
            </w:r>
            <w:r w:rsidRPr="00404A58">
              <w:rPr>
                <w:spacing w:val="-1"/>
              </w:rPr>
              <w:t xml:space="preserve"> </w:t>
            </w:r>
            <w:r w:rsidRPr="00404A58">
              <w:t>(70.7, 89.0)</w:t>
            </w:r>
          </w:p>
        </w:tc>
      </w:tr>
      <w:tr w:rsidR="00B05276" w:rsidRPr="00404A58" w14:paraId="134CC689" w14:textId="77777777" w:rsidTr="003929F6">
        <w:trPr>
          <w:trHeight w:val="371"/>
        </w:trPr>
        <w:tc>
          <w:tcPr>
            <w:tcW w:w="2510" w:type="dxa"/>
            <w:hideMark/>
          </w:tcPr>
          <w:p w14:paraId="6D237A79" w14:textId="77777777" w:rsidR="00B05276" w:rsidRPr="00404A58" w:rsidRDefault="00B05276" w:rsidP="00DD4CC6">
            <w:pPr>
              <w:pStyle w:val="Tabletext"/>
              <w:ind w:left="0" w:right="0"/>
              <w:rPr>
                <w:bCs/>
              </w:rPr>
            </w:pPr>
            <w:r w:rsidRPr="00404A58">
              <w:rPr>
                <w:bCs/>
              </w:rPr>
              <w:t>18 months</w:t>
            </w:r>
            <w:r w:rsidRPr="00404A58">
              <w:rPr>
                <w:bCs/>
                <w:spacing w:val="-2"/>
              </w:rPr>
              <w:t xml:space="preserve"> </w:t>
            </w:r>
            <w:r w:rsidRPr="00404A58">
              <w:rPr>
                <w:bCs/>
              </w:rPr>
              <w:t>(95%</w:t>
            </w:r>
            <w:r w:rsidRPr="00404A58">
              <w:rPr>
                <w:bCs/>
                <w:spacing w:val="-2"/>
              </w:rPr>
              <w:t xml:space="preserve"> </w:t>
            </w:r>
            <w:r w:rsidRPr="00404A58">
              <w:rPr>
                <w:bCs/>
              </w:rPr>
              <w:t>CI)</w:t>
            </w:r>
          </w:p>
        </w:tc>
        <w:tc>
          <w:tcPr>
            <w:tcW w:w="2070" w:type="dxa"/>
            <w:hideMark/>
          </w:tcPr>
          <w:p w14:paraId="051E6FD1" w14:textId="77777777" w:rsidR="00B05276" w:rsidRPr="00404A58" w:rsidRDefault="00B05276" w:rsidP="00DD4CC6">
            <w:pPr>
              <w:pStyle w:val="Tabletext"/>
              <w:ind w:left="0" w:right="0"/>
            </w:pPr>
            <w:r w:rsidRPr="00404A58">
              <w:t>Not available</w:t>
            </w:r>
          </w:p>
        </w:tc>
        <w:tc>
          <w:tcPr>
            <w:tcW w:w="2250" w:type="dxa"/>
            <w:hideMark/>
          </w:tcPr>
          <w:p w14:paraId="7BB46224" w14:textId="77777777" w:rsidR="00B05276" w:rsidRPr="00404A58" w:rsidRDefault="00B05276" w:rsidP="00DD4CC6">
            <w:pPr>
              <w:pStyle w:val="Tabletext"/>
              <w:ind w:left="0" w:right="0"/>
            </w:pPr>
            <w:r w:rsidRPr="00404A58">
              <w:t>67.6</w:t>
            </w:r>
            <w:r w:rsidRPr="00404A58">
              <w:rPr>
                <w:spacing w:val="-1"/>
              </w:rPr>
              <w:t xml:space="preserve"> </w:t>
            </w:r>
            <w:r w:rsidRPr="00404A58">
              <w:t>(55.4, 77.2)</w:t>
            </w:r>
          </w:p>
        </w:tc>
        <w:tc>
          <w:tcPr>
            <w:tcW w:w="1980" w:type="dxa"/>
            <w:hideMark/>
          </w:tcPr>
          <w:p w14:paraId="5225E847" w14:textId="77777777" w:rsidR="00B05276" w:rsidRPr="00404A58" w:rsidRDefault="00B05276" w:rsidP="00DD4CC6">
            <w:pPr>
              <w:pStyle w:val="Tabletext"/>
              <w:ind w:left="0" w:right="0"/>
            </w:pPr>
            <w:r w:rsidRPr="00404A58">
              <w:t>67.7</w:t>
            </w:r>
            <w:r w:rsidRPr="00404A58">
              <w:rPr>
                <w:spacing w:val="-1"/>
              </w:rPr>
              <w:t xml:space="preserve"> </w:t>
            </w:r>
            <w:r w:rsidRPr="00404A58">
              <w:t>(55.5, 77.2)</w:t>
            </w:r>
          </w:p>
        </w:tc>
      </w:tr>
      <w:tr w:rsidR="00B05276" w:rsidRPr="00404A58" w14:paraId="777906DB" w14:textId="77777777" w:rsidTr="003929F6">
        <w:trPr>
          <w:trHeight w:val="373"/>
        </w:trPr>
        <w:tc>
          <w:tcPr>
            <w:tcW w:w="2510" w:type="dxa"/>
            <w:hideMark/>
          </w:tcPr>
          <w:p w14:paraId="036927FA" w14:textId="77777777" w:rsidR="00B05276" w:rsidRPr="00404A58" w:rsidRDefault="00B05276" w:rsidP="00DD4CC6">
            <w:pPr>
              <w:pStyle w:val="Tabletext"/>
              <w:ind w:left="0" w:right="0"/>
              <w:rPr>
                <w:bCs/>
              </w:rPr>
            </w:pPr>
            <w:r w:rsidRPr="00404A58">
              <w:rPr>
                <w:bCs/>
              </w:rPr>
              <w:t>24 months</w:t>
            </w:r>
            <w:r w:rsidRPr="00404A58">
              <w:rPr>
                <w:bCs/>
                <w:spacing w:val="-2"/>
              </w:rPr>
              <w:t xml:space="preserve"> </w:t>
            </w:r>
            <w:r w:rsidRPr="00404A58">
              <w:rPr>
                <w:bCs/>
              </w:rPr>
              <w:t>(95%</w:t>
            </w:r>
            <w:r w:rsidRPr="00404A58">
              <w:rPr>
                <w:bCs/>
                <w:spacing w:val="-3"/>
              </w:rPr>
              <w:t xml:space="preserve"> </w:t>
            </w:r>
            <w:r w:rsidRPr="00404A58">
              <w:rPr>
                <w:bCs/>
              </w:rPr>
              <w:t>CI)</w:t>
            </w:r>
          </w:p>
        </w:tc>
        <w:tc>
          <w:tcPr>
            <w:tcW w:w="2070" w:type="dxa"/>
            <w:hideMark/>
          </w:tcPr>
          <w:p w14:paraId="742F49C1" w14:textId="77777777" w:rsidR="00B05276" w:rsidRPr="00404A58" w:rsidRDefault="00B05276" w:rsidP="00DD4CC6">
            <w:pPr>
              <w:pStyle w:val="Tabletext"/>
              <w:ind w:left="0" w:right="0"/>
            </w:pPr>
            <w:r w:rsidRPr="00404A58">
              <w:t>Not available</w:t>
            </w:r>
          </w:p>
        </w:tc>
        <w:tc>
          <w:tcPr>
            <w:tcW w:w="2250" w:type="dxa"/>
            <w:hideMark/>
          </w:tcPr>
          <w:p w14:paraId="552D6A32" w14:textId="77777777" w:rsidR="00B05276" w:rsidRPr="00404A58" w:rsidRDefault="00B05276" w:rsidP="00DD4CC6">
            <w:pPr>
              <w:pStyle w:val="Tabletext"/>
              <w:ind w:left="0" w:right="0"/>
            </w:pPr>
            <w:r w:rsidRPr="00404A58">
              <w:t>Not available</w:t>
            </w:r>
          </w:p>
        </w:tc>
        <w:tc>
          <w:tcPr>
            <w:tcW w:w="1980" w:type="dxa"/>
            <w:hideMark/>
          </w:tcPr>
          <w:p w14:paraId="4A4FEE62" w14:textId="77777777" w:rsidR="00B05276" w:rsidRPr="00404A58" w:rsidRDefault="00B05276" w:rsidP="00DD4CC6">
            <w:pPr>
              <w:pStyle w:val="Tabletext"/>
              <w:ind w:left="0" w:right="0"/>
            </w:pPr>
            <w:r w:rsidRPr="00404A58">
              <w:t>63.2</w:t>
            </w:r>
            <w:r w:rsidRPr="00404A58">
              <w:rPr>
                <w:spacing w:val="-1"/>
              </w:rPr>
              <w:t xml:space="preserve"> </w:t>
            </w:r>
            <w:r w:rsidRPr="00404A58">
              <w:t>(50.9, 73.3)</w:t>
            </w:r>
          </w:p>
        </w:tc>
      </w:tr>
      <w:tr w:rsidR="00B05276" w:rsidRPr="00404A58" w14:paraId="14E40674" w14:textId="77777777" w:rsidTr="003929F6">
        <w:trPr>
          <w:trHeight w:val="373"/>
        </w:trPr>
        <w:tc>
          <w:tcPr>
            <w:tcW w:w="2510" w:type="dxa"/>
            <w:hideMark/>
          </w:tcPr>
          <w:p w14:paraId="7908F6EB" w14:textId="77777777" w:rsidR="00B05276" w:rsidRPr="00404A58" w:rsidRDefault="00B05276" w:rsidP="00DD4CC6">
            <w:pPr>
              <w:pStyle w:val="Tabletext"/>
              <w:ind w:left="0" w:right="0"/>
              <w:rPr>
                <w:bCs/>
              </w:rPr>
            </w:pPr>
            <w:r w:rsidRPr="00404A58">
              <w:rPr>
                <w:bCs/>
              </w:rPr>
              <w:t>30 months</w:t>
            </w:r>
            <w:r w:rsidRPr="00404A58">
              <w:rPr>
                <w:bCs/>
                <w:spacing w:val="-2"/>
              </w:rPr>
              <w:t xml:space="preserve"> </w:t>
            </w:r>
            <w:r w:rsidRPr="00404A58">
              <w:rPr>
                <w:bCs/>
              </w:rPr>
              <w:t>(95%</w:t>
            </w:r>
            <w:r w:rsidRPr="00404A58">
              <w:rPr>
                <w:bCs/>
                <w:spacing w:val="-3"/>
              </w:rPr>
              <w:t xml:space="preserve"> </w:t>
            </w:r>
            <w:r w:rsidRPr="00404A58">
              <w:rPr>
                <w:bCs/>
              </w:rPr>
              <w:t>CI)</w:t>
            </w:r>
          </w:p>
        </w:tc>
        <w:tc>
          <w:tcPr>
            <w:tcW w:w="2070" w:type="dxa"/>
            <w:hideMark/>
          </w:tcPr>
          <w:p w14:paraId="67F57CD8" w14:textId="77777777" w:rsidR="00B05276" w:rsidRPr="00404A58" w:rsidRDefault="00B05276" w:rsidP="00DD4CC6">
            <w:pPr>
              <w:pStyle w:val="Tabletext"/>
              <w:ind w:left="0" w:right="0"/>
            </w:pPr>
            <w:r w:rsidRPr="00404A58">
              <w:t>Not available</w:t>
            </w:r>
          </w:p>
        </w:tc>
        <w:tc>
          <w:tcPr>
            <w:tcW w:w="2250" w:type="dxa"/>
            <w:hideMark/>
          </w:tcPr>
          <w:p w14:paraId="4FC364D3" w14:textId="77777777" w:rsidR="00B05276" w:rsidRPr="00404A58" w:rsidRDefault="00B05276" w:rsidP="00DD4CC6">
            <w:pPr>
              <w:pStyle w:val="Tabletext"/>
              <w:ind w:left="0" w:right="0"/>
            </w:pPr>
            <w:r w:rsidRPr="00404A58">
              <w:t>Not available</w:t>
            </w:r>
          </w:p>
        </w:tc>
        <w:tc>
          <w:tcPr>
            <w:tcW w:w="1980" w:type="dxa"/>
            <w:hideMark/>
          </w:tcPr>
          <w:p w14:paraId="15FFE43F" w14:textId="77777777" w:rsidR="00B05276" w:rsidRPr="00404A58" w:rsidRDefault="00B05276" w:rsidP="00DD4CC6">
            <w:pPr>
              <w:pStyle w:val="Tabletext"/>
              <w:ind w:left="0" w:right="0"/>
            </w:pPr>
            <w:r w:rsidRPr="00404A58">
              <w:t>57.3</w:t>
            </w:r>
            <w:r w:rsidRPr="00404A58">
              <w:rPr>
                <w:spacing w:val="-1"/>
              </w:rPr>
              <w:t xml:space="preserve"> </w:t>
            </w:r>
            <w:r w:rsidRPr="00404A58">
              <w:t>(44.9, 67.9)</w:t>
            </w:r>
          </w:p>
        </w:tc>
      </w:tr>
      <w:tr w:rsidR="00B05276" w:rsidRPr="00404A58" w14:paraId="2547FA57" w14:textId="77777777" w:rsidTr="003929F6">
        <w:trPr>
          <w:trHeight w:val="371"/>
        </w:trPr>
        <w:tc>
          <w:tcPr>
            <w:tcW w:w="8810" w:type="dxa"/>
            <w:gridSpan w:val="4"/>
            <w:hideMark/>
          </w:tcPr>
          <w:p w14:paraId="0AD84126" w14:textId="384F26E0" w:rsidR="00B05276" w:rsidRPr="00404A58" w:rsidRDefault="00B05276" w:rsidP="00DD4CC6">
            <w:pPr>
              <w:pStyle w:val="Tabletext"/>
              <w:ind w:left="0" w:right="0"/>
              <w:rPr>
                <w:bCs/>
              </w:rPr>
            </w:pPr>
            <w:bookmarkStart w:id="55" w:name="_Hlk105352798"/>
            <w:r w:rsidRPr="00404A58">
              <w:rPr>
                <w:bCs/>
              </w:rPr>
              <w:t>Progression-free</w:t>
            </w:r>
            <w:r w:rsidRPr="00404A58">
              <w:rPr>
                <w:bCs/>
                <w:spacing w:val="-3"/>
              </w:rPr>
              <w:t xml:space="preserve"> </w:t>
            </w:r>
            <w:r w:rsidRPr="00404A58">
              <w:rPr>
                <w:bCs/>
              </w:rPr>
              <w:t>survival</w:t>
            </w:r>
            <w:r w:rsidRPr="00404A58">
              <w:rPr>
                <w:bCs/>
                <w:spacing w:val="-2"/>
              </w:rPr>
              <w:t xml:space="preserve"> </w:t>
            </w:r>
            <w:r w:rsidRPr="00404A58">
              <w:rPr>
                <w:bCs/>
              </w:rPr>
              <w:t>(PFS)</w:t>
            </w:r>
            <w:bookmarkEnd w:id="55"/>
          </w:p>
        </w:tc>
      </w:tr>
      <w:tr w:rsidR="00B05276" w:rsidRPr="00404A58" w14:paraId="6A8630E7" w14:textId="77777777" w:rsidTr="003929F6">
        <w:trPr>
          <w:trHeight w:val="940"/>
        </w:trPr>
        <w:tc>
          <w:tcPr>
            <w:tcW w:w="2510" w:type="dxa"/>
            <w:hideMark/>
          </w:tcPr>
          <w:p w14:paraId="379DA6FF" w14:textId="2D0CAEDE" w:rsidR="00B05276" w:rsidRPr="00404A58" w:rsidRDefault="00B05276" w:rsidP="00DD4CC6">
            <w:pPr>
              <w:pStyle w:val="Tabletext"/>
              <w:ind w:left="0" w:right="0"/>
              <w:rPr>
                <w:bCs/>
              </w:rPr>
            </w:pPr>
            <w:r w:rsidRPr="00404A58">
              <w:rPr>
                <w:bCs/>
              </w:rPr>
              <w:t>Median follow-up</w:t>
            </w:r>
            <w:r w:rsidRPr="00404A58">
              <w:rPr>
                <w:bCs/>
                <w:spacing w:val="-52"/>
              </w:rPr>
              <w:t xml:space="preserve"> </w:t>
            </w:r>
            <w:r w:rsidRPr="00404A58">
              <w:rPr>
                <w:bCs/>
              </w:rPr>
              <w:t>time</w:t>
            </w:r>
            <w:r w:rsidRPr="00404A58">
              <w:rPr>
                <w:bCs/>
                <w:spacing w:val="-2"/>
              </w:rPr>
              <w:t xml:space="preserve"> </w:t>
            </w:r>
            <w:r w:rsidRPr="00404A58">
              <w:rPr>
                <w:bCs/>
              </w:rPr>
              <w:t>for</w:t>
            </w:r>
            <w:r w:rsidRPr="00404A58">
              <w:rPr>
                <w:bCs/>
                <w:spacing w:val="-2"/>
              </w:rPr>
              <w:t xml:space="preserve"> </w:t>
            </w:r>
            <w:r w:rsidRPr="00404A58">
              <w:rPr>
                <w:bCs/>
              </w:rPr>
              <w:t>PFS</w:t>
            </w:r>
            <w:r w:rsidR="003929F6">
              <w:rPr>
                <w:bCs/>
              </w:rPr>
              <w:t xml:space="preserve"> </w:t>
            </w:r>
            <w:r w:rsidRPr="00404A58">
              <w:rPr>
                <w:bCs/>
              </w:rPr>
              <w:t>(range)</w:t>
            </w:r>
          </w:p>
        </w:tc>
        <w:tc>
          <w:tcPr>
            <w:tcW w:w="2070" w:type="dxa"/>
            <w:hideMark/>
          </w:tcPr>
          <w:p w14:paraId="361C5184" w14:textId="77777777" w:rsidR="00B05276" w:rsidRPr="00404A58" w:rsidRDefault="00B05276" w:rsidP="00DD4CC6">
            <w:pPr>
              <w:pStyle w:val="Tabletext"/>
              <w:ind w:left="0" w:right="0"/>
            </w:pPr>
            <w:r w:rsidRPr="00404A58">
              <w:t>19.1</w:t>
            </w:r>
            <w:r w:rsidRPr="00404A58">
              <w:rPr>
                <w:spacing w:val="7"/>
              </w:rPr>
              <w:t xml:space="preserve"> </w:t>
            </w:r>
            <w:r w:rsidRPr="00404A58">
              <w:t>months</w:t>
            </w:r>
            <w:r w:rsidRPr="00404A58">
              <w:rPr>
                <w:spacing w:val="1"/>
              </w:rPr>
              <w:t xml:space="preserve"> </w:t>
            </w:r>
            <w:r w:rsidRPr="00404A58">
              <w:t>(0.0</w:t>
            </w:r>
            <w:r w:rsidRPr="00404A58">
              <w:rPr>
                <w:spacing w:val="-5"/>
              </w:rPr>
              <w:t xml:space="preserve"> </w:t>
            </w:r>
            <w:r w:rsidRPr="00404A58">
              <w:t>to</w:t>
            </w:r>
            <w:r w:rsidRPr="00404A58">
              <w:rPr>
                <w:spacing w:val="-5"/>
              </w:rPr>
              <w:t xml:space="preserve"> </w:t>
            </w:r>
            <w:r w:rsidRPr="00404A58">
              <w:t>22.3</w:t>
            </w:r>
            <w:r w:rsidRPr="00404A58">
              <w:rPr>
                <w:spacing w:val="-5"/>
              </w:rPr>
              <w:t xml:space="preserve"> </w:t>
            </w:r>
            <w:r w:rsidRPr="00404A58">
              <w:t>months)</w:t>
            </w:r>
          </w:p>
        </w:tc>
        <w:tc>
          <w:tcPr>
            <w:tcW w:w="2250" w:type="dxa"/>
            <w:hideMark/>
          </w:tcPr>
          <w:p w14:paraId="776FF65D" w14:textId="77777777" w:rsidR="00B05276" w:rsidRPr="00404A58" w:rsidRDefault="00B05276" w:rsidP="00DD4CC6">
            <w:pPr>
              <w:pStyle w:val="Tabletext"/>
              <w:ind w:left="0" w:right="0"/>
            </w:pPr>
            <w:r w:rsidRPr="00404A58">
              <w:t>22.2</w:t>
            </w:r>
            <w:r w:rsidRPr="00404A58">
              <w:rPr>
                <w:spacing w:val="8"/>
              </w:rPr>
              <w:t xml:space="preserve"> </w:t>
            </w:r>
            <w:r w:rsidRPr="00404A58">
              <w:t>months</w:t>
            </w:r>
            <w:r w:rsidRPr="00404A58">
              <w:rPr>
                <w:spacing w:val="1"/>
              </w:rPr>
              <w:t xml:space="preserve"> </w:t>
            </w:r>
            <w:r w:rsidRPr="00404A58">
              <w:t>(0.0</w:t>
            </w:r>
            <w:r w:rsidRPr="00404A58">
              <w:rPr>
                <w:spacing w:val="-5"/>
              </w:rPr>
              <w:t xml:space="preserve"> </w:t>
            </w:r>
            <w:r w:rsidRPr="00404A58">
              <w:t>to</w:t>
            </w:r>
            <w:r w:rsidRPr="00404A58">
              <w:rPr>
                <w:spacing w:val="-5"/>
              </w:rPr>
              <w:t xml:space="preserve"> </w:t>
            </w:r>
            <w:r w:rsidRPr="00404A58">
              <w:t>27.6</w:t>
            </w:r>
            <w:r w:rsidRPr="00404A58">
              <w:rPr>
                <w:spacing w:val="-4"/>
              </w:rPr>
              <w:t xml:space="preserve"> </w:t>
            </w:r>
            <w:r w:rsidRPr="00404A58">
              <w:t>months)</w:t>
            </w:r>
          </w:p>
        </w:tc>
        <w:tc>
          <w:tcPr>
            <w:tcW w:w="1980" w:type="dxa"/>
            <w:hideMark/>
          </w:tcPr>
          <w:p w14:paraId="1D4B3D95" w14:textId="77777777" w:rsidR="00B05276" w:rsidRPr="00404A58" w:rsidRDefault="00B05276" w:rsidP="00DD4CC6">
            <w:pPr>
              <w:pStyle w:val="Tabletext"/>
              <w:ind w:left="0" w:right="0"/>
            </w:pPr>
            <w:r w:rsidRPr="00404A58">
              <w:t>33.3</w:t>
            </w:r>
            <w:r w:rsidRPr="00404A58">
              <w:rPr>
                <w:spacing w:val="5"/>
              </w:rPr>
              <w:t xml:space="preserve"> </w:t>
            </w:r>
            <w:r w:rsidRPr="00404A58">
              <w:t>months</w:t>
            </w:r>
            <w:r w:rsidRPr="00404A58">
              <w:rPr>
                <w:spacing w:val="1"/>
              </w:rPr>
              <w:t xml:space="preserve"> </w:t>
            </w:r>
            <w:r w:rsidRPr="00404A58">
              <w:t>(0.0</w:t>
            </w:r>
            <w:r w:rsidRPr="00404A58">
              <w:rPr>
                <w:spacing w:val="-5"/>
              </w:rPr>
              <w:t xml:space="preserve"> </w:t>
            </w:r>
            <w:r w:rsidRPr="00404A58">
              <w:t>to</w:t>
            </w:r>
            <w:r w:rsidRPr="00404A58">
              <w:rPr>
                <w:spacing w:val="-5"/>
              </w:rPr>
              <w:t xml:space="preserve"> </w:t>
            </w:r>
            <w:r w:rsidRPr="00404A58">
              <w:t>38.9</w:t>
            </w:r>
            <w:r w:rsidRPr="00404A58">
              <w:rPr>
                <w:spacing w:val="-4"/>
              </w:rPr>
              <w:t xml:space="preserve"> </w:t>
            </w:r>
            <w:r w:rsidRPr="00404A58">
              <w:t>months)</w:t>
            </w:r>
          </w:p>
        </w:tc>
      </w:tr>
      <w:tr w:rsidR="00B05276" w:rsidRPr="00404A58" w14:paraId="0D3BD421" w14:textId="77777777" w:rsidTr="003929F6">
        <w:trPr>
          <w:trHeight w:val="685"/>
        </w:trPr>
        <w:tc>
          <w:tcPr>
            <w:tcW w:w="2510" w:type="dxa"/>
            <w:hideMark/>
          </w:tcPr>
          <w:p w14:paraId="390EFB77" w14:textId="226FE787" w:rsidR="00B05276" w:rsidRPr="00404A58" w:rsidRDefault="00B05276" w:rsidP="00DD4CC6">
            <w:pPr>
              <w:pStyle w:val="Tabletext"/>
              <w:ind w:left="0" w:right="0"/>
              <w:rPr>
                <w:bCs/>
              </w:rPr>
            </w:pPr>
            <w:r w:rsidRPr="00404A58">
              <w:rPr>
                <w:bCs/>
              </w:rPr>
              <w:lastRenderedPageBreak/>
              <w:t>Median PFS</w:t>
            </w:r>
            <w:r w:rsidR="00D72CC1">
              <w:rPr>
                <w:bCs/>
              </w:rPr>
              <w:t xml:space="preserve"> </w:t>
            </w:r>
            <w:r w:rsidRPr="00404A58">
              <w:rPr>
                <w:bCs/>
              </w:rPr>
              <w:t>(range)</w:t>
            </w:r>
          </w:p>
        </w:tc>
        <w:tc>
          <w:tcPr>
            <w:tcW w:w="2070" w:type="dxa"/>
            <w:hideMark/>
          </w:tcPr>
          <w:p w14:paraId="0ED1CD24" w14:textId="77777777" w:rsidR="00B05276" w:rsidRPr="00404A58" w:rsidRDefault="00B05276" w:rsidP="00DD4CC6">
            <w:pPr>
              <w:pStyle w:val="Tabletext"/>
              <w:ind w:left="0" w:right="0"/>
            </w:pPr>
            <w:r w:rsidRPr="00404A58">
              <w:t>22.1</w:t>
            </w:r>
            <w:r w:rsidRPr="00404A58">
              <w:rPr>
                <w:spacing w:val="7"/>
              </w:rPr>
              <w:t xml:space="preserve"> </w:t>
            </w:r>
            <w:r w:rsidRPr="00404A58">
              <w:t>months</w:t>
            </w:r>
            <w:r w:rsidRPr="00404A58">
              <w:rPr>
                <w:spacing w:val="1"/>
              </w:rPr>
              <w:t xml:space="preserve"> </w:t>
            </w:r>
            <w:r w:rsidRPr="00404A58">
              <w:t>(0.0+</w:t>
            </w:r>
            <w:r w:rsidRPr="00404A58">
              <w:rPr>
                <w:spacing w:val="-6"/>
              </w:rPr>
              <w:t xml:space="preserve"> </w:t>
            </w:r>
            <w:r w:rsidRPr="00404A58">
              <w:t>to</w:t>
            </w:r>
            <w:r w:rsidRPr="00404A58">
              <w:rPr>
                <w:spacing w:val="-5"/>
              </w:rPr>
              <w:t xml:space="preserve"> </w:t>
            </w:r>
            <w:r w:rsidRPr="00404A58">
              <w:t>22.3+</w:t>
            </w:r>
            <w:r w:rsidRPr="00404A58">
              <w:rPr>
                <w:spacing w:val="-4"/>
              </w:rPr>
              <w:t xml:space="preserve"> </w:t>
            </w:r>
            <w:r w:rsidRPr="00404A58">
              <w:t>months)</w:t>
            </w:r>
          </w:p>
        </w:tc>
        <w:tc>
          <w:tcPr>
            <w:tcW w:w="2250" w:type="dxa"/>
            <w:hideMark/>
          </w:tcPr>
          <w:p w14:paraId="21B78771" w14:textId="77777777" w:rsidR="00B05276" w:rsidRPr="00404A58" w:rsidRDefault="00B05276" w:rsidP="00DD4CC6">
            <w:pPr>
              <w:pStyle w:val="Tabletext"/>
              <w:ind w:left="0" w:right="0"/>
            </w:pPr>
            <w:r w:rsidRPr="00404A58">
              <w:t>27.5</w:t>
            </w:r>
            <w:r w:rsidRPr="00404A58">
              <w:rPr>
                <w:spacing w:val="7"/>
              </w:rPr>
              <w:t xml:space="preserve"> </w:t>
            </w:r>
            <w:r w:rsidRPr="00404A58">
              <w:t>months</w:t>
            </w:r>
            <w:r w:rsidRPr="00404A58">
              <w:rPr>
                <w:spacing w:val="1"/>
              </w:rPr>
              <w:t xml:space="preserve"> </w:t>
            </w:r>
            <w:r w:rsidRPr="00404A58">
              <w:t>(0.0+</w:t>
            </w:r>
            <w:r w:rsidRPr="00404A58">
              <w:rPr>
                <w:spacing w:val="-6"/>
              </w:rPr>
              <w:t xml:space="preserve"> </w:t>
            </w:r>
            <w:r w:rsidRPr="00404A58">
              <w:t>to</w:t>
            </w:r>
            <w:r w:rsidRPr="00404A58">
              <w:rPr>
                <w:spacing w:val="-5"/>
              </w:rPr>
              <w:t xml:space="preserve"> </w:t>
            </w:r>
            <w:r w:rsidRPr="00404A58">
              <w:t>27.6+</w:t>
            </w:r>
            <w:r w:rsidRPr="00404A58">
              <w:rPr>
                <w:spacing w:val="-4"/>
              </w:rPr>
              <w:t xml:space="preserve"> </w:t>
            </w:r>
            <w:r w:rsidRPr="00404A58">
              <w:t>months)</w:t>
            </w:r>
          </w:p>
        </w:tc>
        <w:tc>
          <w:tcPr>
            <w:tcW w:w="1980" w:type="dxa"/>
            <w:hideMark/>
          </w:tcPr>
          <w:p w14:paraId="18D3B7B8" w14:textId="77777777" w:rsidR="00B05276" w:rsidRPr="00404A58" w:rsidRDefault="00B05276" w:rsidP="00DD4CC6">
            <w:pPr>
              <w:pStyle w:val="Tabletext"/>
              <w:ind w:left="0" w:right="0"/>
            </w:pPr>
            <w:r w:rsidRPr="00404A58">
              <w:t>33.0</w:t>
            </w:r>
            <w:r w:rsidRPr="00404A58">
              <w:rPr>
                <w:spacing w:val="5"/>
              </w:rPr>
              <w:t xml:space="preserve"> </w:t>
            </w:r>
            <w:r w:rsidRPr="00404A58">
              <w:t>months</w:t>
            </w:r>
            <w:r w:rsidRPr="00404A58">
              <w:rPr>
                <w:spacing w:val="1"/>
              </w:rPr>
              <w:t xml:space="preserve"> </w:t>
            </w:r>
            <w:r w:rsidRPr="00404A58">
              <w:t>(0.0+</w:t>
            </w:r>
            <w:r w:rsidRPr="00404A58">
              <w:rPr>
                <w:spacing w:val="-6"/>
              </w:rPr>
              <w:t xml:space="preserve"> </w:t>
            </w:r>
            <w:r w:rsidRPr="00404A58">
              <w:t>to</w:t>
            </w:r>
            <w:r w:rsidRPr="00404A58">
              <w:rPr>
                <w:spacing w:val="-4"/>
              </w:rPr>
              <w:t xml:space="preserve"> </w:t>
            </w:r>
            <w:r w:rsidRPr="00404A58">
              <w:t>38.9+</w:t>
            </w:r>
            <w:r w:rsidRPr="00404A58">
              <w:rPr>
                <w:spacing w:val="-4"/>
              </w:rPr>
              <w:t xml:space="preserve"> </w:t>
            </w:r>
            <w:r w:rsidRPr="00404A58">
              <w:t>months)</w:t>
            </w:r>
          </w:p>
        </w:tc>
      </w:tr>
    </w:tbl>
    <w:p w14:paraId="4153115E" w14:textId="5F7B1044" w:rsidR="00084070" w:rsidRPr="00271F2E" w:rsidRDefault="00D72CC1" w:rsidP="00271F2E">
      <w:pPr>
        <w:pStyle w:val="TableDescription"/>
      </w:pPr>
      <w:r w:rsidRPr="00271F2E">
        <w:t xml:space="preserve">Abbreviations: </w:t>
      </w:r>
      <w:r w:rsidR="00084070" w:rsidRPr="00271F2E">
        <w:t>CI = confidence interval; CR = complete response; DOR = duration of response; n = sample size; ORR = overall response rate; PFS = progression</w:t>
      </w:r>
      <w:r w:rsidR="003929F6" w:rsidRPr="00271F2E">
        <w:t>-</w:t>
      </w:r>
      <w:r w:rsidR="00084070" w:rsidRPr="00271F2E">
        <w:t>free survival; PR = partial response.</w:t>
      </w:r>
    </w:p>
    <w:p w14:paraId="4B45B800" w14:textId="70D0BE81" w:rsidR="00B05276" w:rsidRPr="00271F2E" w:rsidRDefault="00B05276" w:rsidP="00271F2E">
      <w:pPr>
        <w:pStyle w:val="TableDescription"/>
      </w:pPr>
      <w:r w:rsidRPr="00271F2E">
        <w:t>*</w:t>
      </w:r>
      <w:r w:rsidR="00084070" w:rsidRPr="00271F2E">
        <w:t xml:space="preserve">Estimates </w:t>
      </w:r>
      <w:r w:rsidRPr="00271F2E">
        <w:t xml:space="preserve">for the median DOR for the data </w:t>
      </w:r>
      <w:r w:rsidR="00987171" w:rsidRPr="00271F2E">
        <w:t>cut-offs</w:t>
      </w:r>
      <w:r w:rsidRPr="00271F2E">
        <w:t xml:space="preserve"> of 15 February 2019 and 31 August 2019 are considered unstable because the median was reached with the last event occurring while only 2 and 3</w:t>
      </w:r>
      <w:r w:rsidR="00271F2E">
        <w:t> </w:t>
      </w:r>
      <w:r w:rsidRPr="00271F2E">
        <w:t>patients were at risk.</w:t>
      </w:r>
    </w:p>
    <w:p w14:paraId="4CB0B2D0" w14:textId="41428063" w:rsidR="00B05276" w:rsidRPr="00404A58" w:rsidRDefault="00705C40" w:rsidP="00BA351D">
      <w:pPr>
        <w:pStyle w:val="Heading5"/>
      </w:pPr>
      <w:r w:rsidRPr="00404A58">
        <w:t>Study BGB-3111-AU-003</w:t>
      </w:r>
    </w:p>
    <w:p w14:paraId="31C8B519" w14:textId="3EB87884" w:rsidR="00B05276" w:rsidRPr="00404A58" w:rsidRDefault="00B05276" w:rsidP="00705C40">
      <w:bookmarkStart w:id="56" w:name="_Toc290888505"/>
      <w:bookmarkStart w:id="57" w:name="_Toc416353721"/>
      <w:r w:rsidRPr="00404A58">
        <w:t xml:space="preserve">Study BGB-3111-AU-003 (first-in-human study) is an ongoing Phase </w:t>
      </w:r>
      <w:r w:rsidR="00E12254" w:rsidRPr="00404A58">
        <w:t>I</w:t>
      </w:r>
      <w:r w:rsidRPr="00404A58">
        <w:t>/</w:t>
      </w:r>
      <w:r w:rsidR="00E12254" w:rsidRPr="00404A58">
        <w:t>II</w:t>
      </w:r>
      <w:r w:rsidRPr="00404A58">
        <w:t>, open</w:t>
      </w:r>
      <w:r w:rsidR="00035254" w:rsidRPr="00404A58">
        <w:t xml:space="preserve"> </w:t>
      </w:r>
      <w:r w:rsidRPr="00404A58">
        <w:t>label, multi</w:t>
      </w:r>
      <w:r w:rsidR="00035254" w:rsidRPr="00404A58">
        <w:noBreakHyphen/>
      </w:r>
      <w:r w:rsidRPr="00404A58">
        <w:t xml:space="preserve">dose, multicentre, to investigate the safety and PK of zanubrutinib in adult patients with B-cell malignancies, who were ECOG </w:t>
      </w:r>
      <w:r w:rsidR="00D72CC1">
        <w:t>P</w:t>
      </w:r>
      <w:r w:rsidR="00602EC2" w:rsidRPr="00404A58">
        <w:t>erformance Status</w:t>
      </w:r>
      <w:r w:rsidRPr="00404A58">
        <w:t xml:space="preserve"> 0 </w:t>
      </w:r>
      <w:r w:rsidR="00035254" w:rsidRPr="00404A58">
        <w:t xml:space="preserve">to </w:t>
      </w:r>
      <w:r w:rsidRPr="00404A58">
        <w:t xml:space="preserve">2, and who had adequate renal, </w:t>
      </w:r>
      <w:proofErr w:type="gramStart"/>
      <w:r w:rsidRPr="00404A58">
        <w:t>liver</w:t>
      </w:r>
      <w:proofErr w:type="gramEnd"/>
      <w:r w:rsidRPr="00404A58">
        <w:t xml:space="preserve"> and haematological function.</w:t>
      </w:r>
    </w:p>
    <w:p w14:paraId="7BD84A42" w14:textId="7D9DF5A7" w:rsidR="00B05276" w:rsidRPr="00404A58" w:rsidRDefault="00B05276" w:rsidP="00705C40">
      <w:r w:rsidRPr="00404A58">
        <w:t xml:space="preserve">Part 1 (dose escalation) was conducted in patients with relapsed or refractory B-cell lymphoid malignancy and tested </w:t>
      </w:r>
      <w:r w:rsidR="001006D4" w:rsidRPr="00404A58">
        <w:t>once daily</w:t>
      </w:r>
      <w:r w:rsidRPr="00404A58">
        <w:t xml:space="preserve"> oral zanubrutinib doses from 40 mg to 320</w:t>
      </w:r>
      <w:r w:rsidR="00035254" w:rsidRPr="00404A58">
        <w:t> </w:t>
      </w:r>
      <w:r w:rsidRPr="00404A58">
        <w:t xml:space="preserve">mg and a </w:t>
      </w:r>
      <w:r w:rsidR="001006D4" w:rsidRPr="00404A58">
        <w:t>twice daily</w:t>
      </w:r>
      <w:r w:rsidRPr="00404A58">
        <w:t xml:space="preserve"> dose of 160 mg.</w:t>
      </w:r>
    </w:p>
    <w:p w14:paraId="33A5BF70" w14:textId="2FE5F13E" w:rsidR="00B05276" w:rsidRPr="00404A58" w:rsidRDefault="00B05276" w:rsidP="00705C40">
      <w:r w:rsidRPr="00404A58">
        <w:t xml:space="preserve">Part 2 (dose expansion) of the study had disease-specific cohorts. Cohorts 2a and 2g are relevant for the proposed indication. Patients were dosed at 320 mg administered either </w:t>
      </w:r>
      <w:r w:rsidR="001006D4" w:rsidRPr="00404A58">
        <w:t>once daily</w:t>
      </w:r>
      <w:r w:rsidRPr="00404A58">
        <w:t xml:space="preserve"> or 160 mg </w:t>
      </w:r>
      <w:r w:rsidR="001006D4" w:rsidRPr="00404A58">
        <w:t>twice daily</w:t>
      </w:r>
      <w:r w:rsidRPr="00404A58">
        <w:t xml:space="preserve">, but in a </w:t>
      </w:r>
      <w:proofErr w:type="gramStart"/>
      <w:r w:rsidRPr="00404A58">
        <w:t>protocol</w:t>
      </w:r>
      <w:proofErr w:type="gramEnd"/>
      <w:r w:rsidRPr="00404A58">
        <w:t xml:space="preserve"> modification was confined to 160 mg </w:t>
      </w:r>
      <w:r w:rsidR="001006D4" w:rsidRPr="00404A58">
        <w:t>twice daily</w:t>
      </w:r>
      <w:r w:rsidRPr="00404A58">
        <w:t xml:space="preserve"> for all new patients. Treatment with zanubrutinib continued until occurrence of unacceptable toxicities, disease progression, withdrawal of consent, investigator discretion, or a treatment delay of more than 28 days for unresolved toxicity.</w:t>
      </w:r>
    </w:p>
    <w:p w14:paraId="78ADF018" w14:textId="00D66196" w:rsidR="00B05276" w:rsidRPr="00404A58" w:rsidRDefault="00B05276" w:rsidP="00705C40">
      <w:r w:rsidRPr="00404A58">
        <w:t xml:space="preserve">At the data cut-off (13 December 2018), 37 patients with r/r MCL (Parts 1 and 2 combined) were enrolled and received </w:t>
      </w:r>
      <w:r w:rsidR="00F44161" w:rsidRPr="00404A58">
        <w:t>at least one</w:t>
      </w:r>
      <w:r w:rsidRPr="00404A58">
        <w:t xml:space="preserve"> dose of study drug. The starting dose for most patients was 160 mg </w:t>
      </w:r>
      <w:r w:rsidR="001006D4" w:rsidRPr="00404A58">
        <w:t>twice daily</w:t>
      </w:r>
      <w:r w:rsidRPr="00404A58">
        <w:t xml:space="preserve"> (14 patients </w:t>
      </w:r>
      <w:r w:rsidR="00DD4CC6" w:rsidRPr="00404A58">
        <w:t>(</w:t>
      </w:r>
      <w:r w:rsidRPr="00404A58">
        <w:t>37.8%</w:t>
      </w:r>
      <w:r w:rsidR="00DD4CC6" w:rsidRPr="00404A58">
        <w:t>)</w:t>
      </w:r>
      <w:r w:rsidRPr="00404A58">
        <w:t xml:space="preserve">) or 320 mg </w:t>
      </w:r>
      <w:r w:rsidR="001006D4" w:rsidRPr="00404A58">
        <w:t>once daily</w:t>
      </w:r>
      <w:r w:rsidRPr="00404A58">
        <w:t xml:space="preserve"> (18 patients </w:t>
      </w:r>
      <w:r w:rsidR="00DD4CC6" w:rsidRPr="00404A58">
        <w:t>(</w:t>
      </w:r>
      <w:r w:rsidRPr="00404A58">
        <w:t>48.6%</w:t>
      </w:r>
      <w:r w:rsidR="00DD4CC6" w:rsidRPr="00404A58">
        <w:t>)</w:t>
      </w:r>
      <w:r w:rsidRPr="00404A58">
        <w:t>), with the remaining 5 patients from Part 1 of the study started at 40</w:t>
      </w:r>
      <w:r w:rsidR="00035254" w:rsidRPr="00404A58">
        <w:t> </w:t>
      </w:r>
      <w:r w:rsidRPr="00404A58">
        <w:t xml:space="preserve">mg </w:t>
      </w:r>
      <w:r w:rsidR="001006D4" w:rsidRPr="00404A58">
        <w:t>once daily</w:t>
      </w:r>
      <w:r w:rsidRPr="00404A58">
        <w:t xml:space="preserve"> (n</w:t>
      </w:r>
      <w:r w:rsidR="00035254" w:rsidRPr="00404A58">
        <w:t xml:space="preserve"> </w:t>
      </w:r>
      <w:r w:rsidRPr="00404A58">
        <w:t>=</w:t>
      </w:r>
      <w:r w:rsidR="00035254" w:rsidRPr="00404A58">
        <w:t xml:space="preserve"> </w:t>
      </w:r>
      <w:r w:rsidRPr="00404A58">
        <w:t xml:space="preserve">1), 80 mg </w:t>
      </w:r>
      <w:r w:rsidR="001006D4" w:rsidRPr="00404A58">
        <w:t>once daily</w:t>
      </w:r>
      <w:r w:rsidRPr="00404A58">
        <w:t xml:space="preserve"> (n</w:t>
      </w:r>
      <w:r w:rsidR="00035254" w:rsidRPr="00404A58">
        <w:t xml:space="preserve"> </w:t>
      </w:r>
      <w:r w:rsidRPr="00404A58">
        <w:t>=</w:t>
      </w:r>
      <w:r w:rsidR="00035254" w:rsidRPr="00404A58">
        <w:t xml:space="preserve"> </w:t>
      </w:r>
      <w:r w:rsidRPr="00404A58">
        <w:t xml:space="preserve">2), or 160 mg </w:t>
      </w:r>
      <w:r w:rsidR="001006D4" w:rsidRPr="00404A58">
        <w:t>once daily</w:t>
      </w:r>
      <w:r w:rsidRPr="00404A58">
        <w:t xml:space="preserve"> (n</w:t>
      </w:r>
      <w:r w:rsidR="00035254" w:rsidRPr="00404A58">
        <w:t xml:space="preserve"> </w:t>
      </w:r>
      <w:r w:rsidRPr="00404A58">
        <w:t>=</w:t>
      </w:r>
      <w:r w:rsidR="00035254" w:rsidRPr="00404A58">
        <w:t xml:space="preserve"> </w:t>
      </w:r>
      <w:r w:rsidRPr="00404A58">
        <w:t>2).</w:t>
      </w:r>
    </w:p>
    <w:p w14:paraId="43E0C2B4" w14:textId="279D9A7F" w:rsidR="00B05276" w:rsidRPr="00404A58" w:rsidRDefault="00B05276" w:rsidP="00705C40">
      <w:r w:rsidRPr="00404A58">
        <w:t>The median age of r/r MCL patients was 70.0 years. Most were male (67.6%) and White (81.1%). The median time from initial diagnosis to onset of study treatment was 4.20</w:t>
      </w:r>
      <w:r w:rsidR="00035254" w:rsidRPr="00404A58">
        <w:t> </w:t>
      </w:r>
      <w:r w:rsidRPr="00404A58">
        <w:t>years.</w:t>
      </w:r>
    </w:p>
    <w:p w14:paraId="209A4224" w14:textId="5E88EE9B" w:rsidR="00B05276" w:rsidRPr="00404A58" w:rsidRDefault="00B05276" w:rsidP="00705C40">
      <w:r w:rsidRPr="00404A58">
        <w:t xml:space="preserve">The </w:t>
      </w:r>
      <w:r w:rsidR="00035254" w:rsidRPr="00404A58">
        <w:t xml:space="preserve">efficacy evaluable analysis set </w:t>
      </w:r>
      <w:r w:rsidRPr="00404A58">
        <w:t>included all MCL patients first dosed at least 12 weeks before the data cut-off date (13 December 2018).</w:t>
      </w:r>
    </w:p>
    <w:p w14:paraId="58E8353F" w14:textId="77777777" w:rsidR="00B05276" w:rsidRPr="00404A58" w:rsidRDefault="00B05276" w:rsidP="00BA351D">
      <w:pPr>
        <w:pStyle w:val="Heading6"/>
      </w:pPr>
      <w:r w:rsidRPr="00404A58">
        <w:t>Study endpoints</w:t>
      </w:r>
    </w:p>
    <w:p w14:paraId="5F4F8761" w14:textId="77CD4E76" w:rsidR="00B05276" w:rsidRPr="00404A58" w:rsidRDefault="00B05276" w:rsidP="004A2B72">
      <w:r w:rsidRPr="00404A58">
        <w:t>The primary efficacy endpoint was</w:t>
      </w:r>
      <w:bookmarkEnd w:id="56"/>
      <w:bookmarkEnd w:id="57"/>
      <w:r w:rsidRPr="00404A58">
        <w:t xml:space="preserve"> ORR by IRC. The secondary endpoints were IRC</w:t>
      </w:r>
      <w:r w:rsidR="00035254" w:rsidRPr="00404A58">
        <w:t xml:space="preserve"> </w:t>
      </w:r>
      <w:r w:rsidRPr="00404A58">
        <w:t xml:space="preserve">assessed CR rate, </w:t>
      </w:r>
      <w:r w:rsidR="0069053A" w:rsidRPr="00404A58">
        <w:t>DOR</w:t>
      </w:r>
      <w:r w:rsidRPr="00404A58">
        <w:t xml:space="preserve">, </w:t>
      </w:r>
      <w:r w:rsidR="0069053A" w:rsidRPr="00404A58">
        <w:t>TTR</w:t>
      </w:r>
      <w:r w:rsidRPr="00404A58">
        <w:t xml:space="preserve">, </w:t>
      </w:r>
      <w:r w:rsidR="0069053A" w:rsidRPr="00404A58">
        <w:t>PFS</w:t>
      </w:r>
      <w:r w:rsidRPr="00404A58">
        <w:t xml:space="preserve"> and </w:t>
      </w:r>
      <w:r w:rsidR="0069053A" w:rsidRPr="00404A58">
        <w:t>OS</w:t>
      </w:r>
      <w:r w:rsidRPr="00404A58">
        <w:t>. Endpoints assessed by investigator were also analysed. For the subset of patients with r/r MCL, response was evaluated using the Lugano classification for non</w:t>
      </w:r>
      <w:r w:rsidR="00035254" w:rsidRPr="00404A58">
        <w:noBreakHyphen/>
      </w:r>
      <w:r w:rsidRPr="00404A58">
        <w:t>Hodgkin lymphoma.</w:t>
      </w:r>
      <w:r w:rsidR="004A2B72" w:rsidRPr="00404A58">
        <w:rPr>
          <w:rStyle w:val="FootnoteReference"/>
        </w:rPr>
        <w:footnoteReference w:id="18"/>
      </w:r>
    </w:p>
    <w:p w14:paraId="090977BF" w14:textId="77777777" w:rsidR="00B05276" w:rsidRPr="00404A58" w:rsidRDefault="00B05276" w:rsidP="00BA351D">
      <w:pPr>
        <w:pStyle w:val="Heading6"/>
      </w:pPr>
      <w:r w:rsidRPr="00404A58">
        <w:t>Results</w:t>
      </w:r>
    </w:p>
    <w:p w14:paraId="4B439641" w14:textId="54DBC25D" w:rsidR="00B05276" w:rsidRPr="00404A58" w:rsidRDefault="00B05276" w:rsidP="00BA351D">
      <w:pPr>
        <w:pStyle w:val="Heading7"/>
        <w:rPr>
          <w:sz w:val="22"/>
          <w:szCs w:val="28"/>
        </w:rPr>
      </w:pPr>
      <w:r w:rsidRPr="00404A58">
        <w:rPr>
          <w:sz w:val="22"/>
          <w:szCs w:val="28"/>
        </w:rPr>
        <w:t>Primary endpoint</w:t>
      </w:r>
    </w:p>
    <w:p w14:paraId="7AE81A78" w14:textId="37DF6431" w:rsidR="00B05276" w:rsidRPr="00404A58" w:rsidRDefault="00404A58" w:rsidP="00705C40">
      <w:pPr>
        <w:pStyle w:val="ListBullet"/>
        <w:rPr>
          <w:lang w:eastAsia="ja-JP"/>
        </w:rPr>
      </w:pPr>
      <w:r w:rsidRPr="00404A58">
        <w:rPr>
          <w:lang w:eastAsia="ja-JP"/>
        </w:rPr>
        <w:t>Overall response rate (</w:t>
      </w:r>
      <w:r w:rsidR="00B05276" w:rsidRPr="00404A58">
        <w:rPr>
          <w:lang w:eastAsia="ja-JP"/>
        </w:rPr>
        <w:t>ORR</w:t>
      </w:r>
      <w:r w:rsidRPr="00404A58">
        <w:rPr>
          <w:lang w:eastAsia="ja-JP"/>
        </w:rPr>
        <w:t>)</w:t>
      </w:r>
      <w:r w:rsidR="00B05276" w:rsidRPr="00404A58">
        <w:rPr>
          <w:lang w:eastAsia="ja-JP"/>
        </w:rPr>
        <w:t xml:space="preserve"> by IRC was 81.1%. CR was 24.3% and PR was 56.8%.</w:t>
      </w:r>
    </w:p>
    <w:p w14:paraId="354C6C26" w14:textId="77777777" w:rsidR="00B05276" w:rsidRPr="00404A58" w:rsidRDefault="00B05276" w:rsidP="00BA351D">
      <w:pPr>
        <w:pStyle w:val="Heading7"/>
        <w:rPr>
          <w:sz w:val="22"/>
          <w:szCs w:val="28"/>
        </w:rPr>
      </w:pPr>
      <w:r w:rsidRPr="00404A58">
        <w:rPr>
          <w:sz w:val="22"/>
          <w:szCs w:val="28"/>
        </w:rPr>
        <w:lastRenderedPageBreak/>
        <w:t>Secondary endpoints:</w:t>
      </w:r>
    </w:p>
    <w:p w14:paraId="4FDDBFB3" w14:textId="1F7D5457" w:rsidR="00B05276" w:rsidRPr="00404A58" w:rsidRDefault="00B05276" w:rsidP="00705C40">
      <w:pPr>
        <w:pStyle w:val="ListBullet"/>
      </w:pPr>
      <w:r w:rsidRPr="00404A58">
        <w:t xml:space="preserve">Median DOR was 15.4 months and increased to 18.5 months using only data from patients who started on a total daily dose of 320 mg (160 mg </w:t>
      </w:r>
      <w:r w:rsidR="001006D4" w:rsidRPr="00404A58">
        <w:t>twice daily</w:t>
      </w:r>
      <w:r w:rsidRPr="00404A58">
        <w:t xml:space="preserve"> or 320 mg </w:t>
      </w:r>
      <w:r w:rsidR="001006D4" w:rsidRPr="00404A58">
        <w:t>once daily</w:t>
      </w:r>
      <w:r w:rsidRPr="00404A58">
        <w:t>). The estimated event</w:t>
      </w:r>
      <w:r w:rsidR="00035254" w:rsidRPr="00404A58">
        <w:t xml:space="preserve"> </w:t>
      </w:r>
      <w:r w:rsidRPr="00404A58">
        <w:t>free rate for patients who had achieved a response was 76.1% at 12 months after the start of the response.</w:t>
      </w:r>
    </w:p>
    <w:p w14:paraId="09102453" w14:textId="014D088F" w:rsidR="00B05276" w:rsidRPr="00404A58" w:rsidRDefault="00B05276" w:rsidP="00705C40">
      <w:pPr>
        <w:pStyle w:val="ListBullet"/>
      </w:pPr>
      <w:r w:rsidRPr="00404A58">
        <w:t xml:space="preserve">Median </w:t>
      </w:r>
      <w:r w:rsidR="0069053A" w:rsidRPr="00404A58">
        <w:t>TTR</w:t>
      </w:r>
      <w:r w:rsidRPr="00404A58">
        <w:t xml:space="preserve"> was 2.7 months and the median time to CR was 5.4 months.</w:t>
      </w:r>
    </w:p>
    <w:p w14:paraId="4B4E4604" w14:textId="338EE108" w:rsidR="00B05276" w:rsidRPr="00404A58" w:rsidRDefault="00B05276" w:rsidP="00705C40">
      <w:pPr>
        <w:pStyle w:val="ListBullet"/>
      </w:pPr>
      <w:r w:rsidRPr="00404A58">
        <w:t>Median PFS by IRC was 17.3 months and increased to 21.1 months using only data from patients who started on a total daily dose of 320 mg. The estimated PFS event</w:t>
      </w:r>
      <w:r w:rsidR="00035254" w:rsidRPr="00404A58">
        <w:t xml:space="preserve"> </w:t>
      </w:r>
      <w:r w:rsidRPr="00404A58">
        <w:t>free rates (progression or death) were 71.3% and 64.2% at 12 and 15 months, respectively.</w:t>
      </w:r>
    </w:p>
    <w:p w14:paraId="14E0D455" w14:textId="77777777" w:rsidR="00B05276" w:rsidRPr="00404A58" w:rsidRDefault="00B05276" w:rsidP="00705C40">
      <w:pPr>
        <w:pStyle w:val="ListBullet"/>
      </w:pPr>
      <w:r w:rsidRPr="00404A58">
        <w:t>Median OS was estimated at 27.2 months. OS was 88.6% at 9 months and 82.6% at 12 and 15 months.</w:t>
      </w:r>
    </w:p>
    <w:p w14:paraId="103E824B" w14:textId="74ECAE64" w:rsidR="00B05276" w:rsidRPr="00404A58" w:rsidRDefault="00B05276" w:rsidP="00705C40">
      <w:r w:rsidRPr="00404A58">
        <w:t xml:space="preserve">Endpoints assessed by </w:t>
      </w:r>
      <w:r w:rsidR="00953790" w:rsidRPr="00404A58">
        <w:t>investigator</w:t>
      </w:r>
      <w:r w:rsidRPr="00404A58">
        <w:t xml:space="preserve"> yielded results consistent with those assessed by IRC.</w:t>
      </w:r>
    </w:p>
    <w:p w14:paraId="491940AD" w14:textId="0B5BC913" w:rsidR="00B05276" w:rsidRPr="00404A58" w:rsidRDefault="00B05276" w:rsidP="00705C40">
      <w:r w:rsidRPr="00404A58">
        <w:t xml:space="preserve">Comparing 160 mg </w:t>
      </w:r>
      <w:r w:rsidR="001006D4" w:rsidRPr="00404A58">
        <w:t>twice daily</w:t>
      </w:r>
      <w:r w:rsidRPr="00404A58">
        <w:t xml:space="preserve"> and 320 mg </w:t>
      </w:r>
      <w:r w:rsidR="001006D4" w:rsidRPr="00404A58">
        <w:t>once daily</w:t>
      </w:r>
      <w:r w:rsidRPr="00404A58">
        <w:t>, the ORR (85.7% versus 83.3%, respectively) and CR (28.6% versus 22.2%, respectively</w:t>
      </w:r>
      <w:r w:rsidR="00035254" w:rsidRPr="00404A58">
        <w:t>)</w:t>
      </w:r>
      <w:r w:rsidRPr="00404A58">
        <w:t xml:space="preserve"> were similar.</w:t>
      </w:r>
    </w:p>
    <w:p w14:paraId="68D306FC" w14:textId="77777777" w:rsidR="00B05276" w:rsidRPr="00404A58" w:rsidRDefault="00B05276" w:rsidP="00705C40">
      <w:pPr>
        <w:pStyle w:val="Heading4"/>
      </w:pPr>
      <w:r w:rsidRPr="00404A58">
        <w:t>Safety</w:t>
      </w:r>
    </w:p>
    <w:p w14:paraId="02BFDF19" w14:textId="72D8F254" w:rsidR="00B05276" w:rsidRPr="00404A58" w:rsidRDefault="00B05276" w:rsidP="00705C40">
      <w:r w:rsidRPr="00404A58">
        <w:t xml:space="preserve">Safety data were presented from </w:t>
      </w:r>
      <w:r w:rsidR="00035254" w:rsidRPr="00404A58">
        <w:t xml:space="preserve">Studies </w:t>
      </w:r>
      <w:r w:rsidR="004A1542" w:rsidRPr="00404A58">
        <w:t>BGB-311</w:t>
      </w:r>
      <w:r w:rsidR="000B7A29">
        <w:t>1</w:t>
      </w:r>
      <w:r w:rsidR="004A1542" w:rsidRPr="00404A58">
        <w:t>-206</w:t>
      </w:r>
      <w:r w:rsidRPr="00404A58">
        <w:t xml:space="preserve"> and </w:t>
      </w:r>
      <w:r w:rsidR="001006D4" w:rsidRPr="00404A58">
        <w:t>BGB-3111-AU-003</w:t>
      </w:r>
      <w:r w:rsidRPr="00404A58">
        <w:t xml:space="preserve">, and from </w:t>
      </w:r>
      <w:r w:rsidR="00035254" w:rsidRPr="00404A58">
        <w:t xml:space="preserve">Studies </w:t>
      </w:r>
      <w:r w:rsidRPr="00404A58">
        <w:t xml:space="preserve">BGB-3111-1002 </w:t>
      </w:r>
      <w:r w:rsidR="00DD4CC6" w:rsidRPr="00404A58">
        <w:t>(</w:t>
      </w:r>
      <w:r w:rsidRPr="00404A58">
        <w:t xml:space="preserve">Phase </w:t>
      </w:r>
      <w:r w:rsidR="00E12254" w:rsidRPr="00404A58">
        <w:t>I</w:t>
      </w:r>
      <w:r w:rsidRPr="00404A58">
        <w:t xml:space="preserve"> study in patients with B-cell malignancies</w:t>
      </w:r>
      <w:r w:rsidR="00DD4CC6" w:rsidRPr="00404A58">
        <w:t>)</w:t>
      </w:r>
      <w:r w:rsidRPr="00404A58">
        <w:t>, BGB</w:t>
      </w:r>
      <w:r w:rsidR="00035254" w:rsidRPr="00404A58">
        <w:noBreakHyphen/>
      </w:r>
      <w:r w:rsidRPr="00404A58">
        <w:t>3111</w:t>
      </w:r>
      <w:r w:rsidR="00035254" w:rsidRPr="00404A58">
        <w:noBreakHyphen/>
      </w:r>
      <w:r w:rsidRPr="00404A58">
        <w:t xml:space="preserve">205 </w:t>
      </w:r>
      <w:r w:rsidR="00DD4CC6" w:rsidRPr="00404A58">
        <w:t>(</w:t>
      </w:r>
      <w:r w:rsidRPr="00404A58">
        <w:t xml:space="preserve">Phase </w:t>
      </w:r>
      <w:r w:rsidR="00E12254" w:rsidRPr="00404A58">
        <w:t>II</w:t>
      </w:r>
      <w:r w:rsidRPr="00404A58">
        <w:t>, single</w:t>
      </w:r>
      <w:r w:rsidR="00035254" w:rsidRPr="00404A58">
        <w:t xml:space="preserve"> </w:t>
      </w:r>
      <w:r w:rsidRPr="00404A58">
        <w:t>arm, open</w:t>
      </w:r>
      <w:r w:rsidR="00035254" w:rsidRPr="00404A58">
        <w:t xml:space="preserve"> </w:t>
      </w:r>
      <w:r w:rsidRPr="00404A58">
        <w:t>label study in patients with relapsed or refractory chronic lymphocytic leukaemia/small lymphocytic lymphoma</w:t>
      </w:r>
      <w:r w:rsidR="00DD4CC6" w:rsidRPr="00404A58">
        <w:t>)</w:t>
      </w:r>
      <w:r w:rsidRPr="00404A58">
        <w:t>, and BGB</w:t>
      </w:r>
      <w:r w:rsidR="00035254" w:rsidRPr="00404A58">
        <w:noBreakHyphen/>
      </w:r>
      <w:r w:rsidRPr="00404A58">
        <w:t>3111</w:t>
      </w:r>
      <w:r w:rsidR="00035254" w:rsidRPr="00404A58">
        <w:noBreakHyphen/>
      </w:r>
      <w:r w:rsidRPr="00404A58">
        <w:t xml:space="preserve">210 </w:t>
      </w:r>
      <w:r w:rsidR="00DD4CC6" w:rsidRPr="00404A58">
        <w:t>(</w:t>
      </w:r>
      <w:r w:rsidRPr="00404A58">
        <w:t xml:space="preserve">Phase </w:t>
      </w:r>
      <w:r w:rsidR="00E12254" w:rsidRPr="00404A58">
        <w:t>II</w:t>
      </w:r>
      <w:r w:rsidRPr="00404A58">
        <w:t>, single</w:t>
      </w:r>
      <w:r w:rsidR="00035254" w:rsidRPr="00404A58">
        <w:t xml:space="preserve"> </w:t>
      </w:r>
      <w:r w:rsidRPr="00404A58">
        <w:t>arm, open</w:t>
      </w:r>
      <w:r w:rsidR="00035254" w:rsidRPr="00404A58">
        <w:t xml:space="preserve"> </w:t>
      </w:r>
      <w:r w:rsidRPr="00404A58">
        <w:t xml:space="preserve">label study in Chinese patients with relapsed or refractory </w:t>
      </w:r>
      <w:proofErr w:type="spellStart"/>
      <w:r w:rsidR="00727637" w:rsidRPr="00727637">
        <w:t>Waldenstorm's</w:t>
      </w:r>
      <w:proofErr w:type="spellEnd"/>
      <w:r w:rsidR="00727637" w:rsidRPr="00727637">
        <w:t xml:space="preserve"> </w:t>
      </w:r>
      <w:proofErr w:type="spellStart"/>
      <w:r w:rsidR="00727637" w:rsidRPr="00727637">
        <w:t>macroglobulin</w:t>
      </w:r>
      <w:r w:rsidR="00727637">
        <w:t>a</w:t>
      </w:r>
      <w:r w:rsidR="00727637" w:rsidRPr="00727637">
        <w:t>emia</w:t>
      </w:r>
      <w:proofErr w:type="spellEnd"/>
      <w:r w:rsidR="00727637">
        <w:t xml:space="preserve"> (</w:t>
      </w:r>
      <w:r w:rsidRPr="00404A58">
        <w:t>WM</w:t>
      </w:r>
      <w:r w:rsidR="00727637">
        <w:t>)</w:t>
      </w:r>
      <w:r w:rsidR="00DD4CC6" w:rsidRPr="00404A58">
        <w:t>)</w:t>
      </w:r>
      <w:r w:rsidRPr="00404A58">
        <w:t>.</w:t>
      </w:r>
    </w:p>
    <w:p w14:paraId="15DE64A0" w14:textId="7CC97914" w:rsidR="00B05276" w:rsidRPr="00404A58" w:rsidRDefault="00B05276" w:rsidP="00705C40">
      <w:bookmarkStart w:id="58" w:name="_Toc241374318"/>
      <w:bookmarkStart w:id="59" w:name="_Ref271196630"/>
      <w:bookmarkStart w:id="60" w:name="_Toc272414662"/>
      <w:bookmarkStart w:id="61" w:name="_Toc290888526"/>
      <w:bookmarkStart w:id="62" w:name="_Toc416353742"/>
      <w:bookmarkStart w:id="63" w:name="_Toc421005285"/>
      <w:bookmarkStart w:id="64" w:name="_Toc432079162"/>
      <w:bookmarkStart w:id="65" w:name="_Toc432080735"/>
      <w:bookmarkStart w:id="66" w:name="_Toc57645505"/>
      <w:r w:rsidRPr="00404A58">
        <w:t>In the safety data set the median duration of zanubrutinib treatment was 15.41 months for r/r MCL patients and 11.01 months overall for MCL patients (</w:t>
      </w:r>
      <w:r w:rsidR="00DD4CC6" w:rsidRPr="00404A58">
        <w:t>that is,</w:t>
      </w:r>
      <w:r w:rsidRPr="00404A58">
        <w:t xml:space="preserve"> r/r and treatment</w:t>
      </w:r>
      <w:r w:rsidR="00035254" w:rsidRPr="00404A58">
        <w:t xml:space="preserve"> </w:t>
      </w:r>
      <w:r w:rsidRPr="00404A58">
        <w:t xml:space="preserve">naïve MCL patients). In </w:t>
      </w:r>
      <w:r w:rsidR="00F171FC" w:rsidRPr="00404A58">
        <w:t>Study</w:t>
      </w:r>
      <w:r w:rsidRPr="00404A58">
        <w:t xml:space="preserve"> </w:t>
      </w:r>
      <w:r w:rsidR="001006D4" w:rsidRPr="00404A58">
        <w:t>BGB-3111-AU-003</w:t>
      </w:r>
      <w:r w:rsidRPr="00404A58">
        <w:t xml:space="preserve"> Part 1 the median treatment duration was 30.88 months.</w:t>
      </w:r>
    </w:p>
    <w:p w14:paraId="0FC71DDB" w14:textId="318E161F" w:rsidR="00B05276" w:rsidRPr="00404A58" w:rsidRDefault="00B05276" w:rsidP="00705C40">
      <w:r w:rsidRPr="00404A58">
        <w:t xml:space="preserve">Safety data from </w:t>
      </w:r>
      <w:r w:rsidR="00F171FC" w:rsidRPr="00404A58">
        <w:t>Stud</w:t>
      </w:r>
      <w:r w:rsidR="00035254" w:rsidRPr="00404A58">
        <w:t>ies</w:t>
      </w:r>
      <w:r w:rsidRPr="00404A58">
        <w:t xml:space="preserve"> </w:t>
      </w:r>
      <w:r w:rsidR="004A1542" w:rsidRPr="00404A58">
        <w:t>BGB-311</w:t>
      </w:r>
      <w:r w:rsidR="000B7A29">
        <w:t>1</w:t>
      </w:r>
      <w:r w:rsidR="004A1542" w:rsidRPr="00404A58">
        <w:t>-206</w:t>
      </w:r>
      <w:r w:rsidRPr="00404A58">
        <w:t xml:space="preserve"> and </w:t>
      </w:r>
      <w:r w:rsidR="001006D4" w:rsidRPr="00404A58">
        <w:t>BGB-3111-AU-003</w:t>
      </w:r>
      <w:r w:rsidRPr="00404A58">
        <w:t xml:space="preserve"> were presented separately.</w:t>
      </w:r>
    </w:p>
    <w:p w14:paraId="64D108DD" w14:textId="32F36D84" w:rsidR="00B05276" w:rsidRPr="00404A58" w:rsidRDefault="00B05276" w:rsidP="00705C40">
      <w:pPr>
        <w:pStyle w:val="Heading5"/>
        <w:rPr>
          <w:lang w:eastAsia="ja-JP"/>
        </w:rPr>
      </w:pPr>
      <w:r w:rsidRPr="00404A58">
        <w:rPr>
          <w:lang w:eastAsia="ja-JP"/>
        </w:rPr>
        <w:t xml:space="preserve">Study </w:t>
      </w:r>
      <w:r w:rsidR="004A1542" w:rsidRPr="00404A58">
        <w:rPr>
          <w:lang w:eastAsia="ja-JP"/>
        </w:rPr>
        <w:t>BGB-311</w:t>
      </w:r>
      <w:r w:rsidR="000B7A29">
        <w:rPr>
          <w:lang w:eastAsia="ja-JP"/>
        </w:rPr>
        <w:t>1</w:t>
      </w:r>
      <w:r w:rsidR="004A1542" w:rsidRPr="00404A58">
        <w:rPr>
          <w:lang w:eastAsia="ja-JP"/>
        </w:rPr>
        <w:t>-206</w:t>
      </w:r>
    </w:p>
    <w:bookmarkEnd w:id="58"/>
    <w:bookmarkEnd w:id="59"/>
    <w:bookmarkEnd w:id="60"/>
    <w:bookmarkEnd w:id="61"/>
    <w:bookmarkEnd w:id="62"/>
    <w:bookmarkEnd w:id="63"/>
    <w:bookmarkEnd w:id="64"/>
    <w:bookmarkEnd w:id="65"/>
    <w:bookmarkEnd w:id="66"/>
    <w:p w14:paraId="424DE9DD" w14:textId="354340E4" w:rsidR="00B05276" w:rsidRPr="00404A58" w:rsidRDefault="00B05276" w:rsidP="00705C40">
      <w:pPr>
        <w:pStyle w:val="ListBullet"/>
      </w:pPr>
      <w:r w:rsidRPr="00404A58">
        <w:t xml:space="preserve">96.5% had an </w:t>
      </w:r>
      <w:r w:rsidR="0069053A" w:rsidRPr="00404A58">
        <w:t>adverse event (</w:t>
      </w:r>
      <w:r w:rsidRPr="00404A58">
        <w:t>AE</w:t>
      </w:r>
      <w:r w:rsidR="0069053A" w:rsidRPr="00404A58">
        <w:t>)</w:t>
      </w:r>
      <w:r w:rsidRPr="00404A58">
        <w:t>; most commonly neutrophil count decreased (44.2%), upper respiratory tract infection (34.9%), rash (33.7%), and white blood cell count decreased (31.4%).</w:t>
      </w:r>
    </w:p>
    <w:p w14:paraId="4211AC7C" w14:textId="449A58A5" w:rsidR="00B05276" w:rsidRPr="00404A58" w:rsidRDefault="00B05276" w:rsidP="00705C40">
      <w:pPr>
        <w:pStyle w:val="ListBullet"/>
      </w:pPr>
      <w:r w:rsidRPr="00404A58">
        <w:t xml:space="preserve">89.5% of patients had </w:t>
      </w:r>
      <w:r w:rsidR="00F44161" w:rsidRPr="00404A58">
        <w:t>at least</w:t>
      </w:r>
      <w:r w:rsidRPr="00404A58">
        <w:t xml:space="preserve"> </w:t>
      </w:r>
      <w:r w:rsidR="00035254" w:rsidRPr="00404A58">
        <w:t>one</w:t>
      </w:r>
      <w:r w:rsidRPr="00404A58">
        <w:t xml:space="preserve"> treatment</w:t>
      </w:r>
      <w:r w:rsidR="00035254" w:rsidRPr="00404A58">
        <w:t xml:space="preserve"> </w:t>
      </w:r>
      <w:r w:rsidRPr="00404A58">
        <w:t xml:space="preserve">related AE; </w:t>
      </w:r>
      <w:proofErr w:type="gramStart"/>
      <w:r w:rsidRPr="00404A58">
        <w:t>most commonly reported</w:t>
      </w:r>
      <w:proofErr w:type="gramEnd"/>
      <w:r w:rsidRPr="00404A58">
        <w:t xml:space="preserve"> neutrophil count decreased (43.0%), white blood cell count decreased (29.1%) and rash (27.9%).</w:t>
      </w:r>
    </w:p>
    <w:p w14:paraId="3B12EBC9" w14:textId="547C30CF" w:rsidR="00B05276" w:rsidRPr="00404A58" w:rsidRDefault="00B05276" w:rsidP="00705C40">
      <w:pPr>
        <w:pStyle w:val="ListBullet"/>
      </w:pPr>
      <w:r w:rsidRPr="00404A58">
        <w:t xml:space="preserve">16.3% (14/86) patients died, most commonly cause due </w:t>
      </w:r>
      <w:bookmarkStart w:id="67" w:name="_Toc241374325"/>
      <w:bookmarkStart w:id="68" w:name="_Ref272333477"/>
      <w:bookmarkStart w:id="69" w:name="_Toc272414667"/>
      <w:bookmarkStart w:id="70" w:name="_Toc290888531"/>
      <w:bookmarkStart w:id="71" w:name="_Toc416353747"/>
      <w:bookmarkStart w:id="72" w:name="_Toc421005290"/>
      <w:bookmarkStart w:id="73" w:name="_Toc432079167"/>
      <w:bookmarkStart w:id="74" w:name="_Toc432080740"/>
      <w:r w:rsidRPr="00404A58">
        <w:t xml:space="preserve">to </w:t>
      </w:r>
      <w:r w:rsidR="0069053A" w:rsidRPr="00404A58">
        <w:t>AE</w:t>
      </w:r>
      <w:r w:rsidRPr="00404A58">
        <w:t xml:space="preserve">s (8.1% </w:t>
      </w:r>
      <w:r w:rsidR="00DD4CC6" w:rsidRPr="00404A58">
        <w:t>(</w:t>
      </w:r>
      <w:r w:rsidRPr="00404A58">
        <w:t>7/86</w:t>
      </w:r>
      <w:r w:rsidR="00DD4CC6" w:rsidRPr="00404A58">
        <w:t>)</w:t>
      </w:r>
      <w:r w:rsidRPr="00404A58">
        <w:t>) but with no consistent pattern.</w:t>
      </w:r>
      <w:bookmarkEnd w:id="67"/>
      <w:bookmarkEnd w:id="68"/>
      <w:bookmarkEnd w:id="69"/>
      <w:bookmarkEnd w:id="70"/>
      <w:bookmarkEnd w:id="71"/>
      <w:bookmarkEnd w:id="72"/>
      <w:bookmarkEnd w:id="73"/>
      <w:bookmarkEnd w:id="74"/>
    </w:p>
    <w:p w14:paraId="5FEC5695" w14:textId="3CF5A708" w:rsidR="00B05276" w:rsidRPr="00404A58" w:rsidRDefault="00B05276" w:rsidP="00705C40">
      <w:pPr>
        <w:pStyle w:val="ListBullet"/>
      </w:pPr>
      <w:r w:rsidRPr="00404A58">
        <w:t xml:space="preserve">24.4% of patients had </w:t>
      </w:r>
      <w:r w:rsidR="00F44161" w:rsidRPr="00404A58">
        <w:t>at least one</w:t>
      </w:r>
      <w:r w:rsidR="0069053A" w:rsidRPr="00404A58">
        <w:t xml:space="preserve"> serious adverse event</w:t>
      </w:r>
      <w:r w:rsidRPr="00404A58">
        <w:t xml:space="preserve"> </w:t>
      </w:r>
      <w:r w:rsidR="0069053A" w:rsidRPr="00404A58">
        <w:t>(</w:t>
      </w:r>
      <w:r w:rsidRPr="00404A58">
        <w:t>SAE</w:t>
      </w:r>
      <w:r w:rsidR="0069053A" w:rsidRPr="00404A58">
        <w:t>)</w:t>
      </w:r>
      <w:r w:rsidRPr="00404A58">
        <w:t>, most commonly lung infection (8.1%</w:t>
      </w:r>
      <w:r w:rsidR="00F44161" w:rsidRPr="00404A58">
        <w:t xml:space="preserve"> (</w:t>
      </w:r>
      <w:r w:rsidRPr="00404A58">
        <w:t>7/86</w:t>
      </w:r>
      <w:r w:rsidR="00F44161" w:rsidRPr="00404A58">
        <w:t>)</w:t>
      </w:r>
      <w:r w:rsidRPr="00404A58">
        <w:t>).</w:t>
      </w:r>
    </w:p>
    <w:p w14:paraId="08C286CC" w14:textId="2EE2EF52" w:rsidR="00B05276" w:rsidRPr="00404A58" w:rsidRDefault="00B05276" w:rsidP="00705C40">
      <w:pPr>
        <w:pStyle w:val="ListBullet"/>
      </w:pPr>
      <w:r w:rsidRPr="00404A58">
        <w:t xml:space="preserve">9.3% of patients had AEs led to treatment discontinuation, although no event was reported in </w:t>
      </w:r>
      <w:r w:rsidR="00F44161" w:rsidRPr="00404A58">
        <w:t>more than one</w:t>
      </w:r>
      <w:r w:rsidRPr="00404A58">
        <w:t xml:space="preserve"> patient.</w:t>
      </w:r>
      <w:bookmarkStart w:id="75" w:name="_Toc272414672"/>
      <w:bookmarkStart w:id="76" w:name="_Toc290888536"/>
      <w:bookmarkStart w:id="77" w:name="_Toc416353752"/>
      <w:bookmarkStart w:id="78" w:name="_Toc421005295"/>
      <w:bookmarkStart w:id="79" w:name="_Toc432079172"/>
      <w:bookmarkStart w:id="80" w:name="_Toc432080745"/>
    </w:p>
    <w:p w14:paraId="29B9EC78" w14:textId="2CF3F7F9" w:rsidR="00B05276" w:rsidRPr="00404A58" w:rsidRDefault="00B05276" w:rsidP="00705C40">
      <w:pPr>
        <w:pStyle w:val="ListBullet"/>
      </w:pPr>
      <w:r w:rsidRPr="00404A58">
        <w:t>No patients had atrial fibrillation</w:t>
      </w:r>
      <w:r w:rsidR="00F44161" w:rsidRPr="00404A58">
        <w:t xml:space="preserve"> or </w:t>
      </w:r>
      <w:r w:rsidRPr="00404A58">
        <w:t>flutter</w:t>
      </w:r>
      <w:r w:rsidR="00F44161" w:rsidRPr="00404A58">
        <w:t>.</w:t>
      </w:r>
    </w:p>
    <w:p w14:paraId="5CB17F73" w14:textId="5903F2A6" w:rsidR="00B05276" w:rsidRPr="00404A58" w:rsidRDefault="00B05276" w:rsidP="00705C40">
      <w:pPr>
        <w:pStyle w:val="ListBullet"/>
      </w:pPr>
      <w:r w:rsidRPr="00404A58">
        <w:t xml:space="preserve">Haemorrhage was reported in 25.6%; </w:t>
      </w:r>
      <w:proofErr w:type="gramStart"/>
      <w:r w:rsidRPr="00404A58">
        <w:t>most commonly reported</w:t>
      </w:r>
      <w:proofErr w:type="gramEnd"/>
      <w:r w:rsidRPr="00404A58">
        <w:t xml:space="preserve"> blood urine present, haematuria, and petechiae</w:t>
      </w:r>
      <w:r w:rsidR="00F44161" w:rsidRPr="00404A58">
        <w:t xml:space="preserve">, </w:t>
      </w:r>
      <w:r w:rsidRPr="00404A58">
        <w:t>purpura</w:t>
      </w:r>
      <w:r w:rsidR="00F44161" w:rsidRPr="00404A58">
        <w:t xml:space="preserve"> or </w:t>
      </w:r>
      <w:r w:rsidRPr="00404A58">
        <w:t xml:space="preserve">contusion (4 </w:t>
      </w:r>
      <w:r w:rsidR="00DD4CC6" w:rsidRPr="00404A58">
        <w:t>(</w:t>
      </w:r>
      <w:r w:rsidRPr="00404A58">
        <w:t>4.7%</w:t>
      </w:r>
      <w:r w:rsidR="00DD4CC6" w:rsidRPr="00404A58">
        <w:t>)</w:t>
      </w:r>
      <w:r w:rsidRPr="00404A58">
        <w:t xml:space="preserve"> patients each). Major haemorrhage was reported in 3.5% (3/86). No events were fatal</w:t>
      </w:r>
      <w:r w:rsidR="00F44161" w:rsidRPr="00404A58">
        <w:t>.</w:t>
      </w:r>
    </w:p>
    <w:p w14:paraId="20734009" w14:textId="0780C065" w:rsidR="00B05276" w:rsidRPr="00404A58" w:rsidRDefault="00B05276" w:rsidP="00705C40">
      <w:pPr>
        <w:pStyle w:val="ListBullet"/>
      </w:pPr>
      <w:r w:rsidRPr="00404A58">
        <w:lastRenderedPageBreak/>
        <w:t>No second primary malignancies were reported</w:t>
      </w:r>
      <w:r w:rsidR="00F44161" w:rsidRPr="00404A58">
        <w:t>.</w:t>
      </w:r>
    </w:p>
    <w:p w14:paraId="006C6A45" w14:textId="54681DC2" w:rsidR="00B05276" w:rsidRPr="00404A58" w:rsidRDefault="00B05276" w:rsidP="00705C40">
      <w:pPr>
        <w:pStyle w:val="ListBullet"/>
      </w:pPr>
      <w:r w:rsidRPr="00404A58">
        <w:t xml:space="preserve">61.6% of patients had </w:t>
      </w:r>
      <w:r w:rsidR="00F44161" w:rsidRPr="00404A58">
        <w:t>at least one</w:t>
      </w:r>
      <w:r w:rsidRPr="00404A58">
        <w:t xml:space="preserve"> infection, most commonly upper respiratory tract infection (34.9%). 14.0% had an SAE of infections (12/86; lung infection </w:t>
      </w:r>
      <w:r w:rsidR="00DD4CC6" w:rsidRPr="00404A58">
        <w:t>(</w:t>
      </w:r>
      <w:r w:rsidRPr="00404A58">
        <w:t>7 patients</w:t>
      </w:r>
      <w:r w:rsidR="00DD4CC6" w:rsidRPr="00404A58">
        <w:t>)</w:t>
      </w:r>
      <w:r w:rsidRPr="00404A58">
        <w:t xml:space="preserve">, pneumonia </w:t>
      </w:r>
      <w:r w:rsidR="00DD4CC6" w:rsidRPr="00404A58">
        <w:t>(</w:t>
      </w:r>
      <w:r w:rsidRPr="00404A58">
        <w:t>2 patients</w:t>
      </w:r>
      <w:r w:rsidR="00DD4CC6" w:rsidRPr="00404A58">
        <w:t>)</w:t>
      </w:r>
      <w:r w:rsidRPr="00404A58">
        <w:t xml:space="preserve">, infection, pneumonia fungal, and urinary tract infection </w:t>
      </w:r>
      <w:r w:rsidR="00DD4CC6" w:rsidRPr="00404A58">
        <w:t>(</w:t>
      </w:r>
      <w:r w:rsidR="00F44161" w:rsidRPr="00404A58">
        <w:t>one</w:t>
      </w:r>
      <w:r w:rsidRPr="00404A58">
        <w:t xml:space="preserve"> patient each</w:t>
      </w:r>
      <w:r w:rsidR="00DD4CC6" w:rsidRPr="00404A58">
        <w:t>)</w:t>
      </w:r>
      <w:r w:rsidRPr="00404A58">
        <w:t>). There were no opportunistic infections.</w:t>
      </w:r>
    </w:p>
    <w:p w14:paraId="5A359A1A" w14:textId="5C40A42E" w:rsidR="00B05276" w:rsidRPr="00404A58" w:rsidRDefault="00B05276" w:rsidP="00705C40">
      <w:pPr>
        <w:pStyle w:val="ListBullet"/>
      </w:pPr>
      <w:r w:rsidRPr="00404A58">
        <w:t>Grade 3 or 4 anaemia, leu</w:t>
      </w:r>
      <w:r w:rsidR="00A9771D">
        <w:t>k</w:t>
      </w:r>
      <w:r w:rsidRPr="00404A58">
        <w:t>openia, neutropenia, and thrombocytopenia were 7.0%, 9.3%, 19.8% and 4.7%, respectively</w:t>
      </w:r>
    </w:p>
    <w:bookmarkEnd w:id="75"/>
    <w:bookmarkEnd w:id="76"/>
    <w:bookmarkEnd w:id="77"/>
    <w:bookmarkEnd w:id="78"/>
    <w:bookmarkEnd w:id="79"/>
    <w:bookmarkEnd w:id="80"/>
    <w:p w14:paraId="5565CAC3" w14:textId="08B58394" w:rsidR="00B05276" w:rsidRPr="00404A58" w:rsidRDefault="001006D4" w:rsidP="00705C40">
      <w:pPr>
        <w:pStyle w:val="Heading5"/>
        <w:rPr>
          <w:lang w:eastAsia="ja-JP"/>
        </w:rPr>
      </w:pPr>
      <w:r w:rsidRPr="00404A58">
        <w:rPr>
          <w:lang w:eastAsia="ja-JP"/>
        </w:rPr>
        <w:t>Study BGB-3111-AU-003</w:t>
      </w:r>
      <w:r w:rsidR="00B05276" w:rsidRPr="00404A58">
        <w:rPr>
          <w:lang w:eastAsia="ja-JP"/>
        </w:rPr>
        <w:t xml:space="preserve"> (</w:t>
      </w:r>
      <w:r w:rsidR="000F3969" w:rsidRPr="00404A58">
        <w:rPr>
          <w:lang w:eastAsia="ja-JP"/>
        </w:rPr>
        <w:t>relapsed or refractory</w:t>
      </w:r>
      <w:r w:rsidR="00B05276" w:rsidRPr="00404A58">
        <w:rPr>
          <w:lang w:eastAsia="ja-JP"/>
        </w:rPr>
        <w:t xml:space="preserve"> </w:t>
      </w:r>
      <w:r w:rsidR="000F3969" w:rsidRPr="00404A58">
        <w:rPr>
          <w:lang w:eastAsia="ja-JP"/>
        </w:rPr>
        <w:t xml:space="preserve">mantle cell lymphoma </w:t>
      </w:r>
      <w:r w:rsidR="00B05276" w:rsidRPr="00404A58">
        <w:rPr>
          <w:lang w:eastAsia="ja-JP"/>
        </w:rPr>
        <w:t>patient cohort)</w:t>
      </w:r>
    </w:p>
    <w:p w14:paraId="3D206EAF" w14:textId="77777777" w:rsidR="00B05276" w:rsidRPr="00404A58" w:rsidRDefault="00B05276" w:rsidP="00705C40">
      <w:pPr>
        <w:pStyle w:val="ListBullet"/>
      </w:pPr>
      <w:r w:rsidRPr="00404A58">
        <w:t>97.3% had an AE was 97.3%; most commonly diarrhoea (40.5%), contusion (37.8%), and upper respiratory tract infection and constipation (each 29.7%).</w:t>
      </w:r>
    </w:p>
    <w:p w14:paraId="2043133B" w14:textId="34319411" w:rsidR="00B05276" w:rsidRPr="00404A58" w:rsidRDefault="00B05276" w:rsidP="00705C40">
      <w:pPr>
        <w:pStyle w:val="ListBullet"/>
      </w:pPr>
      <w:r w:rsidRPr="00404A58">
        <w:t xml:space="preserve">73.0% had </w:t>
      </w:r>
      <w:r w:rsidR="00F44161" w:rsidRPr="00404A58">
        <w:t>at least one</w:t>
      </w:r>
      <w:r w:rsidRPr="00404A58">
        <w:t xml:space="preserve"> treatment</w:t>
      </w:r>
      <w:r w:rsidR="00F44161" w:rsidRPr="00404A58">
        <w:t xml:space="preserve"> </w:t>
      </w:r>
      <w:r w:rsidRPr="00404A58">
        <w:t>related AE; most commonly contusion (21.6%), fatigue (13.5%), and diarrhoea (10.8%).</w:t>
      </w:r>
    </w:p>
    <w:p w14:paraId="4845883D" w14:textId="77777777" w:rsidR="00B05276" w:rsidRPr="00404A58" w:rsidRDefault="00B05276" w:rsidP="00705C40">
      <w:pPr>
        <w:pStyle w:val="ListBullet"/>
      </w:pPr>
      <w:r w:rsidRPr="00404A58">
        <w:t>43.2% died; most commonly due to disease progression (27.0%).</w:t>
      </w:r>
    </w:p>
    <w:p w14:paraId="2E8862C7" w14:textId="299CEE55" w:rsidR="00B05276" w:rsidRPr="00404A58" w:rsidRDefault="00B05276" w:rsidP="00705C40">
      <w:pPr>
        <w:pStyle w:val="ListBullet"/>
      </w:pPr>
      <w:r w:rsidRPr="00404A58">
        <w:t>43.2% had</w:t>
      </w:r>
      <w:r w:rsidR="00F44161" w:rsidRPr="00404A58">
        <w:t xml:space="preserve"> at least one</w:t>
      </w:r>
      <w:r w:rsidRPr="00404A58">
        <w:t xml:space="preserve"> SAE, most commonly pneumonia (8.1%).</w:t>
      </w:r>
      <w:bookmarkStart w:id="81" w:name="_Toc241374321"/>
      <w:bookmarkStart w:id="82" w:name="_Ref271044780"/>
      <w:bookmarkStart w:id="83" w:name="_Ref271196640"/>
      <w:bookmarkStart w:id="84" w:name="_Ref272333085"/>
      <w:bookmarkStart w:id="85" w:name="_Toc272414668"/>
      <w:bookmarkStart w:id="86" w:name="_Toc290888532"/>
      <w:bookmarkStart w:id="87" w:name="_Toc416353748"/>
      <w:bookmarkStart w:id="88" w:name="_Toc421005291"/>
      <w:bookmarkStart w:id="89" w:name="_Toc432079168"/>
      <w:bookmarkStart w:id="90" w:name="_Toc432080741"/>
    </w:p>
    <w:p w14:paraId="4142453C" w14:textId="6842BD34" w:rsidR="00B05276" w:rsidRPr="00404A58" w:rsidRDefault="00B05276" w:rsidP="00705C40">
      <w:pPr>
        <w:pStyle w:val="ListBullet"/>
      </w:pPr>
      <w:r w:rsidRPr="00404A58">
        <w:t xml:space="preserve">21.6% had AEs that led to treatment discontinuation. The only AE reported by </w:t>
      </w:r>
      <w:r w:rsidR="00F44161" w:rsidRPr="00404A58">
        <w:t>more than one</w:t>
      </w:r>
      <w:r w:rsidRPr="00404A58">
        <w:t xml:space="preserve"> patient was pneumonia (5.4%; 2/37).</w:t>
      </w:r>
    </w:p>
    <w:p w14:paraId="2666D994" w14:textId="45316403" w:rsidR="00B05276" w:rsidRPr="00404A58" w:rsidRDefault="00B05276" w:rsidP="00705C40">
      <w:pPr>
        <w:pStyle w:val="ListBullet"/>
      </w:pPr>
      <w:bookmarkStart w:id="91" w:name="_Toc272414676"/>
      <w:bookmarkStart w:id="92" w:name="_Toc290888540"/>
      <w:bookmarkStart w:id="93" w:name="_Toc416353755"/>
      <w:bookmarkStart w:id="94" w:name="_Toc421005298"/>
      <w:bookmarkStart w:id="95" w:name="_Toc432079175"/>
      <w:bookmarkStart w:id="96" w:name="_Toc432080748"/>
      <w:bookmarkEnd w:id="81"/>
      <w:bookmarkEnd w:id="82"/>
      <w:bookmarkEnd w:id="83"/>
      <w:bookmarkEnd w:id="84"/>
      <w:bookmarkEnd w:id="85"/>
      <w:bookmarkEnd w:id="86"/>
      <w:bookmarkEnd w:id="87"/>
      <w:bookmarkEnd w:id="88"/>
      <w:bookmarkEnd w:id="89"/>
      <w:bookmarkEnd w:id="90"/>
      <w:r w:rsidRPr="00404A58">
        <w:t>5.4% (2/37) had atrial fibrillation</w:t>
      </w:r>
      <w:r w:rsidR="00F44161" w:rsidRPr="00404A58">
        <w:t xml:space="preserve"> or </w:t>
      </w:r>
      <w:r w:rsidRPr="00404A58">
        <w:t>flutter</w:t>
      </w:r>
      <w:r w:rsidR="00F44161" w:rsidRPr="00404A58">
        <w:t>.</w:t>
      </w:r>
    </w:p>
    <w:bookmarkEnd w:id="91"/>
    <w:bookmarkEnd w:id="92"/>
    <w:bookmarkEnd w:id="93"/>
    <w:bookmarkEnd w:id="94"/>
    <w:bookmarkEnd w:id="95"/>
    <w:bookmarkEnd w:id="96"/>
    <w:p w14:paraId="52B5C0E1" w14:textId="77777777" w:rsidR="00B05276" w:rsidRPr="00404A58" w:rsidRDefault="00B05276" w:rsidP="00705C40">
      <w:pPr>
        <w:pStyle w:val="ListBullet"/>
      </w:pPr>
      <w:r w:rsidRPr="00404A58">
        <w:t>Haemorrhage was reported in 54.1%; most commonly contusion (37.8%). Major haemorrhage was reported in 8.1% (3/37). No events were fatal.</w:t>
      </w:r>
    </w:p>
    <w:p w14:paraId="21B567D5" w14:textId="77777777" w:rsidR="00B05276" w:rsidRPr="00404A58" w:rsidRDefault="00B05276" w:rsidP="00705C40">
      <w:pPr>
        <w:pStyle w:val="ListBullet"/>
      </w:pPr>
      <w:r w:rsidRPr="00404A58">
        <w:t>18.9% reported second primary malignancies; most commonly basal cell carcinoma (10.8%, 4/37).</w:t>
      </w:r>
    </w:p>
    <w:p w14:paraId="475D2607" w14:textId="77777777" w:rsidR="00B05276" w:rsidRPr="00404A58" w:rsidRDefault="00B05276" w:rsidP="00705C40">
      <w:pPr>
        <w:pStyle w:val="ListBullet"/>
      </w:pPr>
      <w:r w:rsidRPr="00404A58">
        <w:t>73.0% had infections, most commonly upper respiratory tract infection (29.7%). Serious infections occurred in 10.8% (4/37) and opportunistic infections occurred in 8.1% (3/37).</w:t>
      </w:r>
    </w:p>
    <w:p w14:paraId="5B88B79A" w14:textId="61C981F9" w:rsidR="00B05276" w:rsidRPr="00404A58" w:rsidRDefault="00B05276" w:rsidP="00705C40">
      <w:pPr>
        <w:pStyle w:val="ListBullet"/>
      </w:pPr>
      <w:r w:rsidRPr="00404A58">
        <w:t>Grade 3 or 4 anaemia, leu</w:t>
      </w:r>
      <w:r w:rsidR="003929F6">
        <w:t>k</w:t>
      </w:r>
      <w:r w:rsidRPr="00404A58">
        <w:t>openia, neutropenia, and thrombocytopenia occurred in 16.2%, 2.7%, 18.9% and 16.2%, respectively</w:t>
      </w:r>
    </w:p>
    <w:p w14:paraId="26F87FB7" w14:textId="3FBD3B04" w:rsidR="00B05276" w:rsidRPr="00404A58" w:rsidRDefault="00B05276" w:rsidP="00705C40">
      <w:pPr>
        <w:pStyle w:val="Heading5"/>
      </w:pPr>
      <w:r w:rsidRPr="00404A58">
        <w:t xml:space="preserve">Updated </w:t>
      </w:r>
      <w:r w:rsidR="00F44161" w:rsidRPr="00404A58">
        <w:t xml:space="preserve">safety data from </w:t>
      </w:r>
      <w:r w:rsidRPr="00404A58">
        <w:t xml:space="preserve">Study </w:t>
      </w:r>
      <w:r w:rsidR="004A1542" w:rsidRPr="00404A58">
        <w:t>BGB-311</w:t>
      </w:r>
      <w:r w:rsidR="000B7A29">
        <w:t>1</w:t>
      </w:r>
      <w:r w:rsidR="004A1542" w:rsidRPr="00404A58">
        <w:t>-206</w:t>
      </w:r>
      <w:r w:rsidRPr="00404A58">
        <w:t xml:space="preserve"> as of February 2020</w:t>
      </w:r>
    </w:p>
    <w:p w14:paraId="2648511F" w14:textId="4A39222C" w:rsidR="00B05276" w:rsidRPr="00404A58" w:rsidRDefault="00B05276" w:rsidP="00705C40">
      <w:r w:rsidRPr="00404A58">
        <w:t xml:space="preserve">Similar patterns of </w:t>
      </w:r>
      <w:r w:rsidR="0069053A" w:rsidRPr="00404A58">
        <w:t>AE</w:t>
      </w:r>
      <w:r w:rsidRPr="00404A58">
        <w:t xml:space="preserve">s emerged from the updated topline safety data as were seen in the initial data. Small numbers of patients (generally </w:t>
      </w:r>
      <w:r w:rsidR="00C74D2C" w:rsidRPr="00404A58">
        <w:t>1</w:t>
      </w:r>
      <w:r w:rsidR="00F44161" w:rsidRPr="00404A58">
        <w:t xml:space="preserve"> to </w:t>
      </w:r>
      <w:r w:rsidR="00C74D2C" w:rsidRPr="00404A58">
        <w:t>3</w:t>
      </w:r>
      <w:r w:rsidRPr="00404A58">
        <w:t xml:space="preserve">) accrued to categories of haematological </w:t>
      </w:r>
      <w:r w:rsidR="0069053A" w:rsidRPr="00404A58">
        <w:t>AE</w:t>
      </w:r>
      <w:r w:rsidRPr="00404A58">
        <w:t xml:space="preserve"> categories in the period between 31</w:t>
      </w:r>
      <w:r w:rsidR="00F44161" w:rsidRPr="00404A58">
        <w:t> </w:t>
      </w:r>
      <w:r w:rsidRPr="00404A58">
        <w:t>August</w:t>
      </w:r>
      <w:r w:rsidR="00F44161" w:rsidRPr="00404A58">
        <w:t> </w:t>
      </w:r>
      <w:r w:rsidRPr="00404A58">
        <w:t>2019 to 8 September 2020.</w:t>
      </w:r>
    </w:p>
    <w:p w14:paraId="3F5CCA3C" w14:textId="68F23BC0" w:rsidR="00B05276" w:rsidRPr="00404A58" w:rsidRDefault="00B05276" w:rsidP="0067177E">
      <w:pPr>
        <w:pStyle w:val="Heading6"/>
      </w:pPr>
      <w:r w:rsidRPr="00404A58">
        <w:t xml:space="preserve">Comparative safety of 320 </w:t>
      </w:r>
      <w:r w:rsidR="001006D4" w:rsidRPr="00404A58">
        <w:t>once daily</w:t>
      </w:r>
      <w:r w:rsidRPr="00404A58">
        <w:t xml:space="preserve"> and 160 mg </w:t>
      </w:r>
      <w:r w:rsidR="001006D4" w:rsidRPr="00404A58">
        <w:t>twice daily</w:t>
      </w:r>
      <w:r w:rsidRPr="00404A58">
        <w:t xml:space="preserve"> dosing</w:t>
      </w:r>
    </w:p>
    <w:p w14:paraId="65C72D92" w14:textId="7A50E5DE" w:rsidR="00B05276" w:rsidRPr="00404A58" w:rsidRDefault="00B05276" w:rsidP="00705C40">
      <w:r w:rsidRPr="00404A58">
        <w:t>Data from 542 patients from 5 studies (</w:t>
      </w:r>
      <w:r w:rsidR="00F44161" w:rsidRPr="00404A58">
        <w:t xml:space="preserve">Studies </w:t>
      </w:r>
      <w:r w:rsidRPr="00404A58">
        <w:t xml:space="preserve">BGB-3111-AU-003, </w:t>
      </w:r>
      <w:r w:rsidR="00F44161" w:rsidRPr="00404A58">
        <w:t>BGB-3111-AU</w:t>
      </w:r>
      <w:r w:rsidRPr="00404A58">
        <w:t xml:space="preserve">-302, </w:t>
      </w:r>
      <w:r w:rsidR="00F44161" w:rsidRPr="00404A58">
        <w:t>BGB-3111-AU</w:t>
      </w:r>
      <w:r w:rsidRPr="00404A58">
        <w:t xml:space="preserve">-206, </w:t>
      </w:r>
      <w:r w:rsidR="00F44161" w:rsidRPr="00404A58">
        <w:t>BGB-3111-AU</w:t>
      </w:r>
      <w:r w:rsidRPr="00404A58">
        <w:t xml:space="preserve">-1002, and </w:t>
      </w:r>
      <w:r w:rsidR="00F44161" w:rsidRPr="00404A58">
        <w:t>BGB-3111-AU</w:t>
      </w:r>
      <w:r w:rsidRPr="00404A58">
        <w:t xml:space="preserve">-205) were included in an analysis of </w:t>
      </w:r>
      <w:r w:rsidR="0069053A" w:rsidRPr="00404A58">
        <w:t xml:space="preserve">exposure response </w:t>
      </w:r>
      <w:r w:rsidRPr="00404A58">
        <w:t>relationships between PK exposure (AUC</w:t>
      </w:r>
      <w:r w:rsidRPr="00404A58">
        <w:rPr>
          <w:vertAlign w:val="subscript"/>
        </w:rPr>
        <w:t>0-24</w:t>
      </w:r>
      <w:r w:rsidRPr="00404A58">
        <w:t xml:space="preserve">, </w:t>
      </w:r>
      <w:r w:rsidR="00E12254" w:rsidRPr="00404A58">
        <w:t>C</w:t>
      </w:r>
      <w:r w:rsidR="00E12254" w:rsidRPr="00404A58">
        <w:rPr>
          <w:vertAlign w:val="subscript"/>
        </w:rPr>
        <w:t>max</w:t>
      </w:r>
      <w:r w:rsidRPr="00404A58">
        <w:t xml:space="preserve">, or </w:t>
      </w:r>
      <w:r w:rsidR="0069053A" w:rsidRPr="00404A58">
        <w:t>minimum concentration (</w:t>
      </w:r>
      <w:proofErr w:type="spellStart"/>
      <w:r w:rsidRPr="00404A58">
        <w:t>C</w:t>
      </w:r>
      <w:r w:rsidRPr="00404A58">
        <w:rPr>
          <w:vertAlign w:val="subscript"/>
        </w:rPr>
        <w:t>min</w:t>
      </w:r>
      <w:proofErr w:type="spellEnd"/>
      <w:r w:rsidRPr="00404A58">
        <w:t>)</w:t>
      </w:r>
      <w:r w:rsidR="0069053A" w:rsidRPr="00404A58">
        <w:t>)</w:t>
      </w:r>
      <w:r w:rsidRPr="00404A58">
        <w:t xml:space="preserve"> and adverse events of special interest (AESIs) in the exposure range (</w:t>
      </w:r>
      <w:r w:rsidR="00F44161" w:rsidRPr="00404A58">
        <w:t>AUC</w:t>
      </w:r>
      <w:r w:rsidR="00F44161" w:rsidRPr="00404A58">
        <w:rPr>
          <w:vertAlign w:val="subscript"/>
        </w:rPr>
        <w:t>0-24</w:t>
      </w:r>
      <w:r w:rsidRPr="00404A58">
        <w:t>) to approximately 5000 ng</w:t>
      </w:r>
      <w:r w:rsidR="00F44161" w:rsidRPr="00404A58">
        <w:t xml:space="preserve"> </w:t>
      </w:r>
      <w:r w:rsidRPr="00404A58">
        <w:t>h/mL was conducted. This exposure was up to 2.4-fold above the mean AUC exposure of the zanubrutinib 160</w:t>
      </w:r>
      <w:r w:rsidR="00810865">
        <w:t> </w:t>
      </w:r>
      <w:r w:rsidRPr="00404A58">
        <w:t xml:space="preserve">mg </w:t>
      </w:r>
      <w:r w:rsidR="001006D4" w:rsidRPr="00404A58">
        <w:t>twice daily</w:t>
      </w:r>
      <w:r w:rsidRPr="00404A58">
        <w:t xml:space="preserve"> regimen at steady state </w:t>
      </w:r>
      <w:r w:rsidR="00DD4CC6" w:rsidRPr="00404A58">
        <w:t>(</w:t>
      </w:r>
      <w:r w:rsidRPr="00404A58">
        <w:t>2099 (42%) ng</w:t>
      </w:r>
      <w:r w:rsidR="00F44161" w:rsidRPr="00404A58">
        <w:t xml:space="preserve"> </w:t>
      </w:r>
      <w:r w:rsidRPr="00404A58">
        <w:t>h/mL</w:t>
      </w:r>
      <w:r w:rsidR="00DD4CC6" w:rsidRPr="00404A58">
        <w:t>)</w:t>
      </w:r>
      <w:r w:rsidRPr="00404A58">
        <w:t xml:space="preserve"> and up to 2.6-fold above the mean AUC exposure of the 320 mg </w:t>
      </w:r>
      <w:r w:rsidR="001006D4" w:rsidRPr="00404A58">
        <w:t>once daily</w:t>
      </w:r>
      <w:r w:rsidRPr="00404A58">
        <w:t xml:space="preserve"> regimen at steady state </w:t>
      </w:r>
      <w:r w:rsidR="00DD4CC6" w:rsidRPr="00404A58">
        <w:t>(</w:t>
      </w:r>
      <w:r w:rsidRPr="00404A58">
        <w:t>1917</w:t>
      </w:r>
      <w:r w:rsidR="00810865">
        <w:t> </w:t>
      </w:r>
      <w:r w:rsidRPr="00404A58">
        <w:t>(59%) ng</w:t>
      </w:r>
      <w:r w:rsidR="00F44161" w:rsidRPr="00404A58">
        <w:t xml:space="preserve"> </w:t>
      </w:r>
      <w:r w:rsidRPr="00404A58">
        <w:t>h/mL</w:t>
      </w:r>
      <w:r w:rsidR="00DD4CC6" w:rsidRPr="00404A58">
        <w:t>)</w:t>
      </w:r>
      <w:r w:rsidRPr="00404A58">
        <w:t>.</w:t>
      </w:r>
    </w:p>
    <w:p w14:paraId="2A228C76" w14:textId="4A9C3D3C" w:rsidR="00B05276" w:rsidRPr="00404A58" w:rsidRDefault="00B05276" w:rsidP="00705C40">
      <w:r w:rsidRPr="00404A58">
        <w:t xml:space="preserve">The higher </w:t>
      </w:r>
      <w:r w:rsidR="00E12254" w:rsidRPr="00404A58">
        <w:t>C</w:t>
      </w:r>
      <w:r w:rsidR="00E12254" w:rsidRPr="00404A58">
        <w:rPr>
          <w:vertAlign w:val="subscript"/>
        </w:rPr>
        <w:t>max</w:t>
      </w:r>
      <w:r w:rsidRPr="00404A58">
        <w:t xml:space="preserve"> from the 320 mg </w:t>
      </w:r>
      <w:r w:rsidR="001006D4" w:rsidRPr="00404A58">
        <w:t>once daily</w:t>
      </w:r>
      <w:r w:rsidRPr="00404A58">
        <w:t xml:space="preserve"> regimen was not associated with a higher rate of AEs relative to the 160 mg </w:t>
      </w:r>
      <w:r w:rsidR="001006D4" w:rsidRPr="00404A58">
        <w:t>twice daily</w:t>
      </w:r>
      <w:r w:rsidRPr="00404A58">
        <w:t xml:space="preserve"> regimen.</w:t>
      </w:r>
    </w:p>
    <w:p w14:paraId="02E37F5E" w14:textId="5671CEEF" w:rsidR="00B05276" w:rsidRPr="00404A58" w:rsidRDefault="00B05276" w:rsidP="00705C40">
      <w:r w:rsidRPr="00404A58">
        <w:t>The sponsor did not find any significant relationships between AESIs and zanubrutinib exposure from patients with a wide range of AUC exposure.</w:t>
      </w:r>
    </w:p>
    <w:p w14:paraId="287DA65B" w14:textId="4AD0CD4D" w:rsidR="00B05276" w:rsidRPr="00404A58" w:rsidRDefault="00B05276" w:rsidP="00705C40">
      <w:r w:rsidRPr="00404A58">
        <w:t xml:space="preserve">Comparative safety of 320 mg </w:t>
      </w:r>
      <w:r w:rsidR="001006D4" w:rsidRPr="00404A58">
        <w:t>once daily</w:t>
      </w:r>
      <w:r w:rsidRPr="00404A58">
        <w:t xml:space="preserve"> and 160 mg </w:t>
      </w:r>
      <w:r w:rsidR="001006D4" w:rsidRPr="00404A58">
        <w:t>twice daily</w:t>
      </w:r>
      <w:r w:rsidRPr="00404A58">
        <w:t xml:space="preserve"> dosing was obtained from </w:t>
      </w:r>
      <w:r w:rsidR="001006D4" w:rsidRPr="00404A58">
        <w:t>Study BGB-3111-AU-003</w:t>
      </w:r>
      <w:r w:rsidRPr="00404A58">
        <w:t xml:space="preserve"> in B-cell malignancies. While proportions of event were </w:t>
      </w:r>
      <w:r w:rsidRPr="00404A58">
        <w:lastRenderedPageBreak/>
        <w:t>similar and there were no events with a &gt;</w:t>
      </w:r>
      <w:r w:rsidR="00F44161" w:rsidRPr="00404A58">
        <w:t xml:space="preserve"> </w:t>
      </w:r>
      <w:r w:rsidRPr="00404A58">
        <w:t xml:space="preserve">10% difference in proportion between the two dosing regimens in this study, the 160 mg </w:t>
      </w:r>
      <w:r w:rsidR="001006D4" w:rsidRPr="00404A58">
        <w:t>twice daily</w:t>
      </w:r>
      <w:r w:rsidRPr="00404A58">
        <w:t xml:space="preserve"> group compared with the 320 mg </w:t>
      </w:r>
      <w:r w:rsidR="001006D4" w:rsidRPr="00404A58">
        <w:t>twice daily</w:t>
      </w:r>
      <w:r w:rsidRPr="00404A58">
        <w:t xml:space="preserve"> group had an approximately 9% higher proportion of neutropenia for all </w:t>
      </w:r>
      <w:r w:rsidR="003B2081">
        <w:t>g</w:t>
      </w:r>
      <w:r w:rsidR="003B2081" w:rsidRPr="00404A58">
        <w:t xml:space="preserve">rades </w:t>
      </w:r>
      <w:r w:rsidRPr="00404A58">
        <w:t>and Grade ≥</w:t>
      </w:r>
      <w:r w:rsidR="00987171" w:rsidRPr="00404A58">
        <w:t xml:space="preserve"> </w:t>
      </w:r>
      <w:r w:rsidRPr="00404A58">
        <w:t xml:space="preserve">3 events. An almost 9% greater proportion of patients had all Grade bleeding events in the 320 mg </w:t>
      </w:r>
      <w:r w:rsidR="001006D4" w:rsidRPr="00404A58">
        <w:t>once daily</w:t>
      </w:r>
      <w:r w:rsidRPr="00404A58">
        <w:t xml:space="preserve"> group compared with the 160 mg </w:t>
      </w:r>
      <w:r w:rsidR="001006D4" w:rsidRPr="00404A58">
        <w:t>twice daily</w:t>
      </w:r>
      <w:r w:rsidRPr="00404A58">
        <w:t xml:space="preserve"> group. A clarification is requested from the sponsor (</w:t>
      </w:r>
      <w:r w:rsidR="00C74D2C" w:rsidRPr="00404A58">
        <w:t xml:space="preserve">further details </w:t>
      </w:r>
      <w:r w:rsidRPr="00404A58">
        <w:t>see</w:t>
      </w:r>
      <w:r w:rsidR="00F44161" w:rsidRPr="00404A58">
        <w:t xml:space="preserve"> </w:t>
      </w:r>
      <w:r w:rsidR="003B2081">
        <w:t>section: ‘</w:t>
      </w:r>
      <w:r w:rsidR="003B2081">
        <w:fldChar w:fldCharType="begin"/>
      </w:r>
      <w:r w:rsidR="003B2081">
        <w:instrText xml:space="preserve"> REF _Ref107859012 \h </w:instrText>
      </w:r>
      <w:r w:rsidR="003B2081">
        <w:fldChar w:fldCharType="separate"/>
      </w:r>
      <w:r w:rsidR="00271F2E" w:rsidRPr="00404A58">
        <w:t>Questions for the sponsor</w:t>
      </w:r>
      <w:r w:rsidR="003B2081">
        <w:fldChar w:fldCharType="end"/>
      </w:r>
      <w:r w:rsidR="003B2081">
        <w:t>’, below</w:t>
      </w:r>
      <w:r w:rsidRPr="00404A58">
        <w:t>).</w:t>
      </w:r>
    </w:p>
    <w:p w14:paraId="01C158E2" w14:textId="77777777" w:rsidR="008E7846" w:rsidRPr="00404A58" w:rsidRDefault="00386150" w:rsidP="007B6132">
      <w:pPr>
        <w:pStyle w:val="Heading3"/>
        <w:rPr>
          <w:lang w:eastAsia="en-AU"/>
        </w:rPr>
      </w:pPr>
      <w:bookmarkStart w:id="97" w:name="_Toc314842514"/>
      <w:bookmarkStart w:id="98" w:name="_Toc110965763"/>
      <w:r w:rsidRPr="00404A58">
        <w:rPr>
          <w:lang w:eastAsia="en-AU"/>
        </w:rPr>
        <w:t>Risk m</w:t>
      </w:r>
      <w:r w:rsidR="008E7846" w:rsidRPr="00404A58">
        <w:rPr>
          <w:lang w:eastAsia="en-AU"/>
        </w:rPr>
        <w:t xml:space="preserve">anagement </w:t>
      </w:r>
      <w:r w:rsidRPr="00404A58">
        <w:rPr>
          <w:lang w:eastAsia="en-AU"/>
        </w:rPr>
        <w:t>p</w:t>
      </w:r>
      <w:r w:rsidR="008E7846" w:rsidRPr="00404A58">
        <w:rPr>
          <w:lang w:eastAsia="en-AU"/>
        </w:rPr>
        <w:t>lan</w:t>
      </w:r>
      <w:bookmarkEnd w:id="97"/>
      <w:bookmarkEnd w:id="98"/>
    </w:p>
    <w:p w14:paraId="7FD996D4" w14:textId="69B36CDA" w:rsidR="00E246E4" w:rsidRPr="00404A58" w:rsidRDefault="00E246E4" w:rsidP="00C74D2C">
      <w:bookmarkStart w:id="99" w:name="_Toc247691531"/>
      <w:bookmarkStart w:id="100" w:name="_Toc314842515"/>
      <w:bookmarkStart w:id="101" w:name="_Toc196046505"/>
      <w:bookmarkStart w:id="102" w:name="_Toc196046949"/>
      <w:r w:rsidRPr="00404A58">
        <w:t>A concurrent new chemical entity submission for indication of Waldenström’s macroglobulinemia</w:t>
      </w:r>
      <w:r w:rsidR="00C74D2C" w:rsidRPr="00404A58">
        <w:t xml:space="preserve"> (Submission PM-2020-02814-1-6) is</w:t>
      </w:r>
      <w:r w:rsidRPr="00404A58">
        <w:t xml:space="preserve"> in progress.</w:t>
      </w:r>
      <w:r w:rsidR="003B2081" w:rsidRPr="008D2C11">
        <w:rPr>
          <w:vertAlign w:val="superscript"/>
        </w:rPr>
        <w:fldChar w:fldCharType="begin"/>
      </w:r>
      <w:r w:rsidR="003B2081" w:rsidRPr="008D2C11">
        <w:rPr>
          <w:vertAlign w:val="superscript"/>
        </w:rPr>
        <w:instrText xml:space="preserve"> NOTEREF _Ref107850622 \h </w:instrText>
      </w:r>
      <w:r w:rsidR="003B2081">
        <w:rPr>
          <w:vertAlign w:val="superscript"/>
        </w:rPr>
        <w:instrText xml:space="preserve"> \* MERGEFORMAT </w:instrText>
      </w:r>
      <w:r w:rsidR="003B2081" w:rsidRPr="008D2C11">
        <w:rPr>
          <w:vertAlign w:val="superscript"/>
        </w:rPr>
      </w:r>
      <w:r w:rsidR="003B2081" w:rsidRPr="008D2C11">
        <w:rPr>
          <w:vertAlign w:val="superscript"/>
        </w:rPr>
        <w:fldChar w:fldCharType="separate"/>
      </w:r>
      <w:r w:rsidR="00271F2E">
        <w:rPr>
          <w:vertAlign w:val="superscript"/>
        </w:rPr>
        <w:t>8</w:t>
      </w:r>
      <w:r w:rsidR="003B2081" w:rsidRPr="008D2C11">
        <w:rPr>
          <w:vertAlign w:val="superscript"/>
        </w:rPr>
        <w:fldChar w:fldCharType="end"/>
      </w:r>
    </w:p>
    <w:p w14:paraId="597C4F48" w14:textId="0EEEF294" w:rsidR="00E246E4" w:rsidRPr="00404A58" w:rsidRDefault="0067177E" w:rsidP="00E246E4">
      <w:r w:rsidRPr="00404A58">
        <w:t>The sponsor</w:t>
      </w:r>
      <w:r w:rsidR="00E246E4" w:rsidRPr="00404A58">
        <w:t xml:space="preserve"> has submitted </w:t>
      </w:r>
      <w:r w:rsidR="006F4D7A" w:rsidRPr="00404A58">
        <w:t>European Union (</w:t>
      </w:r>
      <w:r w:rsidR="00E246E4" w:rsidRPr="00404A58">
        <w:t>EU</w:t>
      </w:r>
      <w:r w:rsidR="006F4D7A" w:rsidRPr="00404A58">
        <w:t>)</w:t>
      </w:r>
      <w:r w:rsidR="00E246E4" w:rsidRPr="00404A58">
        <w:t>-</w:t>
      </w:r>
      <w:r w:rsidR="006F4D7A" w:rsidRPr="00404A58">
        <w:t>risk management plan (</w:t>
      </w:r>
      <w:r w:rsidR="00E246E4" w:rsidRPr="00404A58">
        <w:t>RMP</w:t>
      </w:r>
      <w:r w:rsidR="006F4D7A" w:rsidRPr="00404A58">
        <w:t>)</w:t>
      </w:r>
      <w:r w:rsidR="00E246E4" w:rsidRPr="00404A58">
        <w:t xml:space="preserve"> version 0.1 (date</w:t>
      </w:r>
      <w:r w:rsidR="00C74D2C" w:rsidRPr="00404A58">
        <w:t>d</w:t>
      </w:r>
      <w:r w:rsidR="00E246E4" w:rsidRPr="00404A58">
        <w:t xml:space="preserve"> 11 May 2020; </w:t>
      </w:r>
      <w:r w:rsidR="006F4D7A" w:rsidRPr="00404A58">
        <w:t>data lock point (</w:t>
      </w:r>
      <w:r w:rsidR="00E246E4" w:rsidRPr="00404A58">
        <w:t>DLP</w:t>
      </w:r>
      <w:r w:rsidR="006F4D7A" w:rsidRPr="00404A58">
        <w:t>)</w:t>
      </w:r>
      <w:r w:rsidR="00E246E4" w:rsidRPr="00404A58">
        <w:t xml:space="preserve"> 31</w:t>
      </w:r>
      <w:r w:rsidR="00C74D2C" w:rsidRPr="00404A58">
        <w:t> </w:t>
      </w:r>
      <w:r w:rsidR="00E246E4" w:rsidRPr="00404A58">
        <w:t>Dec</w:t>
      </w:r>
      <w:r w:rsidR="00C74D2C" w:rsidRPr="00404A58">
        <w:t>ember </w:t>
      </w:r>
      <w:r w:rsidR="00E246E4" w:rsidRPr="00404A58">
        <w:t xml:space="preserve">2019) and </w:t>
      </w:r>
      <w:r w:rsidR="00903125" w:rsidRPr="00404A58">
        <w:t xml:space="preserve">Australia specific annex (ASA) </w:t>
      </w:r>
      <w:r w:rsidR="00E246E4" w:rsidRPr="00404A58">
        <w:t>version 1.0 (date</w:t>
      </w:r>
      <w:r w:rsidR="00C74D2C" w:rsidRPr="00404A58">
        <w:t>d</w:t>
      </w:r>
      <w:r w:rsidR="00E246E4" w:rsidRPr="00404A58">
        <w:t xml:space="preserve"> 1 June 2020) in support of this application. No differences are planned between Australia and EU with respect to pharmacovigilance or risk minimisation activities. Evaluation of EU application and EU</w:t>
      </w:r>
      <w:r w:rsidR="00C74D2C" w:rsidRPr="00404A58">
        <w:noBreakHyphen/>
      </w:r>
      <w:r w:rsidR="00E246E4" w:rsidRPr="00404A58">
        <w:t>RMP is in progress.</w:t>
      </w:r>
    </w:p>
    <w:p w14:paraId="2AC44B2B" w14:textId="33754888" w:rsidR="0074163C" w:rsidRPr="00404A58" w:rsidRDefault="0074163C" w:rsidP="0074163C">
      <w:r w:rsidRPr="00404A58">
        <w:t xml:space="preserve">The summary of safety concerns and their associated risk monitoring and mitigation strategies are summarised in </w:t>
      </w:r>
      <w:r w:rsidR="00185189" w:rsidRPr="00404A58">
        <w:fldChar w:fldCharType="begin"/>
      </w:r>
      <w:r w:rsidR="00185189" w:rsidRPr="00404A58">
        <w:instrText xml:space="preserve"> REF _Ref97629131 \h </w:instrText>
      </w:r>
      <w:r w:rsidR="00F350BD" w:rsidRPr="00404A58">
        <w:instrText xml:space="preserve"> \* MERGEFORMAT </w:instrText>
      </w:r>
      <w:r w:rsidR="00185189" w:rsidRPr="00404A58">
        <w:fldChar w:fldCharType="separate"/>
      </w:r>
      <w:r w:rsidR="00271F2E" w:rsidRPr="00271F2E">
        <w:t xml:space="preserve">Table </w:t>
      </w:r>
      <w:r w:rsidR="00271F2E">
        <w:rPr>
          <w:noProof/>
        </w:rPr>
        <w:t>4</w:t>
      </w:r>
      <w:r w:rsidR="00185189" w:rsidRPr="00404A58">
        <w:fldChar w:fldCharType="end"/>
      </w:r>
      <w:r w:rsidRPr="00404A58">
        <w:t xml:space="preserve">. Further information regarding </w:t>
      </w:r>
      <w:r w:rsidR="00CC5044" w:rsidRPr="00404A58">
        <w:t>the TGA</w:t>
      </w:r>
      <w:r w:rsidR="00BF7063" w:rsidRPr="00404A58">
        <w:t>’</w:t>
      </w:r>
      <w:r w:rsidR="00CC5044" w:rsidRPr="00404A58">
        <w:t>s r</w:t>
      </w:r>
      <w:r w:rsidRPr="00404A58">
        <w:t xml:space="preserve">isk management approach can be found in </w:t>
      </w:r>
      <w:hyperlink r:id="rId16" w:history="1">
        <w:r w:rsidRPr="00404A58">
          <w:rPr>
            <w:rStyle w:val="Hyperlink"/>
          </w:rPr>
          <w:t>risk management plans for medicines and biologicals</w:t>
        </w:r>
      </w:hyperlink>
      <w:r w:rsidRPr="00404A58">
        <w:t xml:space="preserve"> and </w:t>
      </w:r>
      <w:hyperlink r:id="rId17" w:history="1">
        <w:r w:rsidRPr="00404A58">
          <w:rPr>
            <w:rStyle w:val="Hyperlink"/>
          </w:rPr>
          <w:t>the TGA's risk management approach</w:t>
        </w:r>
      </w:hyperlink>
      <w:r w:rsidRPr="00404A58">
        <w:t>.</w:t>
      </w:r>
    </w:p>
    <w:p w14:paraId="47846AD7" w14:textId="0E61D031" w:rsidR="0074163C" w:rsidRPr="00271F2E" w:rsidRDefault="0074163C" w:rsidP="00271F2E">
      <w:pPr>
        <w:pStyle w:val="TableTitle"/>
      </w:pPr>
      <w:bookmarkStart w:id="103" w:name="_Ref97629131"/>
      <w:r w:rsidRPr="00271F2E">
        <w:t xml:space="preserve">Table </w:t>
      </w:r>
      <w:fldSimple w:instr=" SEQ Table \* ARABIC ">
        <w:r w:rsidR="00271F2E">
          <w:rPr>
            <w:noProof/>
          </w:rPr>
          <w:t>4</w:t>
        </w:r>
      </w:fldSimple>
      <w:bookmarkEnd w:id="103"/>
      <w:r w:rsidRPr="00271F2E">
        <w:t>: Summary of safety concerns</w:t>
      </w:r>
    </w:p>
    <w:tbl>
      <w:tblPr>
        <w:tblStyle w:val="TableTGAblue"/>
        <w:tblW w:w="8217" w:type="dxa"/>
        <w:tblLayout w:type="fixed"/>
        <w:tblLook w:val="04A0" w:firstRow="1" w:lastRow="0" w:firstColumn="1" w:lastColumn="0" w:noHBand="0" w:noVBand="1"/>
      </w:tblPr>
      <w:tblGrid>
        <w:gridCol w:w="1413"/>
        <w:gridCol w:w="2268"/>
        <w:gridCol w:w="992"/>
        <w:gridCol w:w="1276"/>
        <w:gridCol w:w="992"/>
        <w:gridCol w:w="1276"/>
      </w:tblGrid>
      <w:tr w:rsidR="00705C40" w:rsidRPr="00404A58" w14:paraId="2A77E1D8" w14:textId="77777777" w:rsidTr="00185189">
        <w:trPr>
          <w:cnfStyle w:val="100000000000" w:firstRow="1" w:lastRow="0" w:firstColumn="0" w:lastColumn="0" w:oddVBand="0" w:evenVBand="0" w:oddHBand="0" w:evenHBand="0" w:firstRowFirstColumn="0" w:firstRowLastColumn="0" w:lastRowFirstColumn="0" w:lastRowLastColumn="0"/>
          <w:trHeight w:val="131"/>
        </w:trPr>
        <w:tc>
          <w:tcPr>
            <w:tcW w:w="3681" w:type="dxa"/>
            <w:gridSpan w:val="2"/>
            <w:vMerge w:val="restart"/>
            <w:tcBorders>
              <w:top w:val="single" w:sz="4" w:space="0" w:color="auto"/>
              <w:left w:val="single" w:sz="4" w:space="0" w:color="auto"/>
              <w:bottom w:val="single" w:sz="4" w:space="0" w:color="auto"/>
              <w:right w:val="single" w:sz="4" w:space="0" w:color="auto"/>
            </w:tcBorders>
            <w:hideMark/>
          </w:tcPr>
          <w:p w14:paraId="720FC94B" w14:textId="77777777" w:rsidR="00E246E4" w:rsidRPr="00404A58" w:rsidRDefault="00E246E4" w:rsidP="00705C40">
            <w:pPr>
              <w:pStyle w:val="Tabletext"/>
              <w:ind w:left="0" w:right="0"/>
            </w:pPr>
            <w:r w:rsidRPr="00404A58">
              <w:t>Summary of safety concerns</w:t>
            </w:r>
          </w:p>
        </w:tc>
        <w:tc>
          <w:tcPr>
            <w:tcW w:w="2268" w:type="dxa"/>
            <w:gridSpan w:val="2"/>
            <w:tcBorders>
              <w:top w:val="single" w:sz="4" w:space="0" w:color="auto"/>
              <w:left w:val="single" w:sz="4" w:space="0" w:color="auto"/>
              <w:bottom w:val="single" w:sz="4" w:space="0" w:color="auto"/>
              <w:right w:val="single" w:sz="4" w:space="0" w:color="auto"/>
            </w:tcBorders>
            <w:hideMark/>
          </w:tcPr>
          <w:p w14:paraId="62AA30C3" w14:textId="77777777" w:rsidR="00E246E4" w:rsidRPr="00404A58" w:rsidRDefault="00E246E4" w:rsidP="00705C40">
            <w:pPr>
              <w:pStyle w:val="Tabletext"/>
              <w:ind w:left="0" w:right="0"/>
            </w:pPr>
            <w:r w:rsidRPr="00404A58">
              <w:t>Pharmacovigilance</w:t>
            </w:r>
          </w:p>
        </w:tc>
        <w:tc>
          <w:tcPr>
            <w:tcW w:w="2268" w:type="dxa"/>
            <w:gridSpan w:val="2"/>
            <w:tcBorders>
              <w:top w:val="single" w:sz="4" w:space="0" w:color="auto"/>
              <w:left w:val="single" w:sz="4" w:space="0" w:color="auto"/>
              <w:bottom w:val="single" w:sz="4" w:space="0" w:color="auto"/>
              <w:right w:val="single" w:sz="4" w:space="0" w:color="auto"/>
            </w:tcBorders>
            <w:hideMark/>
          </w:tcPr>
          <w:p w14:paraId="361DA60C" w14:textId="77777777" w:rsidR="00E246E4" w:rsidRPr="00404A58" w:rsidRDefault="00E246E4" w:rsidP="00705C40">
            <w:pPr>
              <w:pStyle w:val="Tabletext"/>
              <w:ind w:left="0" w:right="0"/>
            </w:pPr>
            <w:r w:rsidRPr="00404A58">
              <w:t>Risk Minimisation</w:t>
            </w:r>
          </w:p>
        </w:tc>
      </w:tr>
      <w:tr w:rsidR="00705C40" w:rsidRPr="00404A58" w14:paraId="7F966B61" w14:textId="77777777" w:rsidTr="00185189">
        <w:trPr>
          <w:trHeight w:val="150"/>
        </w:trPr>
        <w:tc>
          <w:tcPr>
            <w:tcW w:w="3681" w:type="dxa"/>
            <w:gridSpan w:val="2"/>
            <w:vMerge/>
            <w:tcBorders>
              <w:top w:val="single" w:sz="4" w:space="0" w:color="auto"/>
              <w:left w:val="single" w:sz="4" w:space="0" w:color="auto"/>
              <w:bottom w:val="single" w:sz="4" w:space="0" w:color="auto"/>
              <w:right w:val="single" w:sz="4" w:space="0" w:color="auto"/>
            </w:tcBorders>
            <w:shd w:val="clear" w:color="auto" w:fill="006DA7"/>
            <w:hideMark/>
          </w:tcPr>
          <w:p w14:paraId="541FD9E2" w14:textId="77777777" w:rsidR="00E246E4" w:rsidRPr="00404A58" w:rsidRDefault="00E246E4" w:rsidP="00705C40">
            <w:pPr>
              <w:pStyle w:val="Tabletext"/>
              <w:ind w:left="0" w:right="0"/>
              <w:rPr>
                <w:b/>
                <w:color w:val="FFFFFF" w:themeColor="background1"/>
              </w:rPr>
            </w:pPr>
          </w:p>
        </w:tc>
        <w:tc>
          <w:tcPr>
            <w:tcW w:w="992" w:type="dxa"/>
            <w:tcBorders>
              <w:top w:val="single" w:sz="4" w:space="0" w:color="auto"/>
              <w:left w:val="single" w:sz="4" w:space="0" w:color="auto"/>
              <w:bottom w:val="single" w:sz="4" w:space="0" w:color="auto"/>
              <w:right w:val="single" w:sz="4" w:space="0" w:color="auto"/>
            </w:tcBorders>
            <w:shd w:val="clear" w:color="auto" w:fill="006DA7"/>
            <w:hideMark/>
          </w:tcPr>
          <w:p w14:paraId="64F698B4" w14:textId="77777777" w:rsidR="00E246E4" w:rsidRPr="00404A58" w:rsidRDefault="00E246E4" w:rsidP="00705C40">
            <w:pPr>
              <w:pStyle w:val="Tabletext"/>
              <w:ind w:left="0" w:right="0"/>
              <w:rPr>
                <w:b/>
                <w:color w:val="FFFFFF" w:themeColor="background1"/>
              </w:rPr>
            </w:pPr>
            <w:r w:rsidRPr="00404A58">
              <w:rPr>
                <w:b/>
                <w:color w:val="FFFFFF" w:themeColor="background1"/>
              </w:rPr>
              <w:t>Routine</w:t>
            </w:r>
          </w:p>
        </w:tc>
        <w:tc>
          <w:tcPr>
            <w:tcW w:w="1276" w:type="dxa"/>
            <w:tcBorders>
              <w:top w:val="single" w:sz="4" w:space="0" w:color="auto"/>
              <w:left w:val="single" w:sz="4" w:space="0" w:color="auto"/>
              <w:bottom w:val="single" w:sz="4" w:space="0" w:color="auto"/>
              <w:right w:val="single" w:sz="4" w:space="0" w:color="auto"/>
            </w:tcBorders>
            <w:shd w:val="clear" w:color="auto" w:fill="006DA7"/>
            <w:hideMark/>
          </w:tcPr>
          <w:p w14:paraId="634D16EB" w14:textId="77777777" w:rsidR="00E246E4" w:rsidRPr="00404A58" w:rsidRDefault="00E246E4" w:rsidP="00705C40">
            <w:pPr>
              <w:pStyle w:val="Tabletext"/>
              <w:ind w:left="0" w:right="0"/>
              <w:rPr>
                <w:b/>
                <w:color w:val="FFFFFF" w:themeColor="background1"/>
              </w:rPr>
            </w:pPr>
            <w:r w:rsidRPr="00404A58">
              <w:rPr>
                <w:b/>
                <w:color w:val="FFFFFF" w:themeColor="background1"/>
              </w:rPr>
              <w:t>Additional</w:t>
            </w:r>
          </w:p>
        </w:tc>
        <w:tc>
          <w:tcPr>
            <w:tcW w:w="992" w:type="dxa"/>
            <w:tcBorders>
              <w:top w:val="single" w:sz="4" w:space="0" w:color="auto"/>
              <w:left w:val="single" w:sz="4" w:space="0" w:color="auto"/>
              <w:bottom w:val="single" w:sz="4" w:space="0" w:color="auto"/>
              <w:right w:val="single" w:sz="4" w:space="0" w:color="auto"/>
            </w:tcBorders>
            <w:shd w:val="clear" w:color="auto" w:fill="006DA7"/>
            <w:hideMark/>
          </w:tcPr>
          <w:p w14:paraId="1F7513EF" w14:textId="77777777" w:rsidR="00E246E4" w:rsidRPr="00404A58" w:rsidRDefault="00E246E4" w:rsidP="00705C40">
            <w:pPr>
              <w:pStyle w:val="Tabletext"/>
              <w:ind w:left="0" w:right="0"/>
              <w:rPr>
                <w:b/>
                <w:color w:val="FFFFFF" w:themeColor="background1"/>
              </w:rPr>
            </w:pPr>
            <w:r w:rsidRPr="00404A58">
              <w:rPr>
                <w:b/>
                <w:color w:val="FFFFFF" w:themeColor="background1"/>
              </w:rPr>
              <w:t>Routine</w:t>
            </w:r>
          </w:p>
        </w:tc>
        <w:tc>
          <w:tcPr>
            <w:tcW w:w="1276" w:type="dxa"/>
            <w:tcBorders>
              <w:top w:val="single" w:sz="4" w:space="0" w:color="auto"/>
              <w:left w:val="single" w:sz="4" w:space="0" w:color="auto"/>
              <w:bottom w:val="single" w:sz="4" w:space="0" w:color="auto"/>
              <w:right w:val="single" w:sz="4" w:space="0" w:color="auto"/>
            </w:tcBorders>
            <w:shd w:val="clear" w:color="auto" w:fill="006DA7"/>
            <w:hideMark/>
          </w:tcPr>
          <w:p w14:paraId="698A7424" w14:textId="77777777" w:rsidR="00E246E4" w:rsidRPr="00404A58" w:rsidRDefault="00E246E4" w:rsidP="00705C40">
            <w:pPr>
              <w:pStyle w:val="Tabletext"/>
              <w:ind w:left="0" w:right="0"/>
              <w:rPr>
                <w:b/>
                <w:color w:val="FFFFFF" w:themeColor="background1"/>
              </w:rPr>
            </w:pPr>
            <w:r w:rsidRPr="00404A58">
              <w:rPr>
                <w:b/>
                <w:color w:val="FFFFFF" w:themeColor="background1"/>
              </w:rPr>
              <w:t>Additional</w:t>
            </w:r>
          </w:p>
        </w:tc>
      </w:tr>
      <w:tr w:rsidR="00705C40" w:rsidRPr="00404A58" w14:paraId="6627147F" w14:textId="77777777" w:rsidTr="00C74D2C">
        <w:trPr>
          <w:trHeight w:val="695"/>
        </w:trPr>
        <w:tc>
          <w:tcPr>
            <w:tcW w:w="1413" w:type="dxa"/>
            <w:tcBorders>
              <w:top w:val="single" w:sz="4" w:space="0" w:color="auto"/>
            </w:tcBorders>
            <w:hideMark/>
          </w:tcPr>
          <w:p w14:paraId="48A2746E" w14:textId="77777777" w:rsidR="00E246E4" w:rsidRPr="00404A58" w:rsidRDefault="00E246E4" w:rsidP="00705C40">
            <w:pPr>
              <w:pStyle w:val="Tabletext"/>
              <w:ind w:left="0" w:right="0"/>
              <w:rPr>
                <w:b/>
                <w:bCs/>
              </w:rPr>
            </w:pPr>
            <w:r w:rsidRPr="00404A58">
              <w:rPr>
                <w:b/>
                <w:bCs/>
              </w:rPr>
              <w:t>Important identified risks</w:t>
            </w:r>
          </w:p>
        </w:tc>
        <w:tc>
          <w:tcPr>
            <w:tcW w:w="2268" w:type="dxa"/>
            <w:tcBorders>
              <w:top w:val="single" w:sz="4" w:space="0" w:color="auto"/>
            </w:tcBorders>
          </w:tcPr>
          <w:p w14:paraId="51C808F9" w14:textId="73F3B0AB" w:rsidR="00E246E4" w:rsidRPr="00404A58" w:rsidRDefault="00E246E4" w:rsidP="00705C40">
            <w:pPr>
              <w:pStyle w:val="Tabletext"/>
              <w:ind w:left="0" w:right="0"/>
              <w:rPr>
                <w:kern w:val="16"/>
              </w:rPr>
            </w:pPr>
            <w:r w:rsidRPr="00404A58">
              <w:t>Haemorrhage</w:t>
            </w:r>
          </w:p>
        </w:tc>
        <w:tc>
          <w:tcPr>
            <w:tcW w:w="992" w:type="dxa"/>
            <w:tcBorders>
              <w:top w:val="single" w:sz="4" w:space="0" w:color="auto"/>
            </w:tcBorders>
            <w:hideMark/>
          </w:tcPr>
          <w:p w14:paraId="020D1825" w14:textId="77777777" w:rsidR="00E246E4" w:rsidRPr="003929F6" w:rsidRDefault="00E246E4" w:rsidP="003929F6">
            <w:pPr>
              <w:pStyle w:val="Tabletext"/>
              <w:ind w:left="0" w:right="0"/>
              <w:jc w:val="center"/>
              <w:rPr>
                <w:sz w:val="22"/>
                <w:vertAlign w:val="superscript"/>
              </w:rPr>
            </w:pPr>
            <w:r w:rsidRPr="003929F6">
              <w:rPr>
                <w:sz w:val="22"/>
              </w:rPr>
              <w:sym w:font="Wingdings" w:char="F0FC"/>
            </w:r>
            <w:r w:rsidRPr="003929F6">
              <w:rPr>
                <w:sz w:val="22"/>
                <w:vertAlign w:val="superscript"/>
              </w:rPr>
              <w:t>1</w:t>
            </w:r>
          </w:p>
        </w:tc>
        <w:tc>
          <w:tcPr>
            <w:tcW w:w="1276" w:type="dxa"/>
            <w:tcBorders>
              <w:top w:val="single" w:sz="4" w:space="0" w:color="auto"/>
            </w:tcBorders>
            <w:hideMark/>
          </w:tcPr>
          <w:p w14:paraId="4B63F532" w14:textId="77777777" w:rsidR="00E246E4" w:rsidRPr="003929F6" w:rsidRDefault="00E246E4" w:rsidP="003929F6">
            <w:pPr>
              <w:pStyle w:val="Tabletext"/>
              <w:ind w:left="0" w:right="0"/>
              <w:jc w:val="center"/>
              <w:rPr>
                <w:sz w:val="22"/>
              </w:rPr>
            </w:pPr>
            <w:r w:rsidRPr="003929F6">
              <w:rPr>
                <w:sz w:val="22"/>
              </w:rPr>
              <w:t>–</w:t>
            </w:r>
          </w:p>
        </w:tc>
        <w:tc>
          <w:tcPr>
            <w:tcW w:w="992" w:type="dxa"/>
            <w:tcBorders>
              <w:top w:val="single" w:sz="4" w:space="0" w:color="auto"/>
            </w:tcBorders>
            <w:hideMark/>
          </w:tcPr>
          <w:p w14:paraId="54C24A05"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tcBorders>
              <w:top w:val="single" w:sz="4" w:space="0" w:color="auto"/>
            </w:tcBorders>
          </w:tcPr>
          <w:p w14:paraId="3C9E7DE7" w14:textId="77777777" w:rsidR="00E246E4" w:rsidRPr="003929F6" w:rsidRDefault="00E246E4" w:rsidP="003929F6">
            <w:pPr>
              <w:pStyle w:val="Tabletext"/>
              <w:ind w:left="0" w:right="0"/>
              <w:jc w:val="center"/>
              <w:rPr>
                <w:sz w:val="22"/>
              </w:rPr>
            </w:pPr>
          </w:p>
          <w:p w14:paraId="2750E9D3"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0AE66BF9" w14:textId="77777777" w:rsidTr="00C74D2C">
        <w:trPr>
          <w:trHeight w:val="159"/>
        </w:trPr>
        <w:tc>
          <w:tcPr>
            <w:tcW w:w="1413" w:type="dxa"/>
            <w:vMerge w:val="restart"/>
            <w:hideMark/>
          </w:tcPr>
          <w:p w14:paraId="044A4BF8" w14:textId="77777777" w:rsidR="00E246E4" w:rsidRPr="00404A58" w:rsidRDefault="00E246E4" w:rsidP="00705C40">
            <w:pPr>
              <w:pStyle w:val="Tabletext"/>
              <w:ind w:left="0" w:right="0"/>
              <w:rPr>
                <w:b/>
                <w:bCs/>
                <w:sz w:val="20"/>
              </w:rPr>
            </w:pPr>
            <w:r w:rsidRPr="00404A58">
              <w:rPr>
                <w:b/>
                <w:bCs/>
              </w:rPr>
              <w:t>Important potential risks</w:t>
            </w:r>
          </w:p>
        </w:tc>
        <w:tc>
          <w:tcPr>
            <w:tcW w:w="2268" w:type="dxa"/>
            <w:hideMark/>
          </w:tcPr>
          <w:p w14:paraId="315117ED" w14:textId="77777777" w:rsidR="00E246E4" w:rsidRPr="00404A58" w:rsidRDefault="00E246E4" w:rsidP="00705C40">
            <w:pPr>
              <w:pStyle w:val="Tabletext"/>
              <w:ind w:left="0" w:right="0"/>
              <w:rPr>
                <w:sz w:val="20"/>
              </w:rPr>
            </w:pPr>
            <w:r w:rsidRPr="00404A58">
              <w:rPr>
                <w:sz w:val="20"/>
              </w:rPr>
              <w:t>Cardiac arrhythmia, mainly presented as atrial fibrillation and flutter</w:t>
            </w:r>
          </w:p>
        </w:tc>
        <w:tc>
          <w:tcPr>
            <w:tcW w:w="992" w:type="dxa"/>
            <w:hideMark/>
          </w:tcPr>
          <w:p w14:paraId="0F0FA6BB" w14:textId="77777777" w:rsidR="00E246E4" w:rsidRPr="003929F6" w:rsidRDefault="00E246E4" w:rsidP="003929F6">
            <w:pPr>
              <w:pStyle w:val="Tabletext"/>
              <w:ind w:left="0" w:right="0"/>
              <w:jc w:val="center"/>
              <w:rPr>
                <w:sz w:val="22"/>
                <w:vertAlign w:val="superscript"/>
              </w:rPr>
            </w:pPr>
            <w:r w:rsidRPr="003929F6">
              <w:rPr>
                <w:sz w:val="22"/>
              </w:rPr>
              <w:sym w:font="Wingdings" w:char="F0FC"/>
            </w:r>
            <w:r w:rsidRPr="003929F6">
              <w:rPr>
                <w:sz w:val="22"/>
                <w:vertAlign w:val="superscript"/>
              </w:rPr>
              <w:t>1</w:t>
            </w:r>
          </w:p>
        </w:tc>
        <w:tc>
          <w:tcPr>
            <w:tcW w:w="1276" w:type="dxa"/>
            <w:hideMark/>
          </w:tcPr>
          <w:p w14:paraId="667C2049"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42EF6DE1"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76573703"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6C7A6E17" w14:textId="77777777" w:rsidTr="00C74D2C">
        <w:trPr>
          <w:trHeight w:val="122"/>
        </w:trPr>
        <w:tc>
          <w:tcPr>
            <w:tcW w:w="1413" w:type="dxa"/>
            <w:vMerge/>
            <w:hideMark/>
          </w:tcPr>
          <w:p w14:paraId="44C8E8ED"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6A9CB226" w14:textId="77777777" w:rsidR="00E246E4" w:rsidRPr="00404A58" w:rsidRDefault="00E246E4" w:rsidP="00705C40">
            <w:pPr>
              <w:pStyle w:val="Tabletext"/>
              <w:ind w:left="0" w:right="0"/>
              <w:rPr>
                <w:sz w:val="20"/>
              </w:rPr>
            </w:pPr>
            <w:r w:rsidRPr="00404A58">
              <w:rPr>
                <w:sz w:val="20"/>
              </w:rPr>
              <w:t>Cytopenia</w:t>
            </w:r>
          </w:p>
        </w:tc>
        <w:tc>
          <w:tcPr>
            <w:tcW w:w="992" w:type="dxa"/>
            <w:hideMark/>
          </w:tcPr>
          <w:p w14:paraId="186B44C8"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663A727D"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6B470A56"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1F6478C9"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35F42E52" w14:textId="77777777" w:rsidTr="00C74D2C">
        <w:trPr>
          <w:trHeight w:val="122"/>
        </w:trPr>
        <w:tc>
          <w:tcPr>
            <w:tcW w:w="1413" w:type="dxa"/>
            <w:vMerge/>
            <w:hideMark/>
          </w:tcPr>
          <w:p w14:paraId="2FDE559A"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7F86C87D" w14:textId="77777777" w:rsidR="00E246E4" w:rsidRPr="00404A58" w:rsidRDefault="00E246E4" w:rsidP="00705C40">
            <w:pPr>
              <w:pStyle w:val="Tabletext"/>
              <w:ind w:left="0" w:right="0"/>
              <w:rPr>
                <w:sz w:val="20"/>
              </w:rPr>
            </w:pPr>
            <w:r w:rsidRPr="00404A58">
              <w:rPr>
                <w:sz w:val="20"/>
              </w:rPr>
              <w:t>Infections</w:t>
            </w:r>
          </w:p>
        </w:tc>
        <w:tc>
          <w:tcPr>
            <w:tcW w:w="992" w:type="dxa"/>
            <w:hideMark/>
          </w:tcPr>
          <w:p w14:paraId="70C6518D"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03338F07"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6C02BC4F"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3FFF0874"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4BA884A0" w14:textId="77777777" w:rsidTr="00C74D2C">
        <w:trPr>
          <w:trHeight w:val="122"/>
        </w:trPr>
        <w:tc>
          <w:tcPr>
            <w:tcW w:w="1413" w:type="dxa"/>
            <w:vMerge/>
            <w:hideMark/>
          </w:tcPr>
          <w:p w14:paraId="73A1D401"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224F30DD" w14:textId="77777777" w:rsidR="00E246E4" w:rsidRPr="00404A58" w:rsidRDefault="00E246E4" w:rsidP="00705C40">
            <w:pPr>
              <w:pStyle w:val="Tabletext"/>
              <w:ind w:left="0" w:right="0"/>
              <w:rPr>
                <w:sz w:val="20"/>
              </w:rPr>
            </w:pPr>
            <w:r w:rsidRPr="00404A58">
              <w:rPr>
                <w:sz w:val="20"/>
              </w:rPr>
              <w:t>Second primary malignancies</w:t>
            </w:r>
          </w:p>
        </w:tc>
        <w:tc>
          <w:tcPr>
            <w:tcW w:w="992" w:type="dxa"/>
            <w:hideMark/>
          </w:tcPr>
          <w:p w14:paraId="5312438F"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7EB6A468"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3FCE135B"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5FC96159"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709C2318" w14:textId="77777777" w:rsidTr="00C74D2C">
        <w:trPr>
          <w:trHeight w:val="122"/>
        </w:trPr>
        <w:tc>
          <w:tcPr>
            <w:tcW w:w="1413" w:type="dxa"/>
            <w:vMerge/>
            <w:hideMark/>
          </w:tcPr>
          <w:p w14:paraId="1AF4BA2E"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39973833" w14:textId="77777777" w:rsidR="00E246E4" w:rsidRPr="00404A58" w:rsidRDefault="00E246E4" w:rsidP="00705C40">
            <w:pPr>
              <w:pStyle w:val="Tabletext"/>
              <w:ind w:left="0" w:right="0"/>
              <w:rPr>
                <w:sz w:val="20"/>
              </w:rPr>
            </w:pPr>
            <w:r w:rsidRPr="00404A58">
              <w:rPr>
                <w:sz w:val="20"/>
              </w:rPr>
              <w:t>Drug-drug interaction</w:t>
            </w:r>
          </w:p>
        </w:tc>
        <w:tc>
          <w:tcPr>
            <w:tcW w:w="992" w:type="dxa"/>
            <w:hideMark/>
          </w:tcPr>
          <w:p w14:paraId="7953CCEC"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1EE9761E"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7D652474"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2C3461E4"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659CAC82" w14:textId="77777777" w:rsidTr="00C74D2C">
        <w:trPr>
          <w:trHeight w:val="112"/>
        </w:trPr>
        <w:tc>
          <w:tcPr>
            <w:tcW w:w="1413" w:type="dxa"/>
            <w:vMerge/>
            <w:hideMark/>
          </w:tcPr>
          <w:p w14:paraId="30FB438F"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325B97E5" w14:textId="77777777" w:rsidR="00E246E4" w:rsidRPr="00404A58" w:rsidRDefault="00E246E4" w:rsidP="00705C40">
            <w:pPr>
              <w:pStyle w:val="Tabletext"/>
              <w:ind w:left="0" w:right="0"/>
              <w:rPr>
                <w:sz w:val="20"/>
              </w:rPr>
            </w:pPr>
            <w:r w:rsidRPr="00404A58">
              <w:rPr>
                <w:sz w:val="20"/>
              </w:rPr>
              <w:t>Teratogenicity</w:t>
            </w:r>
          </w:p>
        </w:tc>
        <w:tc>
          <w:tcPr>
            <w:tcW w:w="992" w:type="dxa"/>
            <w:hideMark/>
          </w:tcPr>
          <w:p w14:paraId="7EDF08F3" w14:textId="77777777" w:rsidR="00E246E4" w:rsidRPr="003929F6" w:rsidRDefault="00E246E4" w:rsidP="003929F6">
            <w:pPr>
              <w:pStyle w:val="Tabletext"/>
              <w:ind w:left="0" w:right="0"/>
              <w:jc w:val="center"/>
              <w:rPr>
                <w:sz w:val="22"/>
                <w:vertAlign w:val="superscript"/>
              </w:rPr>
            </w:pPr>
            <w:r w:rsidRPr="003929F6">
              <w:rPr>
                <w:sz w:val="22"/>
              </w:rPr>
              <w:sym w:font="Wingdings" w:char="F0FC"/>
            </w:r>
            <w:r w:rsidRPr="003929F6">
              <w:rPr>
                <w:sz w:val="22"/>
                <w:vertAlign w:val="superscript"/>
              </w:rPr>
              <w:t>1</w:t>
            </w:r>
          </w:p>
        </w:tc>
        <w:tc>
          <w:tcPr>
            <w:tcW w:w="1276" w:type="dxa"/>
            <w:hideMark/>
          </w:tcPr>
          <w:p w14:paraId="4D674D89"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0F1652F8"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6679B188"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1DF5BA5C" w14:textId="77777777" w:rsidTr="00C74D2C">
        <w:trPr>
          <w:trHeight w:val="178"/>
        </w:trPr>
        <w:tc>
          <w:tcPr>
            <w:tcW w:w="1413" w:type="dxa"/>
            <w:vMerge w:val="restart"/>
            <w:hideMark/>
          </w:tcPr>
          <w:p w14:paraId="4692EBF7" w14:textId="77777777" w:rsidR="00E246E4" w:rsidRPr="00404A58" w:rsidRDefault="00E246E4" w:rsidP="00705C40">
            <w:pPr>
              <w:pStyle w:val="Tabletext"/>
              <w:ind w:left="0" w:right="0"/>
              <w:rPr>
                <w:b/>
                <w:bCs/>
                <w:sz w:val="20"/>
              </w:rPr>
            </w:pPr>
            <w:r w:rsidRPr="00404A58">
              <w:rPr>
                <w:b/>
                <w:bCs/>
              </w:rPr>
              <w:t>Missing information</w:t>
            </w:r>
          </w:p>
        </w:tc>
        <w:tc>
          <w:tcPr>
            <w:tcW w:w="2268" w:type="dxa"/>
            <w:hideMark/>
          </w:tcPr>
          <w:p w14:paraId="0D733C6C" w14:textId="77777777" w:rsidR="00E246E4" w:rsidRPr="00404A58" w:rsidRDefault="00E246E4" w:rsidP="00705C40">
            <w:pPr>
              <w:pStyle w:val="Tabletext"/>
              <w:ind w:left="0" w:right="0"/>
              <w:rPr>
                <w:sz w:val="20"/>
              </w:rPr>
            </w:pPr>
            <w:r w:rsidRPr="00404A58">
              <w:rPr>
                <w:sz w:val="20"/>
              </w:rPr>
              <w:t>Safety in patients with severe hepatic impairment</w:t>
            </w:r>
          </w:p>
        </w:tc>
        <w:tc>
          <w:tcPr>
            <w:tcW w:w="992" w:type="dxa"/>
            <w:hideMark/>
          </w:tcPr>
          <w:p w14:paraId="18E1BEF9"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276811BA"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5E7CDA0B"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76C5D127"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00C5F21E" w14:textId="77777777" w:rsidTr="00C74D2C">
        <w:trPr>
          <w:trHeight w:val="103"/>
        </w:trPr>
        <w:tc>
          <w:tcPr>
            <w:tcW w:w="1413" w:type="dxa"/>
            <w:vMerge/>
            <w:hideMark/>
          </w:tcPr>
          <w:p w14:paraId="76FB1231"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18F5D98A" w14:textId="77777777" w:rsidR="00E246E4" w:rsidRPr="00404A58" w:rsidRDefault="00E246E4" w:rsidP="00705C40">
            <w:pPr>
              <w:pStyle w:val="Tabletext"/>
              <w:ind w:left="0" w:right="0"/>
              <w:rPr>
                <w:sz w:val="20"/>
              </w:rPr>
            </w:pPr>
            <w:r w:rsidRPr="00404A58">
              <w:rPr>
                <w:sz w:val="20"/>
              </w:rPr>
              <w:t>Safety in patients with severe renal impairment/on dialysis</w:t>
            </w:r>
          </w:p>
        </w:tc>
        <w:tc>
          <w:tcPr>
            <w:tcW w:w="992" w:type="dxa"/>
            <w:hideMark/>
          </w:tcPr>
          <w:p w14:paraId="2AA740CD"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6D6DBEC1"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263BDA7E"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6139C84C"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23F45C4D" w14:textId="77777777" w:rsidTr="00C74D2C">
        <w:trPr>
          <w:trHeight w:val="103"/>
        </w:trPr>
        <w:tc>
          <w:tcPr>
            <w:tcW w:w="1413" w:type="dxa"/>
            <w:vMerge/>
            <w:hideMark/>
          </w:tcPr>
          <w:p w14:paraId="44E60898"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47E482B1" w14:textId="77777777" w:rsidR="00E246E4" w:rsidRPr="00404A58" w:rsidRDefault="00E246E4" w:rsidP="00705C40">
            <w:pPr>
              <w:pStyle w:val="Tabletext"/>
              <w:ind w:left="0" w:right="0"/>
              <w:rPr>
                <w:sz w:val="20"/>
              </w:rPr>
            </w:pPr>
            <w:r w:rsidRPr="00404A58">
              <w:rPr>
                <w:sz w:val="20"/>
              </w:rPr>
              <w:t>Long-term safety (&gt; 2 years)</w:t>
            </w:r>
          </w:p>
        </w:tc>
        <w:tc>
          <w:tcPr>
            <w:tcW w:w="992" w:type="dxa"/>
            <w:hideMark/>
          </w:tcPr>
          <w:p w14:paraId="24768C94"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72FBE028"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43D348EE" w14:textId="77777777" w:rsidR="00E246E4" w:rsidRPr="003929F6" w:rsidRDefault="00E246E4" w:rsidP="003929F6">
            <w:pPr>
              <w:pStyle w:val="Tabletext"/>
              <w:ind w:left="0" w:right="0"/>
              <w:jc w:val="center"/>
              <w:rPr>
                <w:sz w:val="22"/>
              </w:rPr>
            </w:pPr>
            <w:r w:rsidRPr="003929F6">
              <w:rPr>
                <w:sz w:val="22"/>
              </w:rPr>
              <w:t>–</w:t>
            </w:r>
          </w:p>
        </w:tc>
        <w:tc>
          <w:tcPr>
            <w:tcW w:w="1276" w:type="dxa"/>
            <w:hideMark/>
          </w:tcPr>
          <w:p w14:paraId="1BA1A99B"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04CDC822" w14:textId="77777777" w:rsidTr="00C74D2C">
        <w:trPr>
          <w:trHeight w:val="103"/>
        </w:trPr>
        <w:tc>
          <w:tcPr>
            <w:tcW w:w="1413" w:type="dxa"/>
            <w:vMerge/>
            <w:hideMark/>
          </w:tcPr>
          <w:p w14:paraId="7085CA44"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57AD79CE" w14:textId="77777777" w:rsidR="00E246E4" w:rsidRPr="00404A58" w:rsidRDefault="00E246E4" w:rsidP="00705C40">
            <w:pPr>
              <w:pStyle w:val="Tabletext"/>
              <w:ind w:left="0" w:right="0"/>
              <w:rPr>
                <w:sz w:val="20"/>
              </w:rPr>
            </w:pPr>
            <w:r w:rsidRPr="00404A58">
              <w:rPr>
                <w:sz w:val="20"/>
              </w:rPr>
              <w:t>Safety in paediatric patients</w:t>
            </w:r>
          </w:p>
        </w:tc>
        <w:tc>
          <w:tcPr>
            <w:tcW w:w="992" w:type="dxa"/>
            <w:hideMark/>
          </w:tcPr>
          <w:p w14:paraId="3526AB47"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27859BA9"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4BB16634"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6FAAC17D" w14:textId="77777777" w:rsidR="00E246E4" w:rsidRPr="003929F6" w:rsidRDefault="00E246E4" w:rsidP="003929F6">
            <w:pPr>
              <w:pStyle w:val="Tabletext"/>
              <w:ind w:left="0" w:right="0"/>
              <w:jc w:val="center"/>
              <w:rPr>
                <w:sz w:val="22"/>
              </w:rPr>
            </w:pPr>
            <w:r w:rsidRPr="003929F6">
              <w:rPr>
                <w:sz w:val="22"/>
              </w:rPr>
              <w:t>–</w:t>
            </w:r>
          </w:p>
        </w:tc>
      </w:tr>
      <w:tr w:rsidR="00705C40" w:rsidRPr="00404A58" w14:paraId="3513DA8F" w14:textId="77777777" w:rsidTr="00C74D2C">
        <w:trPr>
          <w:trHeight w:val="140"/>
        </w:trPr>
        <w:tc>
          <w:tcPr>
            <w:tcW w:w="1413" w:type="dxa"/>
            <w:vMerge/>
            <w:hideMark/>
          </w:tcPr>
          <w:p w14:paraId="65836D3B" w14:textId="77777777" w:rsidR="00E246E4" w:rsidRPr="00404A58" w:rsidRDefault="00E246E4" w:rsidP="00705C40">
            <w:pPr>
              <w:pStyle w:val="Tabletext"/>
              <w:ind w:left="0" w:right="0"/>
              <w:rPr>
                <w:rFonts w:eastAsia="Times New Roman"/>
                <w:b/>
                <w:bCs/>
                <w:sz w:val="20"/>
                <w:lang w:eastAsia="en-US"/>
              </w:rPr>
            </w:pPr>
          </w:p>
        </w:tc>
        <w:tc>
          <w:tcPr>
            <w:tcW w:w="2268" w:type="dxa"/>
            <w:hideMark/>
          </w:tcPr>
          <w:p w14:paraId="7E026911" w14:textId="77777777" w:rsidR="00E246E4" w:rsidRPr="00404A58" w:rsidRDefault="00E246E4" w:rsidP="00705C40">
            <w:pPr>
              <w:pStyle w:val="Tabletext"/>
              <w:ind w:left="0" w:right="0"/>
              <w:rPr>
                <w:sz w:val="20"/>
              </w:rPr>
            </w:pPr>
            <w:r w:rsidRPr="00404A58">
              <w:rPr>
                <w:sz w:val="20"/>
              </w:rPr>
              <w:t>Safety in pregnancy and lactation</w:t>
            </w:r>
          </w:p>
        </w:tc>
        <w:tc>
          <w:tcPr>
            <w:tcW w:w="992" w:type="dxa"/>
            <w:hideMark/>
          </w:tcPr>
          <w:p w14:paraId="3D859BF3" w14:textId="77777777" w:rsidR="00E246E4" w:rsidRPr="003929F6" w:rsidRDefault="00E246E4" w:rsidP="003929F6">
            <w:pPr>
              <w:pStyle w:val="Tabletext"/>
              <w:ind w:left="0" w:right="0"/>
              <w:jc w:val="center"/>
              <w:rPr>
                <w:sz w:val="22"/>
                <w:vertAlign w:val="superscript"/>
              </w:rPr>
            </w:pPr>
            <w:r w:rsidRPr="003929F6">
              <w:rPr>
                <w:sz w:val="22"/>
              </w:rPr>
              <w:sym w:font="Wingdings" w:char="F0FC"/>
            </w:r>
            <w:r w:rsidRPr="003929F6">
              <w:rPr>
                <w:sz w:val="22"/>
                <w:vertAlign w:val="superscript"/>
              </w:rPr>
              <w:t>1</w:t>
            </w:r>
          </w:p>
        </w:tc>
        <w:tc>
          <w:tcPr>
            <w:tcW w:w="1276" w:type="dxa"/>
            <w:hideMark/>
          </w:tcPr>
          <w:p w14:paraId="49BC8CF9" w14:textId="77777777" w:rsidR="00E246E4" w:rsidRPr="003929F6" w:rsidRDefault="00E246E4" w:rsidP="003929F6">
            <w:pPr>
              <w:pStyle w:val="Tabletext"/>
              <w:ind w:left="0" w:right="0"/>
              <w:jc w:val="center"/>
              <w:rPr>
                <w:sz w:val="22"/>
              </w:rPr>
            </w:pPr>
            <w:r w:rsidRPr="003929F6">
              <w:rPr>
                <w:sz w:val="22"/>
              </w:rPr>
              <w:t>–</w:t>
            </w:r>
          </w:p>
        </w:tc>
        <w:tc>
          <w:tcPr>
            <w:tcW w:w="992" w:type="dxa"/>
            <w:hideMark/>
          </w:tcPr>
          <w:p w14:paraId="6179022C" w14:textId="77777777" w:rsidR="00E246E4" w:rsidRPr="003929F6" w:rsidRDefault="00E246E4" w:rsidP="003929F6">
            <w:pPr>
              <w:pStyle w:val="Tabletext"/>
              <w:ind w:left="0" w:right="0"/>
              <w:jc w:val="center"/>
              <w:rPr>
                <w:sz w:val="22"/>
              </w:rPr>
            </w:pPr>
            <w:r w:rsidRPr="003929F6">
              <w:rPr>
                <w:sz w:val="22"/>
              </w:rPr>
              <w:sym w:font="Wingdings" w:char="F0FC"/>
            </w:r>
          </w:p>
        </w:tc>
        <w:tc>
          <w:tcPr>
            <w:tcW w:w="1276" w:type="dxa"/>
            <w:hideMark/>
          </w:tcPr>
          <w:p w14:paraId="7A554A64" w14:textId="77777777" w:rsidR="00E246E4" w:rsidRPr="003929F6" w:rsidRDefault="00E246E4" w:rsidP="003929F6">
            <w:pPr>
              <w:pStyle w:val="Tabletext"/>
              <w:ind w:left="0" w:right="0"/>
              <w:jc w:val="center"/>
              <w:rPr>
                <w:sz w:val="22"/>
              </w:rPr>
            </w:pPr>
            <w:r w:rsidRPr="003929F6">
              <w:rPr>
                <w:sz w:val="22"/>
              </w:rPr>
              <w:t>–</w:t>
            </w:r>
          </w:p>
        </w:tc>
      </w:tr>
    </w:tbl>
    <w:p w14:paraId="55B48015" w14:textId="706CC010" w:rsidR="00E246E4" w:rsidRPr="00271F2E" w:rsidRDefault="00705C40" w:rsidP="00271F2E">
      <w:pPr>
        <w:pStyle w:val="TableDescription"/>
      </w:pPr>
      <w:r w:rsidRPr="00271F2E">
        <w:t>1</w:t>
      </w:r>
      <w:r w:rsidR="00E246E4" w:rsidRPr="00271F2E">
        <w:t xml:space="preserve"> Targeted follow-up questionnaires</w:t>
      </w:r>
    </w:p>
    <w:p w14:paraId="5D430D4A" w14:textId="4C91DF25" w:rsidR="00E246E4" w:rsidRPr="00404A58" w:rsidRDefault="00E246E4" w:rsidP="00705C40">
      <w:pPr>
        <w:pStyle w:val="ListBullet"/>
        <w:rPr>
          <w:snapToGrid w:val="0"/>
        </w:rPr>
      </w:pPr>
      <w:r w:rsidRPr="00404A58">
        <w:rPr>
          <w:snapToGrid w:val="0"/>
        </w:rPr>
        <w:t>The summary of safety concerns is considered acceptable from an RMP perspective. Risks are associated with class effects of BTK inhibitors. The sponsor is requested to amend the nonclinical part of the RMP safety specification in an RMP Update to the TGA to address particulars of repeated dose toxicity.</w:t>
      </w:r>
    </w:p>
    <w:p w14:paraId="7061BD93" w14:textId="428E2B7C" w:rsidR="00E246E4" w:rsidRPr="00404A58" w:rsidRDefault="00E246E4" w:rsidP="00705C40">
      <w:pPr>
        <w:pStyle w:val="ListBullet"/>
        <w:rPr>
          <w:snapToGrid w:val="0"/>
        </w:rPr>
      </w:pPr>
      <w:r w:rsidRPr="00404A58">
        <w:rPr>
          <w:snapToGrid w:val="0"/>
        </w:rPr>
        <w:t xml:space="preserve">Routine pharmacovigilance activities are proposed for all safety concerns. No additional </w:t>
      </w:r>
      <w:r w:rsidR="00185189" w:rsidRPr="00404A58">
        <w:rPr>
          <w:snapToGrid w:val="0"/>
        </w:rPr>
        <w:t>pharmacovigilance</w:t>
      </w:r>
      <w:r w:rsidRPr="00404A58">
        <w:rPr>
          <w:snapToGrid w:val="0"/>
        </w:rPr>
        <w:t xml:space="preserve"> activities are proposed, but the sponsor agrees to implement targeted follow-up questionnaires to address risks of haemorrhage, cardiac arrhythmias, and teratogenicity as an enhancement to routine </w:t>
      </w:r>
      <w:r w:rsidR="00185189" w:rsidRPr="00404A58">
        <w:rPr>
          <w:snapToGrid w:val="0"/>
        </w:rPr>
        <w:t>pharmacovigilance</w:t>
      </w:r>
      <w:r w:rsidRPr="00404A58">
        <w:rPr>
          <w:snapToGrid w:val="0"/>
        </w:rPr>
        <w:t xml:space="preserve"> activities. The pharmacovigilance plan is considered acceptable from an RMP perspective.</w:t>
      </w:r>
    </w:p>
    <w:p w14:paraId="70B2AD9B" w14:textId="68EB2C84" w:rsidR="00E246E4" w:rsidRPr="00404A58" w:rsidRDefault="00E246E4" w:rsidP="00705C40">
      <w:pPr>
        <w:pStyle w:val="ListBullet"/>
        <w:rPr>
          <w:snapToGrid w:val="0"/>
        </w:rPr>
      </w:pPr>
      <w:r w:rsidRPr="00404A58">
        <w:rPr>
          <w:snapToGrid w:val="0"/>
        </w:rPr>
        <w:t>Routine risk minimisation measures are proposed for all concerns, except long</w:t>
      </w:r>
      <w:r w:rsidR="00C74D2C" w:rsidRPr="00404A58">
        <w:rPr>
          <w:snapToGrid w:val="0"/>
        </w:rPr>
        <w:t xml:space="preserve"> </w:t>
      </w:r>
      <w:r w:rsidRPr="00404A58">
        <w:rPr>
          <w:snapToGrid w:val="0"/>
        </w:rPr>
        <w:t xml:space="preserve">term safety which is being further characterised in sponsor’s ongoing clinical trials program. These measures are considered sufficient to manage risks associated with Brukinsa use. As requested, the sponsor has improved the risk communication to consumers in the </w:t>
      </w:r>
      <w:r w:rsidR="00903125" w:rsidRPr="00404A58">
        <w:rPr>
          <w:snapToGrid w:val="0"/>
        </w:rPr>
        <w:t>Consumer Medicines Information (</w:t>
      </w:r>
      <w:r w:rsidRPr="00404A58">
        <w:rPr>
          <w:snapToGrid w:val="0"/>
        </w:rPr>
        <w:t>CMI</w:t>
      </w:r>
      <w:r w:rsidR="00903125" w:rsidRPr="00404A58">
        <w:rPr>
          <w:snapToGrid w:val="0"/>
        </w:rPr>
        <w:t>)</w:t>
      </w:r>
      <w:r w:rsidRPr="00404A58">
        <w:rPr>
          <w:snapToGrid w:val="0"/>
        </w:rPr>
        <w:t xml:space="preserve"> document to align with the PI and has also added additional reproductive toxicity precautions. The risk minimisation plan is considered acceptable from an RMP perspective.</w:t>
      </w:r>
    </w:p>
    <w:p w14:paraId="11BB013B" w14:textId="23402FC7" w:rsidR="00E246E4" w:rsidRPr="00404A58" w:rsidRDefault="00E246E4" w:rsidP="00705C40">
      <w:pPr>
        <w:pStyle w:val="ListBullet"/>
        <w:rPr>
          <w:snapToGrid w:val="0"/>
        </w:rPr>
      </w:pPr>
      <w:r w:rsidRPr="00404A58">
        <w:rPr>
          <w:snapToGrid w:val="0"/>
        </w:rPr>
        <w:t xml:space="preserve">The </w:t>
      </w:r>
      <w:r w:rsidR="00C74D2C" w:rsidRPr="00404A58">
        <w:rPr>
          <w:snapToGrid w:val="0"/>
        </w:rPr>
        <w:t xml:space="preserve">clinical study plan </w:t>
      </w:r>
      <w:r w:rsidRPr="00404A58">
        <w:rPr>
          <w:snapToGrid w:val="0"/>
        </w:rPr>
        <w:t>to support provisional registration status is subject to final acceptance by the TGA Delegate.</w:t>
      </w:r>
    </w:p>
    <w:p w14:paraId="03DBCD52" w14:textId="7075B8C3" w:rsidR="008E7846" w:rsidRPr="00404A58" w:rsidRDefault="00AA0ED0" w:rsidP="008E7846">
      <w:pPr>
        <w:pStyle w:val="Heading3"/>
      </w:pPr>
      <w:bookmarkStart w:id="104" w:name="_Toc110965764"/>
      <w:r w:rsidRPr="00404A58">
        <w:t>Risk-benefit a</w:t>
      </w:r>
      <w:r w:rsidR="008E7846" w:rsidRPr="00404A58">
        <w:t>nalysis</w:t>
      </w:r>
      <w:bookmarkEnd w:id="99"/>
      <w:bookmarkEnd w:id="100"/>
      <w:bookmarkEnd w:id="104"/>
    </w:p>
    <w:p w14:paraId="226081CE" w14:textId="77777777" w:rsidR="0074163C" w:rsidRPr="00404A58" w:rsidRDefault="0074163C" w:rsidP="0074163C">
      <w:pPr>
        <w:pStyle w:val="Heading4"/>
      </w:pPr>
      <w:bookmarkStart w:id="105" w:name="_Toc98931932"/>
      <w:r w:rsidRPr="00404A58">
        <w:t>Delegate’s considerations</w:t>
      </w:r>
      <w:bookmarkEnd w:id="105"/>
    </w:p>
    <w:p w14:paraId="4404F682" w14:textId="598DEF07" w:rsidR="00B05276" w:rsidRPr="00404A58" w:rsidRDefault="00B05276" w:rsidP="00705C40">
      <w:r w:rsidRPr="00404A58">
        <w:t>The sponsor is requesting provisional registration of zanubrutinib for at least second line use for adult patients with MCL, based on the findings of a Phase II study (</w:t>
      </w:r>
      <w:r w:rsidR="00F171FC" w:rsidRPr="00404A58">
        <w:t>Study</w:t>
      </w:r>
      <w:r w:rsidR="00C74D2C" w:rsidRPr="00404A58">
        <w:t> </w:t>
      </w:r>
      <w:r w:rsidR="004A1542" w:rsidRPr="00404A58">
        <w:t>BGB</w:t>
      </w:r>
      <w:r w:rsidR="00C74D2C" w:rsidRPr="00404A58">
        <w:noBreakHyphen/>
      </w:r>
      <w:r w:rsidR="004A1542" w:rsidRPr="00404A58">
        <w:t>311</w:t>
      </w:r>
      <w:r w:rsidR="000B7A29">
        <w:t>1</w:t>
      </w:r>
      <w:r w:rsidR="00C74D2C" w:rsidRPr="00404A58">
        <w:noBreakHyphen/>
      </w:r>
      <w:r w:rsidR="004A1542" w:rsidRPr="00404A58">
        <w:t>206</w:t>
      </w:r>
      <w:r w:rsidRPr="00404A58">
        <w:t xml:space="preserve">) and a cohort of patients from </w:t>
      </w:r>
      <w:r w:rsidR="00F171FC" w:rsidRPr="00404A58">
        <w:t>Study</w:t>
      </w:r>
      <w:r w:rsidRPr="00404A58">
        <w:t xml:space="preserve"> </w:t>
      </w:r>
      <w:r w:rsidR="001006D4" w:rsidRPr="00404A58">
        <w:t>BGB-3111-AU-003</w:t>
      </w:r>
      <w:r w:rsidRPr="00404A58">
        <w:t>.</w:t>
      </w:r>
    </w:p>
    <w:p w14:paraId="0D719F70" w14:textId="576542E3" w:rsidR="00B05276" w:rsidRPr="00404A58" w:rsidRDefault="00B05276" w:rsidP="00705C40">
      <w:r w:rsidRPr="00404A58">
        <w:t>Based on the in vitro findings of irreversible binding of zanubrutinib with BTK, despite the short plasma half</w:t>
      </w:r>
      <w:r w:rsidR="007A1F56">
        <w:t>-</w:t>
      </w:r>
      <w:r w:rsidRPr="00404A58">
        <w:t xml:space="preserve">life long lasting </w:t>
      </w:r>
      <w:r w:rsidR="000F3969" w:rsidRPr="00404A58">
        <w:t xml:space="preserve">PD </w:t>
      </w:r>
      <w:r w:rsidRPr="00404A58">
        <w:t>effects are expected.</w:t>
      </w:r>
    </w:p>
    <w:p w14:paraId="5AFE46BB" w14:textId="6D7288D5" w:rsidR="00B05276" w:rsidRPr="00404A58" w:rsidRDefault="00B05276" w:rsidP="00705C40">
      <w:r w:rsidRPr="00404A58">
        <w:t xml:space="preserve">The nonclinical evaluation found zanubrutinib </w:t>
      </w:r>
      <w:r w:rsidR="003B2081">
        <w:t xml:space="preserve">is </w:t>
      </w:r>
      <w:r w:rsidRPr="00404A58">
        <w:t xml:space="preserve">likely to inhibit </w:t>
      </w:r>
      <w:r w:rsidR="000F3969" w:rsidRPr="00404A58">
        <w:t xml:space="preserve">bone marrow X kinase </w:t>
      </w:r>
      <w:r w:rsidRPr="00404A58">
        <w:t>/</w:t>
      </w:r>
      <w:r w:rsidR="000F3969" w:rsidRPr="00404A58">
        <w:t xml:space="preserve"> epithelial and endothelial tyrosine kinase</w:t>
      </w:r>
      <w:r w:rsidRPr="00404A58">
        <w:t xml:space="preserve">, </w:t>
      </w:r>
      <w:r w:rsidR="000F3969" w:rsidRPr="00404A58">
        <w:t>tyrosine-protein kinase Blk</w:t>
      </w:r>
      <w:r w:rsidRPr="00404A58">
        <w:t xml:space="preserve">, </w:t>
      </w:r>
      <w:r w:rsidR="00652FB5" w:rsidRPr="00404A58">
        <w:t xml:space="preserve">erb-b2 receptor tyrosine kinase 4 </w:t>
      </w:r>
      <w:r w:rsidRPr="00404A58">
        <w:t>/</w:t>
      </w:r>
      <w:r w:rsidR="00652FB5" w:rsidRPr="00404A58">
        <w:t xml:space="preserve"> human epidermal growth factor receptor 4</w:t>
      </w:r>
      <w:r w:rsidRPr="00404A58">
        <w:t xml:space="preserve">, </w:t>
      </w:r>
      <w:r w:rsidR="00652FB5" w:rsidRPr="00404A58">
        <w:t>tec protein tyrosine kinase</w:t>
      </w:r>
      <w:r w:rsidRPr="00404A58">
        <w:t xml:space="preserve">, EGFR, </w:t>
      </w:r>
      <w:r w:rsidR="00A865AB" w:rsidRPr="00404A58">
        <w:t xml:space="preserve">TXK </w:t>
      </w:r>
      <w:bookmarkStart w:id="106" w:name="_Hlk106105962"/>
      <w:r w:rsidR="00A865AB" w:rsidRPr="00404A58">
        <w:t>tyrosine kinase</w:t>
      </w:r>
      <w:bookmarkEnd w:id="106"/>
      <w:r w:rsidRPr="00404A58">
        <w:t xml:space="preserve">, </w:t>
      </w:r>
      <w:r w:rsidR="00A865AB" w:rsidRPr="00404A58">
        <w:t xml:space="preserve">breast tumour kinase </w:t>
      </w:r>
      <w:r w:rsidRPr="00404A58">
        <w:t>and ITK; may slightly inhibit FGR</w:t>
      </w:r>
      <w:r w:rsidR="00F350BD" w:rsidRPr="00404A58">
        <w:t xml:space="preserve"> </w:t>
      </w:r>
      <w:r w:rsidR="00F350BD" w:rsidRPr="00404A58">
        <w:lastRenderedPageBreak/>
        <w:t>tyrosine kinase</w:t>
      </w:r>
      <w:r w:rsidRPr="00404A58">
        <w:t xml:space="preserve">, </w:t>
      </w:r>
      <w:r w:rsidR="00E26DFF" w:rsidRPr="00404A58">
        <w:t>lymphocyte specific protein tyrosine kinase</w:t>
      </w:r>
      <w:r w:rsidRPr="00404A58">
        <w:t xml:space="preserve"> and </w:t>
      </w:r>
      <w:proofErr w:type="spellStart"/>
      <w:r w:rsidR="00652FB5" w:rsidRPr="00404A58">
        <w:t>fyn</w:t>
      </w:r>
      <w:proofErr w:type="spellEnd"/>
      <w:r w:rsidR="00652FB5" w:rsidRPr="00404A58">
        <w:t xml:space="preserve"> related kinase </w:t>
      </w:r>
      <w:r w:rsidRPr="00404A58">
        <w:t>/</w:t>
      </w:r>
      <w:r w:rsidR="00652FB5" w:rsidRPr="00404A58">
        <w:t xml:space="preserve"> protein tyrosine kinase 5</w:t>
      </w:r>
      <w:r w:rsidRPr="00404A58">
        <w:t>. These findings raise theoretical possibilities of off</w:t>
      </w:r>
      <w:r w:rsidR="00C74D2C" w:rsidRPr="00404A58">
        <w:t>-</w:t>
      </w:r>
      <w:r w:rsidRPr="00404A58">
        <w:t>target effects.</w:t>
      </w:r>
    </w:p>
    <w:p w14:paraId="67EC52DE" w14:textId="77777777" w:rsidR="00B05276" w:rsidRPr="00404A58" w:rsidRDefault="00B05276" w:rsidP="00705C40">
      <w:pPr>
        <w:pStyle w:val="Heading5"/>
      </w:pPr>
      <w:r w:rsidRPr="00404A58">
        <w:t>Clinical efficacy and safety</w:t>
      </w:r>
    </w:p>
    <w:p w14:paraId="7033EDCE" w14:textId="273B818A" w:rsidR="00B05276" w:rsidRPr="00404A58" w:rsidRDefault="00B05276" w:rsidP="00705C40">
      <w:r w:rsidRPr="00404A58">
        <w:t xml:space="preserve">Primary efficacy data were derived from </w:t>
      </w:r>
      <w:r w:rsidR="00C74D2C" w:rsidRPr="00404A58">
        <w:t xml:space="preserve">Studies </w:t>
      </w:r>
      <w:r w:rsidR="004A1542" w:rsidRPr="00404A58">
        <w:t>BGB-311</w:t>
      </w:r>
      <w:r w:rsidR="000B7A29">
        <w:t>1</w:t>
      </w:r>
      <w:r w:rsidR="004A1542" w:rsidRPr="00404A58">
        <w:t>-206</w:t>
      </w:r>
      <w:r w:rsidRPr="00404A58">
        <w:t xml:space="preserve"> and </w:t>
      </w:r>
      <w:r w:rsidR="001006D4" w:rsidRPr="00404A58">
        <w:t>BGB-3111-AU-003</w:t>
      </w:r>
      <w:r w:rsidRPr="00404A58">
        <w:t xml:space="preserve"> in r/r MCL patients achieved an ORR in 83.4% </w:t>
      </w:r>
      <w:r w:rsidR="00F171FC" w:rsidRPr="00404A58">
        <w:t>Study</w:t>
      </w:r>
      <w:r w:rsidRPr="00404A58">
        <w:t xml:space="preserve"> </w:t>
      </w:r>
      <w:r w:rsidR="004A1542" w:rsidRPr="00404A58">
        <w:t>BGB-311</w:t>
      </w:r>
      <w:r w:rsidR="000B7A29">
        <w:t>1</w:t>
      </w:r>
      <w:r w:rsidR="004A1542" w:rsidRPr="00404A58">
        <w:t>-206</w:t>
      </w:r>
      <w:r w:rsidRPr="00404A58">
        <w:t xml:space="preserve"> and 81.1% in </w:t>
      </w:r>
      <w:r w:rsidR="00F171FC" w:rsidRPr="00404A58">
        <w:t>Study</w:t>
      </w:r>
      <w:r w:rsidR="00C74D2C" w:rsidRPr="00404A58">
        <w:t> </w:t>
      </w:r>
      <w:r w:rsidR="001006D4" w:rsidRPr="00404A58">
        <w:t>BGB</w:t>
      </w:r>
      <w:r w:rsidR="00C74D2C" w:rsidRPr="00404A58">
        <w:noBreakHyphen/>
      </w:r>
      <w:r w:rsidR="001006D4" w:rsidRPr="00404A58">
        <w:t>3111-AU-003</w:t>
      </w:r>
      <w:r w:rsidRPr="00404A58">
        <w:t xml:space="preserve">. Responses in Study </w:t>
      </w:r>
      <w:r w:rsidR="004A1542" w:rsidRPr="00404A58">
        <w:t>BGB-311</w:t>
      </w:r>
      <w:r w:rsidR="000B7A29">
        <w:t>1</w:t>
      </w:r>
      <w:r w:rsidR="004A1542" w:rsidRPr="00404A58">
        <w:t>-206</w:t>
      </w:r>
      <w:r w:rsidRPr="00404A58">
        <w:t xml:space="preserve"> were durable, and a median DOR had not been reached </w:t>
      </w:r>
      <w:r w:rsidR="00C74D2C" w:rsidRPr="00404A58">
        <w:t>by</w:t>
      </w:r>
      <w:r w:rsidRPr="00404A58">
        <w:t xml:space="preserve"> September 2020. However, around 22% patients discontinued treatment due to progressive disease. As noted above there were marked differences between CR and corresponding PR between the two studies. The median DOR 19.5 months with median follow-up from treatment start to study discontinuation of 18.4 months. Additional data from the September 2020 data cut provide some reassurance about the durability of response.</w:t>
      </w:r>
    </w:p>
    <w:p w14:paraId="1336EBE7" w14:textId="4882325B" w:rsidR="00B05276" w:rsidRPr="00404A58" w:rsidRDefault="00B05276" w:rsidP="00705C40">
      <w:r w:rsidRPr="00404A58">
        <w:t xml:space="preserve">There are no concerns about the effect size. While acknowledging the limitations of cross study comparisons, ORR reported for acalabrutinib in MCL per </w:t>
      </w:r>
      <w:r w:rsidR="00953790" w:rsidRPr="00404A58">
        <w:t>investigator</w:t>
      </w:r>
      <w:r w:rsidRPr="00404A58">
        <w:t xml:space="preserve"> was 80.6%. For ibrutinib the ORR was 67.6% after a median of 3 (range </w:t>
      </w:r>
      <w:r w:rsidR="00C74D2C" w:rsidRPr="00404A58">
        <w:t xml:space="preserve">1 to </w:t>
      </w:r>
      <w:r w:rsidRPr="00404A58">
        <w:t>5) prior treatments and 71.9% after a median of 2 (range 1</w:t>
      </w:r>
      <w:r w:rsidR="00C74D2C" w:rsidRPr="00404A58">
        <w:t xml:space="preserve"> to </w:t>
      </w:r>
      <w:r w:rsidRPr="00404A58">
        <w:t>9) prior treatments.</w:t>
      </w:r>
    </w:p>
    <w:p w14:paraId="3D04BE55" w14:textId="0ABB0C34" w:rsidR="00B05276" w:rsidRPr="00404A58" w:rsidRDefault="00B05276" w:rsidP="00705C40">
      <w:r w:rsidRPr="00404A58">
        <w:t xml:space="preserve">Common </w:t>
      </w:r>
      <w:r w:rsidR="0069053A" w:rsidRPr="00404A58">
        <w:t>AE</w:t>
      </w:r>
      <w:r w:rsidRPr="00404A58">
        <w:t xml:space="preserve">s were neutropenia, thrombocytopenia, upper respiratory tract infection, anaemia, rash, </w:t>
      </w:r>
      <w:proofErr w:type="gramStart"/>
      <w:r w:rsidRPr="00404A58">
        <w:t>diarrhoea</w:t>
      </w:r>
      <w:proofErr w:type="gramEnd"/>
      <w:r w:rsidRPr="00404A58">
        <w:t xml:space="preserve"> and bruising. Serious adverse events occurred in 31% and included pneumonia and haemorrhage.</w:t>
      </w:r>
    </w:p>
    <w:p w14:paraId="7A068C4E" w14:textId="30E53FCF" w:rsidR="00B05276" w:rsidRPr="00404A58" w:rsidRDefault="00B05276" w:rsidP="00705C40">
      <w:r w:rsidRPr="00404A58">
        <w:t xml:space="preserve">Some differences in the safety data were seen between </w:t>
      </w:r>
      <w:r w:rsidR="00C74D2C" w:rsidRPr="00404A58">
        <w:t xml:space="preserve">Studies </w:t>
      </w:r>
      <w:r w:rsidR="004A1542" w:rsidRPr="00404A58">
        <w:t>BGB-311</w:t>
      </w:r>
      <w:r w:rsidR="000B7A29">
        <w:t>1</w:t>
      </w:r>
      <w:r w:rsidR="004A1542" w:rsidRPr="00404A58">
        <w:t>-206</w:t>
      </w:r>
      <w:r w:rsidRPr="00404A58">
        <w:t xml:space="preserve"> and </w:t>
      </w:r>
      <w:r w:rsidR="001006D4" w:rsidRPr="00404A58">
        <w:t>BGB</w:t>
      </w:r>
      <w:r w:rsidR="00C74D2C" w:rsidRPr="00404A58">
        <w:noBreakHyphen/>
      </w:r>
      <w:r w:rsidR="001006D4" w:rsidRPr="00404A58">
        <w:t>3111-AU-003</w:t>
      </w:r>
      <w:r w:rsidRPr="00404A58">
        <w:t xml:space="preserve">, with a higher proportion of haemorrhage (25.6% </w:t>
      </w:r>
      <w:r w:rsidR="001006D4" w:rsidRPr="00404A58">
        <w:t>versus</w:t>
      </w:r>
      <w:r w:rsidRPr="00404A58">
        <w:t xml:space="preserve"> 54.1%); Grade 3 or 4 anaemia (7% </w:t>
      </w:r>
      <w:r w:rsidR="001006D4" w:rsidRPr="00404A58">
        <w:t>versus</w:t>
      </w:r>
      <w:r w:rsidRPr="00404A58">
        <w:t xml:space="preserve"> 16.2%) and atrial fibrillation</w:t>
      </w:r>
      <w:r w:rsidR="00C74D2C" w:rsidRPr="00404A58">
        <w:t xml:space="preserve"> or </w:t>
      </w:r>
      <w:r w:rsidRPr="00404A58">
        <w:t xml:space="preserve">flutter (0% </w:t>
      </w:r>
      <w:r w:rsidR="001006D4" w:rsidRPr="00404A58">
        <w:t>versus</w:t>
      </w:r>
      <w:r w:rsidRPr="00404A58">
        <w:t xml:space="preserve"> 5.4%) as examples.</w:t>
      </w:r>
    </w:p>
    <w:p w14:paraId="68418CD6" w14:textId="04CC5D0D" w:rsidR="00B05276" w:rsidRPr="00404A58" w:rsidRDefault="00B05276" w:rsidP="00705C40">
      <w:r w:rsidRPr="00404A58">
        <w:t>Based on the evidence presented from the safety data set in B-cell malignancies, and specifically for MCL, zanubrutinib has an acceptable safety profile for the context of use.</w:t>
      </w:r>
    </w:p>
    <w:p w14:paraId="35C4DB5D" w14:textId="65CDB646" w:rsidR="00B05276" w:rsidRPr="00404A58" w:rsidRDefault="00B05276" w:rsidP="00705C40">
      <w:pPr>
        <w:pStyle w:val="Heading5"/>
      </w:pPr>
      <w:r w:rsidRPr="00404A58">
        <w:t xml:space="preserve">Generalisability of Study </w:t>
      </w:r>
      <w:r w:rsidR="004A1542" w:rsidRPr="00404A58">
        <w:t>BGB-311</w:t>
      </w:r>
      <w:r w:rsidR="000B7A29">
        <w:t>1</w:t>
      </w:r>
      <w:r w:rsidR="004A1542" w:rsidRPr="00404A58">
        <w:t>-206</w:t>
      </w:r>
      <w:r w:rsidRPr="00404A58">
        <w:t xml:space="preserve"> to the Australian context</w:t>
      </w:r>
    </w:p>
    <w:p w14:paraId="5C204EA8" w14:textId="733AA5F5" w:rsidR="00B05276" w:rsidRPr="00404A58" w:rsidRDefault="00B05276" w:rsidP="00705C40">
      <w:r w:rsidRPr="00404A58">
        <w:t xml:space="preserve">Study </w:t>
      </w:r>
      <w:r w:rsidR="004A1542" w:rsidRPr="00404A58">
        <w:t>BGB-311</w:t>
      </w:r>
      <w:r w:rsidR="000B7A29">
        <w:t>1</w:t>
      </w:r>
      <w:r w:rsidR="004A1542" w:rsidRPr="00404A58">
        <w:t>-206</w:t>
      </w:r>
      <w:r w:rsidRPr="00404A58">
        <w:t xml:space="preserve">, the primary evidence to support the provisional registration in MCL, was conducted in China, adding some uncertainty to the generalisability of the findings to the Australian context. </w:t>
      </w:r>
      <w:r w:rsidR="001006D4" w:rsidRPr="00404A58">
        <w:t>Study BGB-3111-AU-003</w:t>
      </w:r>
      <w:r w:rsidRPr="00404A58">
        <w:t xml:space="preserve"> recruited from a broader geographical area including Australia, Italy, New Zealand, South Korea, the United </w:t>
      </w:r>
      <w:proofErr w:type="gramStart"/>
      <w:r w:rsidRPr="00404A58">
        <w:t>Kingdom</w:t>
      </w:r>
      <w:proofErr w:type="gramEnd"/>
      <w:r w:rsidRPr="00404A58">
        <w:t xml:space="preserve"> and the US. Study </w:t>
      </w:r>
      <w:r w:rsidR="004A1542" w:rsidRPr="00404A58">
        <w:t>BGB-311</w:t>
      </w:r>
      <w:r w:rsidR="000B7A29">
        <w:t>1</w:t>
      </w:r>
      <w:r w:rsidR="004A1542" w:rsidRPr="00404A58">
        <w:t>-206</w:t>
      </w:r>
      <w:r w:rsidRPr="00404A58">
        <w:t xml:space="preserve"> had a </w:t>
      </w:r>
      <w:proofErr w:type="gramStart"/>
      <w:r w:rsidRPr="00404A58">
        <w:t>75</w:t>
      </w:r>
      <w:r w:rsidR="00F13259" w:rsidRPr="00404A58">
        <w:t xml:space="preserve"> </w:t>
      </w:r>
      <w:r w:rsidRPr="00404A58">
        <w:t>year</w:t>
      </w:r>
      <w:proofErr w:type="gramEnd"/>
      <w:r w:rsidRPr="00404A58">
        <w:t xml:space="preserve"> age cut-off whereas 37.5% of </w:t>
      </w:r>
      <w:r w:rsidR="001006D4" w:rsidRPr="00404A58">
        <w:t>Study</w:t>
      </w:r>
      <w:r w:rsidR="00F13259" w:rsidRPr="00404A58">
        <w:t> </w:t>
      </w:r>
      <w:r w:rsidR="001006D4" w:rsidRPr="00404A58">
        <w:t>BGB-3111-AU-003</w:t>
      </w:r>
      <w:r w:rsidRPr="00404A58">
        <w:t xml:space="preserve"> were aged &gt; 75 years. CR differences were noted for </w:t>
      </w:r>
      <w:r w:rsidR="00F13259" w:rsidRPr="00404A58">
        <w:t xml:space="preserve">Studies </w:t>
      </w:r>
      <w:r w:rsidR="004A1542" w:rsidRPr="00404A58">
        <w:t>BGB-311</w:t>
      </w:r>
      <w:r w:rsidR="000B7A29">
        <w:t>1</w:t>
      </w:r>
      <w:r w:rsidR="004A1542" w:rsidRPr="00404A58">
        <w:t>-206</w:t>
      </w:r>
      <w:r w:rsidRPr="00404A58">
        <w:t xml:space="preserve"> (78% CR) and </w:t>
      </w:r>
      <w:r w:rsidR="004A1542" w:rsidRPr="00404A58">
        <w:t>BGB</w:t>
      </w:r>
      <w:r w:rsidR="00F13259" w:rsidRPr="00404A58">
        <w:noBreakHyphen/>
      </w:r>
      <w:r w:rsidR="004A1542" w:rsidRPr="00404A58">
        <w:t>3111</w:t>
      </w:r>
      <w:r w:rsidR="00F13259" w:rsidRPr="00404A58">
        <w:noBreakHyphen/>
      </w:r>
      <w:r w:rsidR="004A1542" w:rsidRPr="00404A58">
        <w:t>AU</w:t>
      </w:r>
      <w:r w:rsidR="00F13259" w:rsidRPr="00404A58">
        <w:noBreakHyphen/>
      </w:r>
      <w:r w:rsidR="004A1542" w:rsidRPr="00404A58">
        <w:t xml:space="preserve">003 </w:t>
      </w:r>
      <w:r w:rsidRPr="00404A58">
        <w:t>(25% CR), although the ORR for both studies was 84%.</w:t>
      </w:r>
    </w:p>
    <w:p w14:paraId="5E7674FF" w14:textId="2BFDA9EF" w:rsidR="00B05276" w:rsidRPr="00404A58" w:rsidRDefault="00B05276" w:rsidP="00705C40">
      <w:r w:rsidRPr="00404A58">
        <w:t xml:space="preserve">There were differences between the Study </w:t>
      </w:r>
      <w:r w:rsidR="004A1542" w:rsidRPr="00404A58">
        <w:t>BGB-311</w:t>
      </w:r>
      <w:r w:rsidR="000B7A29">
        <w:t>1</w:t>
      </w:r>
      <w:r w:rsidR="004A1542" w:rsidRPr="00404A58">
        <w:t>-206</w:t>
      </w:r>
      <w:r w:rsidRPr="00404A58">
        <w:t xml:space="preserve"> </w:t>
      </w:r>
      <w:r w:rsidR="001006D4" w:rsidRPr="00404A58">
        <w:t>versus</w:t>
      </w:r>
      <w:r w:rsidRPr="00404A58">
        <w:t xml:space="preserve"> </w:t>
      </w:r>
      <w:r w:rsidR="00F13259" w:rsidRPr="00404A58">
        <w:t>Study </w:t>
      </w:r>
      <w:r w:rsidR="001006D4" w:rsidRPr="00404A58">
        <w:t xml:space="preserve">BGB-3111-AU-003 </w:t>
      </w:r>
      <w:r w:rsidRPr="00404A58">
        <w:t>other than the ethnicity of the patients and the location of the study including:</w:t>
      </w:r>
    </w:p>
    <w:p w14:paraId="01733F0B" w14:textId="6D89DDDE" w:rsidR="00B05276" w:rsidRPr="00404A58" w:rsidRDefault="00F13259" w:rsidP="00705C40">
      <w:pPr>
        <w:pStyle w:val="ListBullet"/>
        <w:rPr>
          <w:lang w:val="en-US"/>
        </w:rPr>
      </w:pPr>
      <w:r w:rsidRPr="00404A58">
        <w:rPr>
          <w:lang w:val="en-US"/>
        </w:rPr>
        <w:t>m</w:t>
      </w:r>
      <w:r w:rsidR="00B05276" w:rsidRPr="00404A58">
        <w:rPr>
          <w:lang w:val="en-US"/>
        </w:rPr>
        <w:t xml:space="preserve">ore refractory disease in study: 52.3% </w:t>
      </w:r>
      <w:r w:rsidR="001006D4" w:rsidRPr="00404A58">
        <w:t>versus</w:t>
      </w:r>
      <w:r w:rsidR="00B05276" w:rsidRPr="00404A58">
        <w:rPr>
          <w:lang w:val="en-US"/>
        </w:rPr>
        <w:t xml:space="preserve"> </w:t>
      </w:r>
      <w:proofErr w:type="gramStart"/>
      <w:r w:rsidR="00B05276" w:rsidRPr="00404A58">
        <w:rPr>
          <w:lang w:val="en-US"/>
        </w:rPr>
        <w:t>25%</w:t>
      </w:r>
      <w:r w:rsidRPr="00404A58">
        <w:rPr>
          <w:lang w:val="en-US"/>
        </w:rPr>
        <w:t>;</w:t>
      </w:r>
      <w:proofErr w:type="gramEnd"/>
    </w:p>
    <w:p w14:paraId="3D464BC2" w14:textId="4860E3F1" w:rsidR="00B05276" w:rsidRPr="00404A58" w:rsidRDefault="00F13259" w:rsidP="00705C40">
      <w:pPr>
        <w:pStyle w:val="ListBullet"/>
        <w:rPr>
          <w:lang w:val="en-US"/>
        </w:rPr>
      </w:pPr>
      <w:r w:rsidRPr="00404A58">
        <w:rPr>
          <w:lang w:val="en-US"/>
        </w:rPr>
        <w:t>m</w:t>
      </w:r>
      <w:r w:rsidR="00B05276" w:rsidRPr="00404A58">
        <w:rPr>
          <w:lang w:val="en-US"/>
        </w:rPr>
        <w:t xml:space="preserve">ore pre-treatment: median 2 treatments </w:t>
      </w:r>
      <w:r w:rsidR="001006D4" w:rsidRPr="00404A58">
        <w:t>versus</w:t>
      </w:r>
      <w:r w:rsidR="00B05276" w:rsidRPr="00404A58">
        <w:rPr>
          <w:lang w:val="en-US"/>
        </w:rPr>
        <w:t xml:space="preserve"> </w:t>
      </w:r>
      <w:proofErr w:type="gramStart"/>
      <w:r w:rsidR="00B05276" w:rsidRPr="00404A58">
        <w:rPr>
          <w:lang w:val="en-US"/>
        </w:rPr>
        <w:t>1</w:t>
      </w:r>
      <w:r w:rsidRPr="00404A58">
        <w:rPr>
          <w:lang w:val="en-US"/>
        </w:rPr>
        <w:t>;</w:t>
      </w:r>
      <w:proofErr w:type="gramEnd"/>
    </w:p>
    <w:p w14:paraId="4CD5253F" w14:textId="2B74E2F5" w:rsidR="00B05276" w:rsidRPr="00404A58" w:rsidRDefault="00F13259" w:rsidP="00705C40">
      <w:pPr>
        <w:pStyle w:val="ListBullet"/>
        <w:rPr>
          <w:lang w:val="en-US"/>
        </w:rPr>
      </w:pPr>
      <w:r w:rsidRPr="00404A58">
        <w:rPr>
          <w:lang w:val="en-US"/>
        </w:rPr>
        <w:t>e</w:t>
      </w:r>
      <w:r w:rsidR="00B05276" w:rsidRPr="00404A58">
        <w:rPr>
          <w:lang w:val="en-US"/>
        </w:rPr>
        <w:t xml:space="preserve">xpected aggressive nature of disease: blastoid variant 14% </w:t>
      </w:r>
      <w:r w:rsidR="001006D4" w:rsidRPr="00404A58">
        <w:t>versus</w:t>
      </w:r>
      <w:r w:rsidR="00B05276" w:rsidRPr="00404A58">
        <w:rPr>
          <w:lang w:val="en-US"/>
        </w:rPr>
        <w:t xml:space="preserve"> 6.3%</w:t>
      </w:r>
      <w:r w:rsidRPr="00404A58">
        <w:rPr>
          <w:lang w:val="en-US"/>
        </w:rPr>
        <w:t>.</w:t>
      </w:r>
    </w:p>
    <w:p w14:paraId="2802CA0A" w14:textId="3D6CFF08" w:rsidR="00B05276" w:rsidRPr="00404A58" w:rsidRDefault="00F13259" w:rsidP="00705C40">
      <w:r w:rsidRPr="00404A58">
        <w:t>Positron emission tomography (</w:t>
      </w:r>
      <w:r w:rsidR="00B05276" w:rsidRPr="00404A58">
        <w:t>PET</w:t>
      </w:r>
      <w:r w:rsidRPr="00404A58">
        <w:t>)</w:t>
      </w:r>
      <w:r w:rsidR="00B05276" w:rsidRPr="00404A58">
        <w:t xml:space="preserve"> scanning was required to assess all responses in Study</w:t>
      </w:r>
      <w:r w:rsidRPr="00404A58">
        <w:t> </w:t>
      </w:r>
      <w:r w:rsidR="004A1542" w:rsidRPr="00404A58">
        <w:t>BGB-311</w:t>
      </w:r>
      <w:r w:rsidR="000B7A29">
        <w:t>1</w:t>
      </w:r>
      <w:r w:rsidR="004A1542" w:rsidRPr="00404A58">
        <w:t>-206</w:t>
      </w:r>
      <w:r w:rsidR="00B05276" w:rsidRPr="00404A58">
        <w:t xml:space="preserve">, considered a standard methodology for measuring MCL response by the Lugano </w:t>
      </w:r>
      <w:r w:rsidR="004A2B72" w:rsidRPr="00404A58">
        <w:t>classification</w:t>
      </w:r>
      <w:r w:rsidR="00B05276" w:rsidRPr="00404A58">
        <w:t xml:space="preserve">. </w:t>
      </w:r>
      <w:r w:rsidR="001006D4" w:rsidRPr="00404A58">
        <w:t>Study BGB-3111-AU-003</w:t>
      </w:r>
      <w:r w:rsidR="00B05276" w:rsidRPr="00404A58">
        <w:t xml:space="preserve"> was designed prior to the publication of this classification and the primary method of investigation was CT scanning, with PET scanning optional for the investigator. This adds a limitation to the cross-study comparison between the two studies. Eight patients in </w:t>
      </w:r>
      <w:r w:rsidR="001006D4" w:rsidRPr="00404A58">
        <w:t>Study BGB-3111-AU-003</w:t>
      </w:r>
      <w:r w:rsidR="00B05276" w:rsidRPr="00404A58">
        <w:t xml:space="preserve"> had PET scans, and 4 considered non</w:t>
      </w:r>
      <w:r w:rsidRPr="00404A58">
        <w:noBreakHyphen/>
      </w:r>
      <w:r w:rsidR="00B05276" w:rsidRPr="00404A58">
        <w:t xml:space="preserve">CR by CT were upgraded to CR </w:t>
      </w:r>
      <w:proofErr w:type="gramStart"/>
      <w:r w:rsidR="00B05276" w:rsidRPr="00404A58">
        <w:t>on the basis of</w:t>
      </w:r>
      <w:proofErr w:type="gramEnd"/>
      <w:r w:rsidR="00B05276" w:rsidRPr="00404A58">
        <w:t xml:space="preserve"> the PET results. The sponsor notes</w:t>
      </w:r>
      <w:r w:rsidRPr="00404A58">
        <w:t xml:space="preserve"> the following</w:t>
      </w:r>
      <w:r w:rsidR="00B05276" w:rsidRPr="00404A58">
        <w:t>:</w:t>
      </w:r>
    </w:p>
    <w:p w14:paraId="0E0DA78B" w14:textId="32FFC2DB" w:rsidR="00B05276" w:rsidRPr="00404A58" w:rsidRDefault="00F13259" w:rsidP="00F13259">
      <w:pPr>
        <w:pStyle w:val="ListBullet"/>
      </w:pPr>
      <w:r w:rsidRPr="00404A58">
        <w:t>T</w:t>
      </w:r>
      <w:r w:rsidR="00B05276" w:rsidRPr="00404A58">
        <w:t>he CR rate would likely have been higher with systematic PET imaging in all patients given that PET scan</w:t>
      </w:r>
      <w:r w:rsidRPr="00404A58">
        <w:t xml:space="preserve"> </w:t>
      </w:r>
      <w:r w:rsidR="00B05276" w:rsidRPr="00404A58">
        <w:t>based metabolic CRs are easier to achieve than CT</w:t>
      </w:r>
      <w:r w:rsidRPr="00404A58">
        <w:t xml:space="preserve"> </w:t>
      </w:r>
      <w:r w:rsidR="00B05276" w:rsidRPr="00404A58">
        <w:t xml:space="preserve">based CRs that </w:t>
      </w:r>
      <w:r w:rsidR="00B05276" w:rsidRPr="00404A58">
        <w:lastRenderedPageBreak/>
        <w:t>require complete resolution of extra-lymphatic sites of disease and regression of affected lymph modes to ≤ 1.5 cm in the longest transverse diameter.</w:t>
      </w:r>
    </w:p>
    <w:p w14:paraId="3CE14508" w14:textId="19809B25" w:rsidR="00B05276" w:rsidRPr="00404A58" w:rsidRDefault="00B05276" w:rsidP="00705C40">
      <w:r w:rsidRPr="00404A58">
        <w:t xml:space="preserve">Although disease characteristics and pharmacology of zanubrutinib may be similar in China and Australia, and the sponsor has noted differences in baseline characteristics between </w:t>
      </w:r>
      <w:r w:rsidR="00F13259" w:rsidRPr="00404A58">
        <w:t xml:space="preserve">Studies </w:t>
      </w:r>
      <w:r w:rsidR="004A1542" w:rsidRPr="00404A58">
        <w:t>BGB-311</w:t>
      </w:r>
      <w:r w:rsidR="000B7A29">
        <w:t>1</w:t>
      </w:r>
      <w:r w:rsidR="004A1542" w:rsidRPr="00404A58">
        <w:t>-206</w:t>
      </w:r>
      <w:r w:rsidRPr="00404A58">
        <w:t xml:space="preserve"> and </w:t>
      </w:r>
      <w:r w:rsidR="001006D4" w:rsidRPr="00404A58">
        <w:t>BGB-3111-AU-003</w:t>
      </w:r>
      <w:r w:rsidRPr="00404A58">
        <w:t xml:space="preserve">, aside from location of the study, some uncertainties regarding the generalisability of the findings to the Australian context remain so the advice of the </w:t>
      </w:r>
      <w:r w:rsidR="00903125" w:rsidRPr="00404A58">
        <w:t>Advisory Committee on Medicines (</w:t>
      </w:r>
      <w:r w:rsidRPr="00404A58">
        <w:t>ACM</w:t>
      </w:r>
      <w:r w:rsidR="00903125" w:rsidRPr="00404A58">
        <w:t>)</w:t>
      </w:r>
      <w:r w:rsidRPr="00404A58">
        <w:t xml:space="preserve"> has been requested.</w:t>
      </w:r>
    </w:p>
    <w:p w14:paraId="29220CF7" w14:textId="22CCF8DA" w:rsidR="00B05276" w:rsidRPr="00404A58" w:rsidRDefault="00B05276" w:rsidP="00705C40">
      <w:r w:rsidRPr="00404A58">
        <w:t xml:space="preserve">The sponsor has proposed an acceptable clinical study plan. The confirmatory study utilises a randomised design in a previously untreated patient population with a primary endpoint designed to demonstrate clinical benefit. The study is currently accruing and with a projected decision date for the submission of 2021 there is likely to be sufficient time for the sponsor to provide confirmatory data within the maximum </w:t>
      </w:r>
      <w:proofErr w:type="gramStart"/>
      <w:r w:rsidRPr="00404A58">
        <w:t>6 year</w:t>
      </w:r>
      <w:proofErr w:type="gramEnd"/>
      <w:r w:rsidRPr="00404A58">
        <w:t xml:space="preserve"> provisional registration period. It is noted that the purpose of a confirmatory study is not necessarily to repeat the use of the provisionally registered medicine in the same line of therapy and/or specific subset of a condition. Its main purpose is to confirm the understanding of the magnitude of the benefits and risks of the medicine in the condition to inform a regulatory decision about its ongoing registration for use in that condition.</w:t>
      </w:r>
    </w:p>
    <w:p w14:paraId="1A581708" w14:textId="77777777" w:rsidR="00B05276" w:rsidRPr="00404A58" w:rsidRDefault="00B05276" w:rsidP="00705C40">
      <w:pPr>
        <w:pStyle w:val="Heading5"/>
      </w:pPr>
      <w:r w:rsidRPr="00404A58">
        <w:t>Indication</w:t>
      </w:r>
    </w:p>
    <w:p w14:paraId="40784355" w14:textId="77777777" w:rsidR="00B05276" w:rsidRPr="00404A58" w:rsidRDefault="00B05276" w:rsidP="00705C40">
      <w:r w:rsidRPr="00404A58">
        <w:t>The proposed indication is in keeping with the main evidence provided, including the line of therapy given there is evidence of benefit after one previous line of therapy. A minor amendment to the text describing the provisional nature of the data is proposed. The measure of efficacy is ORR, a measure accepted in the provisional registration context. The number of contributory studies is not considered relevant to the indication.</w:t>
      </w:r>
    </w:p>
    <w:p w14:paraId="60BBDAE9" w14:textId="77777777" w:rsidR="00B05276" w:rsidRPr="00404A58" w:rsidRDefault="00B05276" w:rsidP="00705C40">
      <w:r w:rsidRPr="00404A58">
        <w:t>Subject to the advice of the ACM, the proposed indication is:</w:t>
      </w:r>
    </w:p>
    <w:p w14:paraId="21C9FDFB" w14:textId="7CD3D5DB" w:rsidR="00B05276" w:rsidRPr="00404A58" w:rsidRDefault="00F13259" w:rsidP="00705C40">
      <w:pPr>
        <w:ind w:left="720"/>
        <w:rPr>
          <w:i/>
          <w:iCs/>
        </w:rPr>
      </w:pPr>
      <w:r w:rsidRPr="00404A58">
        <w:rPr>
          <w:i/>
          <w:iCs/>
        </w:rPr>
        <w:t xml:space="preserve">Brukinsa </w:t>
      </w:r>
      <w:r w:rsidR="00B05276" w:rsidRPr="00404A58">
        <w:rPr>
          <w:i/>
          <w:iCs/>
        </w:rPr>
        <w:t>is indicated for the treatment of adult patients with mantle cell lymphoma (MCL) who have received at least one prior therapy.</w:t>
      </w:r>
    </w:p>
    <w:p w14:paraId="5D2137C9" w14:textId="2C737626" w:rsidR="00B05276" w:rsidRPr="00404A58" w:rsidRDefault="00B05276" w:rsidP="00705C40">
      <w:pPr>
        <w:ind w:left="720"/>
        <w:rPr>
          <w:i/>
          <w:iCs/>
        </w:rPr>
      </w:pPr>
      <w:r w:rsidRPr="00404A58">
        <w:rPr>
          <w:i/>
          <w:iCs/>
        </w:rPr>
        <w:t>The indication was approved via the provisional approval pathway, based on objective response rate. Continued approval for this indication depends on verification and description of clinical benefit in confirmatory trials.</w:t>
      </w:r>
    </w:p>
    <w:p w14:paraId="5E65FD4C" w14:textId="77777777" w:rsidR="00B05276" w:rsidRPr="00404A58" w:rsidRDefault="00B05276" w:rsidP="00705C40">
      <w:pPr>
        <w:pStyle w:val="Heading5"/>
      </w:pPr>
      <w:r w:rsidRPr="00404A58">
        <w:t>Dose</w:t>
      </w:r>
    </w:p>
    <w:p w14:paraId="09B3404D" w14:textId="75CC879F" w:rsidR="00B05276" w:rsidRPr="00404A58" w:rsidRDefault="00B05276" w:rsidP="00705C40">
      <w:r w:rsidRPr="00404A58">
        <w:t xml:space="preserve">Study </w:t>
      </w:r>
      <w:r w:rsidR="004A1542" w:rsidRPr="00404A58">
        <w:t>BGB-311</w:t>
      </w:r>
      <w:r w:rsidR="000B7A29">
        <w:t>1</w:t>
      </w:r>
      <w:r w:rsidR="004A1542" w:rsidRPr="00404A58">
        <w:t>-206</w:t>
      </w:r>
      <w:r w:rsidRPr="00404A58">
        <w:t xml:space="preserve"> used 160 mg </w:t>
      </w:r>
      <w:r w:rsidR="001006D4" w:rsidRPr="00404A58">
        <w:t>twice daily</w:t>
      </w:r>
      <w:r w:rsidRPr="00404A58">
        <w:t xml:space="preserve"> dosing. The sponsor is seeking an alternative 320</w:t>
      </w:r>
      <w:r w:rsidR="00F13259" w:rsidRPr="00404A58">
        <w:t> </w:t>
      </w:r>
      <w:r w:rsidRPr="00404A58">
        <w:t xml:space="preserve">mg </w:t>
      </w:r>
      <w:r w:rsidR="001006D4" w:rsidRPr="00404A58">
        <w:t>once daily</w:t>
      </w:r>
      <w:r w:rsidRPr="00404A58">
        <w:t xml:space="preserve"> dosing based on ORR 85.7% and 83.3% with 160 mg </w:t>
      </w:r>
      <w:r w:rsidR="001006D4" w:rsidRPr="00404A58">
        <w:t>twice daily</w:t>
      </w:r>
      <w:r w:rsidRPr="00404A58">
        <w:t xml:space="preserve"> and 320</w:t>
      </w:r>
      <w:r w:rsidR="00F13259" w:rsidRPr="00404A58">
        <w:t> </w:t>
      </w:r>
      <w:r w:rsidRPr="00404A58">
        <w:t xml:space="preserve">mg </w:t>
      </w:r>
      <w:r w:rsidR="001006D4" w:rsidRPr="00404A58">
        <w:t>once daily</w:t>
      </w:r>
      <w:r w:rsidRPr="00404A58">
        <w:t xml:space="preserve">, respectively; </w:t>
      </w:r>
      <w:r w:rsidR="00602EC2" w:rsidRPr="00404A58">
        <w:t>CR</w:t>
      </w:r>
      <w:r w:rsidRPr="00404A58">
        <w:t xml:space="preserve"> rate: 28.6% and 22.2%, respectively in </w:t>
      </w:r>
      <w:r w:rsidR="001006D4" w:rsidRPr="00404A58">
        <w:t>Study</w:t>
      </w:r>
      <w:r w:rsidR="00F13259" w:rsidRPr="00404A58">
        <w:t> </w:t>
      </w:r>
      <w:r w:rsidR="001006D4" w:rsidRPr="00404A58">
        <w:t>BGB-3111-AU-003</w:t>
      </w:r>
      <w:r w:rsidRPr="00404A58">
        <w:t xml:space="preserve">. Linear PK suggests similar exposure with the two doses. General similarity between the two proposed alternative dosing regimens was seen in the comparative safety analysis from </w:t>
      </w:r>
      <w:r w:rsidR="00F171FC" w:rsidRPr="00404A58">
        <w:t>Study</w:t>
      </w:r>
      <w:r w:rsidRPr="00404A58">
        <w:t xml:space="preserve"> </w:t>
      </w:r>
      <w:r w:rsidR="001006D4" w:rsidRPr="00404A58">
        <w:t>BGB-3111-AU-003</w:t>
      </w:r>
      <w:r w:rsidRPr="00404A58">
        <w:t xml:space="preserve">. Clarification is sought from the sponsor around haematological outcomes identified in the comparative safety analysis of the two dosing regimens from </w:t>
      </w:r>
      <w:r w:rsidR="00F171FC" w:rsidRPr="00404A58">
        <w:t>Study</w:t>
      </w:r>
      <w:r w:rsidRPr="00404A58">
        <w:t xml:space="preserve"> </w:t>
      </w:r>
      <w:r w:rsidR="001006D4" w:rsidRPr="00404A58">
        <w:t>BGB-3111-AU-003</w:t>
      </w:r>
      <w:r w:rsidRPr="00404A58">
        <w:t>, however there was a &lt;</w:t>
      </w:r>
      <w:r w:rsidR="00F13259" w:rsidRPr="00404A58">
        <w:t> </w:t>
      </w:r>
      <w:r w:rsidRPr="00404A58">
        <w:t xml:space="preserve">10% difference between the groups for these parameters (see Question for the </w:t>
      </w:r>
      <w:r w:rsidR="00F13259" w:rsidRPr="00404A58">
        <w:t>s</w:t>
      </w:r>
      <w:r w:rsidRPr="00404A58">
        <w:t>ponsor</w:t>
      </w:r>
      <w:r w:rsidR="00F13259" w:rsidRPr="00404A58">
        <w:t xml:space="preserve"> section of this AusPAR</w:t>
      </w:r>
      <w:r w:rsidRPr="00404A58">
        <w:t>).</w:t>
      </w:r>
    </w:p>
    <w:p w14:paraId="7EF00079" w14:textId="26A61BAC" w:rsidR="00B05276" w:rsidRPr="00404A58" w:rsidRDefault="00B05276" w:rsidP="00705C40">
      <w:r w:rsidRPr="00404A58">
        <w:t>The proposed 320 mg dose requires the patient to take 4 x 80 mg capsules at a time. The sponsor is currently developing an immediate release 160 mg scored tablet.</w:t>
      </w:r>
    </w:p>
    <w:p w14:paraId="71F94F6D" w14:textId="77777777" w:rsidR="0074163C" w:rsidRPr="00404A58" w:rsidRDefault="0074163C" w:rsidP="0074163C">
      <w:pPr>
        <w:pStyle w:val="Heading4"/>
      </w:pPr>
      <w:bookmarkStart w:id="107" w:name="_Toc98931933"/>
      <w:r w:rsidRPr="00404A58">
        <w:t>Proposed action</w:t>
      </w:r>
      <w:bookmarkEnd w:id="107"/>
    </w:p>
    <w:p w14:paraId="29FF1DFF" w14:textId="4C288D2A" w:rsidR="00B05276" w:rsidRPr="00404A58" w:rsidRDefault="00B05276" w:rsidP="00705C40">
      <w:r w:rsidRPr="00404A58">
        <w:t xml:space="preserve">While a decision is yet to be made, at this stage </w:t>
      </w:r>
      <w:r w:rsidR="00F13259" w:rsidRPr="00404A58">
        <w:t xml:space="preserve">the Delegate is </w:t>
      </w:r>
      <w:r w:rsidRPr="00404A58">
        <w:t>inclined to approve the registration of the product for the following indication</w:t>
      </w:r>
      <w:r w:rsidR="00F13259" w:rsidRPr="00404A58">
        <w:t>:</w:t>
      </w:r>
    </w:p>
    <w:p w14:paraId="3B2E809A" w14:textId="37DA3219" w:rsidR="00B05276" w:rsidRPr="00404A58" w:rsidRDefault="00F13259" w:rsidP="00705C40">
      <w:pPr>
        <w:ind w:left="720"/>
        <w:rPr>
          <w:i/>
          <w:iCs/>
        </w:rPr>
      </w:pPr>
      <w:r w:rsidRPr="00404A58">
        <w:rPr>
          <w:i/>
          <w:iCs/>
        </w:rPr>
        <w:t xml:space="preserve">Brukinsa </w:t>
      </w:r>
      <w:r w:rsidR="00B05276" w:rsidRPr="00404A58">
        <w:rPr>
          <w:i/>
          <w:iCs/>
        </w:rPr>
        <w:t>is indicated for the treatment of adult patients with mantle cell lymphoma (MCL) who have received at least one prior therapy.</w:t>
      </w:r>
    </w:p>
    <w:p w14:paraId="020859EF" w14:textId="77777777" w:rsidR="00B05276" w:rsidRPr="00404A58" w:rsidRDefault="00B05276" w:rsidP="00705C40">
      <w:pPr>
        <w:ind w:left="720"/>
        <w:rPr>
          <w:i/>
          <w:iCs/>
        </w:rPr>
      </w:pPr>
      <w:r w:rsidRPr="00404A58">
        <w:rPr>
          <w:i/>
          <w:iCs/>
        </w:rPr>
        <w:lastRenderedPageBreak/>
        <w:t>This indication was approved via the provisional approval pathway, based on the objective response rate. Continued approval for this indication depends on verification and description of clinical benefit in confirmatory trials.</w:t>
      </w:r>
    </w:p>
    <w:p w14:paraId="156ECBF7" w14:textId="29EC59C2" w:rsidR="00B05276" w:rsidRPr="00404A58" w:rsidRDefault="00B05276" w:rsidP="00705C40">
      <w:r w:rsidRPr="00404A58">
        <w:t xml:space="preserve">If registration was approved, </w:t>
      </w:r>
      <w:r w:rsidR="00F13259" w:rsidRPr="00404A58">
        <w:t>the Delegate</w:t>
      </w:r>
      <w:r w:rsidRPr="00404A58">
        <w:t xml:space="preserve"> would propose the following additional conditions of registration:</w:t>
      </w:r>
    </w:p>
    <w:p w14:paraId="569387AA" w14:textId="5F27D42A" w:rsidR="00B05276" w:rsidRPr="00404A58" w:rsidRDefault="00B05276" w:rsidP="00F13259">
      <w:pPr>
        <w:pStyle w:val="ListBullet"/>
      </w:pPr>
      <w:r w:rsidRPr="00404A58">
        <w:t xml:space="preserve">The </w:t>
      </w:r>
      <w:r w:rsidR="00666EB0" w:rsidRPr="00404A58">
        <w:t xml:space="preserve">Brukinsa </w:t>
      </w:r>
      <w:r w:rsidRPr="00404A58">
        <w:t xml:space="preserve">EU-RMP (version 0.1, dated 11 May 2020, </w:t>
      </w:r>
      <w:r w:rsidR="006F4D7A" w:rsidRPr="00404A58">
        <w:t>DLP</w:t>
      </w:r>
      <w:r w:rsidRPr="00404A58">
        <w:t xml:space="preserve"> 31 Dec</w:t>
      </w:r>
      <w:r w:rsidR="00666EB0" w:rsidRPr="00404A58">
        <w:t>ember</w:t>
      </w:r>
      <w:r w:rsidRPr="00404A58">
        <w:t xml:space="preserve"> 2019), with Australian </w:t>
      </w:r>
      <w:r w:rsidR="00666EB0" w:rsidRPr="00404A58">
        <w:t xml:space="preserve">specific annex </w:t>
      </w:r>
      <w:r w:rsidRPr="00404A58">
        <w:t xml:space="preserve">(version 0.1, dated 1 June 2020), included with </w:t>
      </w:r>
      <w:r w:rsidR="00666EB0" w:rsidRPr="00404A58">
        <w:t xml:space="preserve">Submission </w:t>
      </w:r>
      <w:r w:rsidRPr="00404A58">
        <w:t>PM-2020-02814-1-6, to be revised to the satisfaction of the TGA, will be implemented in Australia.</w:t>
      </w:r>
    </w:p>
    <w:p w14:paraId="74C879CB" w14:textId="7EF74138" w:rsidR="00B05276" w:rsidRPr="00404A58" w:rsidRDefault="00B05276" w:rsidP="00666EB0">
      <w:pPr>
        <w:pStyle w:val="ListBullet"/>
        <w:numPr>
          <w:ilvl w:val="0"/>
          <w:numId w:val="0"/>
        </w:numPr>
        <w:ind w:left="360"/>
      </w:pPr>
      <w:r w:rsidRPr="00404A58">
        <w:t xml:space="preserve">Unless agreed separately between the supplier who is the recipient of the approval and the TGA, the first report must be submitted to TGA no later than 15 calendar months after the date of </w:t>
      </w:r>
      <w:r w:rsidR="00666EB0" w:rsidRPr="00404A58">
        <w:t>the</w:t>
      </w:r>
      <w:r w:rsidRPr="00404A58">
        <w:t xml:space="preserve"> approval letter. The subsequent reports must be submitted no less frequently than annually from the date of the first submitted report until the period covered by such reports is not less than three years from the date of </w:t>
      </w:r>
      <w:r w:rsidR="00666EB0" w:rsidRPr="00404A58">
        <w:t>the</w:t>
      </w:r>
      <w:r w:rsidRPr="00404A58">
        <w:t xml:space="preserve"> approval letter. The annual submission may be made up of two </w:t>
      </w:r>
      <w:r w:rsidR="00903125" w:rsidRPr="00404A58">
        <w:t>periodic safety update reports (PSURs)</w:t>
      </w:r>
      <w:r w:rsidRPr="00404A58">
        <w:t xml:space="preserve"> each covering six months. If the sponsor wishes, the </w:t>
      </w:r>
      <w:proofErr w:type="gramStart"/>
      <w:r w:rsidRPr="00404A58">
        <w:t>six monthly</w:t>
      </w:r>
      <w:proofErr w:type="gramEnd"/>
      <w:r w:rsidRPr="00404A58">
        <w:t xml:space="preserve"> reports may be submitted separately as they become available.</w:t>
      </w:r>
    </w:p>
    <w:p w14:paraId="49F5564F" w14:textId="5438D165" w:rsidR="00B05276" w:rsidRPr="00404A58" w:rsidRDefault="00B05276" w:rsidP="00666EB0">
      <w:pPr>
        <w:pStyle w:val="ListBullet"/>
        <w:numPr>
          <w:ilvl w:val="0"/>
          <w:numId w:val="0"/>
        </w:numPr>
        <w:ind w:left="360"/>
      </w:pPr>
      <w:r w:rsidRPr="00404A58">
        <w:t xml:space="preserve">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666EB0" w:rsidRPr="00404A58">
        <w:t>the</w:t>
      </w:r>
      <w:r w:rsidRPr="00404A58">
        <w:t xml:space="preserve"> approval letter.</w:t>
      </w:r>
    </w:p>
    <w:p w14:paraId="63FCEE63" w14:textId="6A375411" w:rsidR="00B05276" w:rsidRPr="00404A58" w:rsidRDefault="00B05276" w:rsidP="00666EB0">
      <w:pPr>
        <w:pStyle w:val="ListBullet"/>
        <w:numPr>
          <w:ilvl w:val="0"/>
          <w:numId w:val="0"/>
        </w:numPr>
        <w:ind w:left="360"/>
      </w:pPr>
      <w:r w:rsidRPr="00404A58">
        <w:t xml:space="preserve">The reports are to at least meet the requirements for PSURs as described in the European Medicines Agency’s Guideline on </w:t>
      </w:r>
      <w:r w:rsidR="00666EB0" w:rsidRPr="00404A58">
        <w:t xml:space="preserve">Good Pharmacovigilance Practices </w:t>
      </w:r>
      <w:r w:rsidRPr="00404A58">
        <w:t xml:space="preserve">(GVP) Module VII-periodic safety update report (Rev 1), Part VII.B Structures and processes. Note that submission of a PSUR does not constitute an application to vary the registration. Each report must have been prepared within ninety calendar days of the </w:t>
      </w:r>
      <w:r w:rsidR="006F4D7A" w:rsidRPr="00404A58">
        <w:t>DLP</w:t>
      </w:r>
      <w:r w:rsidRPr="00404A58">
        <w:t xml:space="preserve"> for that report.</w:t>
      </w:r>
    </w:p>
    <w:p w14:paraId="7952360F" w14:textId="46648CED" w:rsidR="00B05276" w:rsidRPr="00404A58" w:rsidRDefault="00666EB0" w:rsidP="00F13259">
      <w:pPr>
        <w:pStyle w:val="ListBullet"/>
      </w:pPr>
      <w:r w:rsidRPr="00404A58">
        <w:t xml:space="preserve">Brukinsa </w:t>
      </w:r>
      <w:r w:rsidR="00B05276" w:rsidRPr="00404A58">
        <w:t xml:space="preserve">(zanubrutinib) is to be included in the Black Triangle Scheme. The PI and CMI for </w:t>
      </w:r>
      <w:r w:rsidRPr="00404A58">
        <w:t xml:space="preserve">Brukinsa </w:t>
      </w:r>
      <w:r w:rsidR="00B05276" w:rsidRPr="00404A58">
        <w:t>must include the black triangle symbol and mandatory accompanying text for the products entire period of provisional registration.</w:t>
      </w:r>
    </w:p>
    <w:p w14:paraId="61F0E571" w14:textId="77777777" w:rsidR="00B05276" w:rsidRPr="00404A58" w:rsidRDefault="00B05276" w:rsidP="00F13259">
      <w:pPr>
        <w:pStyle w:val="ListBullet"/>
      </w:pPr>
      <w:r w:rsidRPr="00404A58">
        <w:t>Confirmatory trial data (as identified in the sponsor’s plan to submit comprehensive clinical data on the safety and efficacy of the medicine before the end of the 6 years that would start on the day that registration would commence) must be provided.</w:t>
      </w:r>
    </w:p>
    <w:p w14:paraId="719F13F6" w14:textId="2931ACA0" w:rsidR="00B05276" w:rsidRPr="00404A58" w:rsidRDefault="00B05276" w:rsidP="00666EB0">
      <w:pPr>
        <w:pStyle w:val="ListBullet"/>
        <w:numPr>
          <w:ilvl w:val="0"/>
          <w:numId w:val="0"/>
        </w:numPr>
        <w:ind w:left="360"/>
      </w:pPr>
      <w:r w:rsidRPr="00404A58">
        <w:t>Specifically, the sponsor must conduct studies as described in the clinical study plan in version 1.0 (1 June 2020) of the Australia</w:t>
      </w:r>
      <w:r w:rsidR="00666EB0" w:rsidRPr="00404A58">
        <w:t xml:space="preserve"> specific annex</w:t>
      </w:r>
      <w:r w:rsidRPr="00404A58">
        <w:t>. The following study reports should be submitted to TGA:</w:t>
      </w:r>
    </w:p>
    <w:p w14:paraId="7ECDC47E" w14:textId="31D2BB8B" w:rsidR="00B05276" w:rsidRPr="00404A58" w:rsidRDefault="00B05276" w:rsidP="00666EB0">
      <w:pPr>
        <w:pStyle w:val="ListBullet2"/>
      </w:pPr>
      <w:r w:rsidRPr="00404A58">
        <w:t>Study BGB-3111-306</w:t>
      </w:r>
    </w:p>
    <w:p w14:paraId="512AAC9F" w14:textId="36F806FE" w:rsidR="00B05276" w:rsidRPr="00404A58" w:rsidRDefault="00B05276" w:rsidP="00666EB0">
      <w:pPr>
        <w:pStyle w:val="ListBullet"/>
      </w:pPr>
      <w:r w:rsidRPr="00404A58">
        <w:t>The final clinical study report for Study BGB-3111-206.</w:t>
      </w:r>
    </w:p>
    <w:p w14:paraId="47EEA6FC" w14:textId="77777777" w:rsidR="0074163C" w:rsidRPr="00404A58" w:rsidRDefault="0074163C" w:rsidP="0074163C">
      <w:pPr>
        <w:pStyle w:val="Heading4"/>
      </w:pPr>
      <w:bookmarkStart w:id="108" w:name="_Toc98931934"/>
      <w:bookmarkStart w:id="109" w:name="_Ref107859012"/>
      <w:r w:rsidRPr="00404A58">
        <w:t>Questions for the sponsor</w:t>
      </w:r>
      <w:bookmarkEnd w:id="108"/>
      <w:bookmarkEnd w:id="109"/>
    </w:p>
    <w:p w14:paraId="2988EB50" w14:textId="1C62C3CF" w:rsidR="0074163C" w:rsidRPr="00404A58" w:rsidRDefault="0074163C" w:rsidP="0074163C">
      <w:r w:rsidRPr="00404A58">
        <w:t>The sponsor provided the following response to questions from the Delegate.</w:t>
      </w:r>
    </w:p>
    <w:p w14:paraId="22987E2D" w14:textId="427BCCE8" w:rsidR="00B05276" w:rsidRPr="00404A58" w:rsidRDefault="00B05276" w:rsidP="00705C40">
      <w:pPr>
        <w:pStyle w:val="Numberbullet0"/>
        <w:rPr>
          <w:b/>
          <w:bCs/>
          <w:i/>
          <w:iCs/>
        </w:rPr>
      </w:pPr>
      <w:r w:rsidRPr="00404A58">
        <w:rPr>
          <w:b/>
          <w:bCs/>
          <w:i/>
          <w:iCs/>
        </w:rPr>
        <w:t xml:space="preserve">In the summary of </w:t>
      </w:r>
      <w:r w:rsidR="00666EB0" w:rsidRPr="00404A58">
        <w:rPr>
          <w:b/>
          <w:bCs/>
          <w:i/>
          <w:iCs/>
        </w:rPr>
        <w:t xml:space="preserve">treatment emergent adverse events </w:t>
      </w:r>
      <w:r w:rsidRPr="00404A58">
        <w:rPr>
          <w:b/>
          <w:bCs/>
          <w:i/>
          <w:iCs/>
        </w:rPr>
        <w:t xml:space="preserve">in B-cell malignancies from </w:t>
      </w:r>
      <w:r w:rsidR="00F171FC" w:rsidRPr="00404A58">
        <w:rPr>
          <w:b/>
          <w:bCs/>
          <w:i/>
          <w:iCs/>
        </w:rPr>
        <w:t>Study</w:t>
      </w:r>
      <w:r w:rsidRPr="00404A58">
        <w:rPr>
          <w:b/>
          <w:bCs/>
          <w:i/>
          <w:iCs/>
        </w:rPr>
        <w:t xml:space="preserve"> BGB-311</w:t>
      </w:r>
      <w:r w:rsidR="000B7A29">
        <w:rPr>
          <w:b/>
          <w:bCs/>
          <w:i/>
          <w:iCs/>
        </w:rPr>
        <w:t>1</w:t>
      </w:r>
      <w:r w:rsidRPr="00404A58">
        <w:rPr>
          <w:b/>
          <w:bCs/>
          <w:i/>
          <w:iCs/>
        </w:rPr>
        <w:t>-AU-003 there are differences in neutropenia including Grade</w:t>
      </w:r>
      <w:r w:rsidR="00666EB0" w:rsidRPr="00404A58">
        <w:rPr>
          <w:b/>
          <w:bCs/>
          <w:i/>
          <w:iCs/>
        </w:rPr>
        <w:t> </w:t>
      </w:r>
      <w:r w:rsidRPr="00404A58">
        <w:rPr>
          <w:b/>
          <w:bCs/>
          <w:i/>
          <w:iCs/>
        </w:rPr>
        <w:t>≥</w:t>
      </w:r>
      <w:r w:rsidR="00987171" w:rsidRPr="00404A58">
        <w:rPr>
          <w:b/>
          <w:bCs/>
          <w:i/>
          <w:iCs/>
        </w:rPr>
        <w:t> </w:t>
      </w:r>
      <w:r w:rsidRPr="00404A58">
        <w:rPr>
          <w:b/>
          <w:bCs/>
          <w:i/>
          <w:iCs/>
        </w:rPr>
        <w:t xml:space="preserve">3 events between the 160 mg </w:t>
      </w:r>
      <w:r w:rsidR="001006D4" w:rsidRPr="00404A58">
        <w:rPr>
          <w:b/>
          <w:bCs/>
          <w:i/>
          <w:iCs/>
        </w:rPr>
        <w:t>twice daily</w:t>
      </w:r>
      <w:r w:rsidRPr="00404A58">
        <w:rPr>
          <w:b/>
          <w:bCs/>
          <w:i/>
          <w:iCs/>
        </w:rPr>
        <w:t xml:space="preserve"> and 320 mg </w:t>
      </w:r>
      <w:r w:rsidR="001006D4" w:rsidRPr="00404A58">
        <w:rPr>
          <w:b/>
          <w:bCs/>
          <w:i/>
          <w:iCs/>
        </w:rPr>
        <w:t>twice daily</w:t>
      </w:r>
      <w:r w:rsidRPr="00404A58">
        <w:rPr>
          <w:b/>
          <w:bCs/>
          <w:i/>
          <w:iCs/>
        </w:rPr>
        <w:t xml:space="preserve"> groups, with an approximately 9% higher proportion of all Grades and Grade ≥</w:t>
      </w:r>
      <w:r w:rsidR="00987171" w:rsidRPr="00404A58">
        <w:rPr>
          <w:b/>
          <w:bCs/>
          <w:i/>
          <w:iCs/>
        </w:rPr>
        <w:t> </w:t>
      </w:r>
      <w:r w:rsidRPr="00404A58">
        <w:rPr>
          <w:b/>
          <w:bCs/>
          <w:i/>
          <w:iCs/>
        </w:rPr>
        <w:t xml:space="preserve">3 events in the pooled terms analysis. An almost 9% greater proportion of patients had all Grade bleeding events in the 320 mg </w:t>
      </w:r>
      <w:r w:rsidR="001006D4" w:rsidRPr="00404A58">
        <w:rPr>
          <w:b/>
          <w:bCs/>
          <w:i/>
          <w:iCs/>
        </w:rPr>
        <w:t>once daily</w:t>
      </w:r>
      <w:r w:rsidRPr="00404A58">
        <w:rPr>
          <w:b/>
          <w:bCs/>
          <w:i/>
          <w:iCs/>
        </w:rPr>
        <w:t xml:space="preserve"> group compared with the 160 mg </w:t>
      </w:r>
      <w:r w:rsidR="001006D4" w:rsidRPr="00404A58">
        <w:rPr>
          <w:b/>
          <w:bCs/>
          <w:i/>
          <w:iCs/>
        </w:rPr>
        <w:t>twice daily</w:t>
      </w:r>
      <w:r w:rsidRPr="00404A58">
        <w:rPr>
          <w:b/>
          <w:bCs/>
          <w:i/>
          <w:iCs/>
        </w:rPr>
        <w:t xml:space="preserve"> group. Are there any differences in patient characteristics, or </w:t>
      </w:r>
      <w:r w:rsidRPr="00404A58">
        <w:rPr>
          <w:b/>
          <w:bCs/>
          <w:i/>
          <w:iCs/>
        </w:rPr>
        <w:lastRenderedPageBreak/>
        <w:t>underlying disease between these two groups that might account for this observation?</w:t>
      </w:r>
    </w:p>
    <w:p w14:paraId="1F82F4AA" w14:textId="538F8841" w:rsidR="00597FD5" w:rsidRPr="00404A58" w:rsidRDefault="00666EB0" w:rsidP="00597FD5">
      <w:r w:rsidRPr="00404A58">
        <w:t xml:space="preserve">The sponsor </w:t>
      </w:r>
      <w:r w:rsidR="00597FD5" w:rsidRPr="00404A58">
        <w:t xml:space="preserve">acknowledges the question regarding the differences of neutropenia and bleeding events proportion between 160 mg </w:t>
      </w:r>
      <w:r w:rsidRPr="00404A58">
        <w:t>twice daily</w:t>
      </w:r>
      <w:r w:rsidR="00597FD5" w:rsidRPr="00404A58">
        <w:t xml:space="preserve"> and 320 mg </w:t>
      </w:r>
      <w:r w:rsidRPr="00404A58">
        <w:t>once daily</w:t>
      </w:r>
      <w:r w:rsidR="00597FD5" w:rsidRPr="00404A58">
        <w:t xml:space="preserve"> treatment groups. Relevant comparisons between the two treatment groups are shown below:</w:t>
      </w:r>
    </w:p>
    <w:p w14:paraId="7DF0D9EC" w14:textId="4E6CE7DD" w:rsidR="00597FD5" w:rsidRPr="00404A58" w:rsidRDefault="000F3969" w:rsidP="00597FD5">
      <w:pPr>
        <w:pStyle w:val="ListBullet"/>
      </w:pPr>
      <w:r w:rsidRPr="00404A58">
        <w:t>Pharmacokinetics (</w:t>
      </w:r>
      <w:r w:rsidR="00597FD5" w:rsidRPr="00404A58">
        <w:t>PK</w:t>
      </w:r>
      <w:r w:rsidRPr="00404A58">
        <w:t>)</w:t>
      </w:r>
      <w:r w:rsidR="00597FD5" w:rsidRPr="00404A58">
        <w:t>-</w:t>
      </w:r>
      <w:r w:rsidRPr="00404A58">
        <w:t>pharmacodynamics (</w:t>
      </w:r>
      <w:r w:rsidR="00597FD5" w:rsidRPr="00404A58">
        <w:t>PD</w:t>
      </w:r>
      <w:r w:rsidRPr="00404A58">
        <w:t>)</w:t>
      </w:r>
      <w:r w:rsidR="00597FD5" w:rsidRPr="00404A58">
        <w:t xml:space="preserve"> relationship and population </w:t>
      </w:r>
      <w:r w:rsidR="007A54EE" w:rsidRPr="00404A58">
        <w:t>exposure</w:t>
      </w:r>
      <w:r w:rsidR="0069053A" w:rsidRPr="00404A58">
        <w:t xml:space="preserve"> </w:t>
      </w:r>
      <w:r w:rsidR="007A54EE" w:rsidRPr="00404A58">
        <w:t>response</w:t>
      </w:r>
      <w:r w:rsidR="00597FD5" w:rsidRPr="00404A58">
        <w:t xml:space="preserve"> </w:t>
      </w:r>
      <w:r w:rsidR="007A54EE" w:rsidRPr="00404A58">
        <w:t>relationship for safety</w:t>
      </w:r>
    </w:p>
    <w:p w14:paraId="32664909" w14:textId="74C8C241" w:rsidR="00597FD5" w:rsidRPr="00404A58" w:rsidRDefault="00597FD5" w:rsidP="00597FD5">
      <w:pPr>
        <w:pStyle w:val="ListBullet2"/>
      </w:pPr>
      <w:r w:rsidRPr="00404A58">
        <w:t xml:space="preserve">Pharmacokinetics: </w:t>
      </w:r>
      <w:r w:rsidR="007A54EE" w:rsidRPr="00404A58">
        <w:t>exposure</w:t>
      </w:r>
      <w:r w:rsidRPr="00404A58">
        <w:t xml:space="preserve">/AUC achieved by 160 mg </w:t>
      </w:r>
      <w:r w:rsidR="00666EB0" w:rsidRPr="00404A58">
        <w:t>twice daily</w:t>
      </w:r>
      <w:r w:rsidRPr="00404A58">
        <w:t xml:space="preserve"> and 320</w:t>
      </w:r>
      <w:r w:rsidR="007A54EE" w:rsidRPr="00404A58">
        <w:t> </w:t>
      </w:r>
      <w:r w:rsidRPr="00404A58">
        <w:t xml:space="preserve">mg </w:t>
      </w:r>
      <w:r w:rsidR="00666EB0" w:rsidRPr="00404A58">
        <w:t>once daily</w:t>
      </w:r>
      <w:r w:rsidRPr="00404A58">
        <w:t xml:space="preserve"> is comparable with geometric mean AUC of 2099 (42%) and 1917 (59%) ng</w:t>
      </w:r>
      <w:r w:rsidR="007A54EE" w:rsidRPr="00404A58">
        <w:rPr>
          <w:rFonts w:hint="eastAsia"/>
        </w:rPr>
        <w:t xml:space="preserve"> </w:t>
      </w:r>
      <w:r w:rsidRPr="00404A58">
        <w:t xml:space="preserve">h/mL for 160 mg </w:t>
      </w:r>
      <w:r w:rsidR="00666EB0" w:rsidRPr="00404A58">
        <w:t>twice daily</w:t>
      </w:r>
      <w:r w:rsidRPr="00404A58">
        <w:t xml:space="preserve"> and 320 mg </w:t>
      </w:r>
      <w:r w:rsidR="00666EB0" w:rsidRPr="00404A58">
        <w:t>once daily</w:t>
      </w:r>
      <w:r w:rsidRPr="00404A58">
        <w:t>, respectively.</w:t>
      </w:r>
    </w:p>
    <w:p w14:paraId="55269C2A" w14:textId="01C09D6B" w:rsidR="00597FD5" w:rsidRPr="00404A58" w:rsidRDefault="00597FD5" w:rsidP="00597FD5">
      <w:pPr>
        <w:pStyle w:val="ListBullet2"/>
      </w:pPr>
      <w:r w:rsidRPr="00404A58">
        <w:t xml:space="preserve">Pharmacodynamics (PD): Sustained PD effects achieved at trough concentrations at both 160 mg </w:t>
      </w:r>
      <w:r w:rsidR="00666EB0" w:rsidRPr="00404A58">
        <w:t>twice daily</w:t>
      </w:r>
      <w:r w:rsidRPr="00404A58">
        <w:t xml:space="preserve"> and 320 mg </w:t>
      </w:r>
      <w:r w:rsidR="00666EB0" w:rsidRPr="00404A58">
        <w:t>once daily</w:t>
      </w:r>
      <w:r w:rsidRPr="00404A58">
        <w:t xml:space="preserve">. Median BTK occupancy in peripheral blood mononuclear cells was 100% for both regimens. Median BTK occupancy in lymph nodes was 94% and 100% following the 320 mg </w:t>
      </w:r>
      <w:r w:rsidR="00666EB0" w:rsidRPr="00404A58">
        <w:t>once daily</w:t>
      </w:r>
      <w:r w:rsidRPr="00404A58">
        <w:t xml:space="preserve"> and 160 mg </w:t>
      </w:r>
      <w:r w:rsidR="00666EB0" w:rsidRPr="00404A58">
        <w:t>twice daily</w:t>
      </w:r>
      <w:r w:rsidRPr="00404A58">
        <w:t xml:space="preserve"> dose, respectively.</w:t>
      </w:r>
    </w:p>
    <w:p w14:paraId="4C5067B9" w14:textId="3FE2FC51" w:rsidR="00597FD5" w:rsidRPr="00404A58" w:rsidRDefault="00597FD5" w:rsidP="00597FD5">
      <w:pPr>
        <w:pStyle w:val="ListBullet2"/>
      </w:pPr>
      <w:r w:rsidRPr="00404A58">
        <w:t xml:space="preserve">Population </w:t>
      </w:r>
      <w:r w:rsidR="0069053A" w:rsidRPr="00404A58">
        <w:t>exposure response</w:t>
      </w:r>
      <w:r w:rsidR="007A54EE" w:rsidRPr="00404A58">
        <w:t xml:space="preserve"> relationship </w:t>
      </w:r>
      <w:r w:rsidRPr="00404A58">
        <w:t xml:space="preserve">between zanubrutinib exposure metrics (model predicted </w:t>
      </w:r>
      <w:r w:rsidR="006F4D7A" w:rsidRPr="00404A58">
        <w:t>area under the concentration time curve from time zero to 24 hour at steady state (</w:t>
      </w:r>
      <w:r w:rsidR="00F44161" w:rsidRPr="00404A58">
        <w:t>AUC</w:t>
      </w:r>
      <w:r w:rsidR="00F44161" w:rsidRPr="00404A58">
        <w:rPr>
          <w:vertAlign w:val="subscript"/>
        </w:rPr>
        <w:t>0-24</w:t>
      </w:r>
      <w:proofErr w:type="gramStart"/>
      <w:r w:rsidR="008D2C11">
        <w:rPr>
          <w:vertAlign w:val="subscript"/>
        </w:rPr>
        <w:t>h</w:t>
      </w:r>
      <w:r w:rsidRPr="00404A58">
        <w:rPr>
          <w:vertAlign w:val="subscript"/>
        </w:rPr>
        <w:t>,ss</w:t>
      </w:r>
      <w:proofErr w:type="gramEnd"/>
      <w:r w:rsidR="006F4D7A" w:rsidRPr="00404A58">
        <w:t>)</w:t>
      </w:r>
      <w:r w:rsidRPr="00404A58">
        <w:t xml:space="preserve">, </w:t>
      </w:r>
      <w:proofErr w:type="spellStart"/>
      <w:r w:rsidRPr="00404A58">
        <w:t>C</w:t>
      </w:r>
      <w:r w:rsidRPr="00404A58">
        <w:rPr>
          <w:vertAlign w:val="subscript"/>
        </w:rPr>
        <w:t>max,ss</w:t>
      </w:r>
      <w:proofErr w:type="spellEnd"/>
      <w:r w:rsidRPr="00404A58">
        <w:t xml:space="preserve"> and </w:t>
      </w:r>
      <w:r w:rsidR="006F4D7A" w:rsidRPr="00404A58">
        <w:t>minimum concentration at steady state (</w:t>
      </w:r>
      <w:proofErr w:type="spellStart"/>
      <w:r w:rsidR="00F44161" w:rsidRPr="00404A58">
        <w:t>C</w:t>
      </w:r>
      <w:r w:rsidR="00F44161" w:rsidRPr="00404A58">
        <w:rPr>
          <w:vertAlign w:val="subscript"/>
        </w:rPr>
        <w:t>min</w:t>
      </w:r>
      <w:r w:rsidRPr="00404A58">
        <w:rPr>
          <w:vertAlign w:val="subscript"/>
        </w:rPr>
        <w:t>,ss</w:t>
      </w:r>
      <w:proofErr w:type="spellEnd"/>
      <w:r w:rsidRPr="00404A58">
        <w:t>)</w:t>
      </w:r>
      <w:r w:rsidR="006F4D7A" w:rsidRPr="00404A58">
        <w:t>)</w:t>
      </w:r>
      <w:r w:rsidRPr="00404A58">
        <w:t xml:space="preserve"> and safety were explored using data collected from Studies BGB-3111-AU-003, BGB-3111-1002, BGB</w:t>
      </w:r>
      <w:r w:rsidR="007A54EE" w:rsidRPr="00404A58">
        <w:t> </w:t>
      </w:r>
      <w:r w:rsidRPr="00404A58">
        <w:t>3111</w:t>
      </w:r>
      <w:r w:rsidR="007A54EE" w:rsidRPr="00404A58">
        <w:noBreakHyphen/>
      </w:r>
      <w:r w:rsidRPr="00404A58">
        <w:t xml:space="preserve">205 and BGB-3111-206. </w:t>
      </w:r>
      <w:r w:rsidR="0069053A" w:rsidRPr="00404A58">
        <w:t>Exposure response</w:t>
      </w:r>
      <w:r w:rsidRPr="00404A58">
        <w:t xml:space="preserve"> analysis indicated that there were no evident </w:t>
      </w:r>
      <w:r w:rsidR="0069053A" w:rsidRPr="00404A58">
        <w:t>exposure response</w:t>
      </w:r>
      <w:r w:rsidRPr="00404A58">
        <w:t xml:space="preserve"> relationships between PK exposure (</w:t>
      </w:r>
      <w:r w:rsidR="00F44161" w:rsidRPr="00404A58">
        <w:t>AUC</w:t>
      </w:r>
      <w:r w:rsidR="00F44161" w:rsidRPr="00404A58">
        <w:rPr>
          <w:vertAlign w:val="subscript"/>
        </w:rPr>
        <w:t>0-24</w:t>
      </w:r>
      <w:r w:rsidRPr="00404A58">
        <w:t xml:space="preserve">, </w:t>
      </w:r>
      <w:proofErr w:type="spellStart"/>
      <w:r w:rsidRPr="00404A58">
        <w:t>C</w:t>
      </w:r>
      <w:r w:rsidRPr="00404A58">
        <w:rPr>
          <w:vertAlign w:val="subscript"/>
        </w:rPr>
        <w:t>max</w:t>
      </w:r>
      <w:proofErr w:type="spellEnd"/>
      <w:r w:rsidRPr="00404A58">
        <w:t xml:space="preserve">, or </w:t>
      </w:r>
      <w:proofErr w:type="spellStart"/>
      <w:r w:rsidR="00F44161" w:rsidRPr="00404A58">
        <w:t>C</w:t>
      </w:r>
      <w:r w:rsidR="00F44161" w:rsidRPr="00404A58">
        <w:rPr>
          <w:vertAlign w:val="subscript"/>
        </w:rPr>
        <w:t>min</w:t>
      </w:r>
      <w:proofErr w:type="spellEnd"/>
      <w:r w:rsidRPr="00404A58">
        <w:t>) and the safety endpoints (AESIs</w:t>
      </w:r>
      <w:r w:rsidR="007A54EE" w:rsidRPr="00404A58">
        <w:t>)</w:t>
      </w:r>
      <w:r w:rsidRPr="00404A58">
        <w:t xml:space="preserve"> including Grade </w:t>
      </w:r>
      <w:r w:rsidR="00987171" w:rsidRPr="00404A58">
        <w:t>≥ </w:t>
      </w:r>
      <w:r w:rsidRPr="00404A58">
        <w:t>3 neutropenia, major bleeding events and any bleeding events). The higher C</w:t>
      </w:r>
      <w:r w:rsidRPr="00404A58">
        <w:rPr>
          <w:vertAlign w:val="subscript"/>
        </w:rPr>
        <w:t>max</w:t>
      </w:r>
      <w:r w:rsidRPr="00404A58">
        <w:t xml:space="preserve"> from the 320 mg </w:t>
      </w:r>
      <w:r w:rsidR="00666EB0" w:rsidRPr="00404A58">
        <w:t>once daily</w:t>
      </w:r>
      <w:r w:rsidRPr="00404A58">
        <w:t xml:space="preserve"> regimen was not associated with a higher rate of AEs relative to the 160 mg </w:t>
      </w:r>
      <w:r w:rsidR="00666EB0" w:rsidRPr="00404A58">
        <w:t>twice daily</w:t>
      </w:r>
      <w:r w:rsidRPr="00404A58">
        <w:t xml:space="preserve"> regimen.</w:t>
      </w:r>
    </w:p>
    <w:p w14:paraId="43A80697" w14:textId="08AB1AE4" w:rsidR="00597FD5" w:rsidRPr="00404A58" w:rsidRDefault="00597FD5" w:rsidP="00597FD5">
      <w:pPr>
        <w:pStyle w:val="ListBullet"/>
      </w:pPr>
      <w:r w:rsidRPr="00404A58">
        <w:t>Neutropenia</w:t>
      </w:r>
    </w:p>
    <w:p w14:paraId="5E66AF43" w14:textId="3C5A3DCA" w:rsidR="00597FD5" w:rsidRPr="00404A58" w:rsidRDefault="00597FD5" w:rsidP="00597FD5">
      <w:pPr>
        <w:pStyle w:val="ListBullet"/>
        <w:numPr>
          <w:ilvl w:val="0"/>
          <w:numId w:val="0"/>
        </w:numPr>
        <w:ind w:left="360"/>
      </w:pPr>
      <w:r w:rsidRPr="00404A58">
        <w:t xml:space="preserve">Neutropenia risk factors include advanced age, female sex, prior chemotherapy and/or radiation, pre-existing neutropenia, use of myelosuppressive agents, poor immune function, </w:t>
      </w:r>
      <w:r w:rsidR="007A54EE" w:rsidRPr="00404A58">
        <w:t>comorbidities</w:t>
      </w:r>
      <w:r w:rsidRPr="00404A58">
        <w:t>, including hepatic or renal dysfunction and diabetes, and underlying blood malignancy.</w:t>
      </w:r>
      <w:r w:rsidR="00987171" w:rsidRPr="00404A58">
        <w:rPr>
          <w:rStyle w:val="FootnoteReference"/>
        </w:rPr>
        <w:footnoteReference w:id="19"/>
      </w:r>
      <w:r w:rsidR="00987171" w:rsidRPr="00404A58">
        <w:rPr>
          <w:vertAlign w:val="superscript"/>
        </w:rPr>
        <w:t>,</w:t>
      </w:r>
      <w:r w:rsidR="00987171" w:rsidRPr="00404A58">
        <w:rPr>
          <w:rStyle w:val="FootnoteReference"/>
        </w:rPr>
        <w:footnoteReference w:id="20"/>
      </w:r>
    </w:p>
    <w:p w14:paraId="4CFE0FC2" w14:textId="150A44ED" w:rsidR="00597FD5" w:rsidRPr="00404A58" w:rsidRDefault="00597FD5" w:rsidP="00597FD5">
      <w:pPr>
        <w:pStyle w:val="ListBullet"/>
        <w:numPr>
          <w:ilvl w:val="0"/>
          <w:numId w:val="0"/>
        </w:numPr>
        <w:ind w:left="360"/>
      </w:pPr>
      <w:r w:rsidRPr="00404A58">
        <w:t xml:space="preserve">The following differences in neutropenia events between the 160 mg </w:t>
      </w:r>
      <w:r w:rsidR="00666EB0" w:rsidRPr="00404A58">
        <w:t>twice daily</w:t>
      </w:r>
      <w:r w:rsidRPr="00404A58">
        <w:t xml:space="preserve"> and 320</w:t>
      </w:r>
      <w:r w:rsidR="007A54EE" w:rsidRPr="00404A58">
        <w:t> </w:t>
      </w:r>
      <w:r w:rsidRPr="00404A58">
        <w:t xml:space="preserve">mg </w:t>
      </w:r>
      <w:r w:rsidR="00666EB0" w:rsidRPr="00404A58">
        <w:t>once daily</w:t>
      </w:r>
      <w:r w:rsidRPr="00404A58">
        <w:t xml:space="preserve"> groups were observed in Study BGB-3111-AU-003: neutropenia of all grades (21.6% </w:t>
      </w:r>
      <w:r w:rsidR="00987171" w:rsidRPr="00404A58">
        <w:t>versus</w:t>
      </w:r>
      <w:r w:rsidRPr="00404A58">
        <w:t xml:space="preserve"> 12.6%) and Grade </w:t>
      </w:r>
      <w:r w:rsidR="00987171" w:rsidRPr="00404A58">
        <w:t>≥ </w:t>
      </w:r>
      <w:r w:rsidRPr="00404A58">
        <w:t xml:space="preserve">3 neutropenia (19.1% </w:t>
      </w:r>
      <w:r w:rsidR="00987171" w:rsidRPr="00404A58">
        <w:t>versus</w:t>
      </w:r>
      <w:r w:rsidRPr="00404A58">
        <w:t xml:space="preserve"> 10.5%). Relevant patients</w:t>
      </w:r>
      <w:r w:rsidR="007A54EE" w:rsidRPr="00404A58">
        <w:t>’</w:t>
      </w:r>
      <w:r w:rsidRPr="00404A58">
        <w:t xml:space="preserve"> characteristics are summarized in </w:t>
      </w:r>
      <w:r w:rsidR="00987171" w:rsidRPr="00404A58">
        <w:fldChar w:fldCharType="begin"/>
      </w:r>
      <w:r w:rsidR="00987171" w:rsidRPr="00404A58">
        <w:instrText xml:space="preserve"> REF _Ref105343780 \h </w:instrText>
      </w:r>
      <w:r w:rsidR="00F350BD" w:rsidRPr="00404A58">
        <w:instrText xml:space="preserve"> \* MERGEFORMAT </w:instrText>
      </w:r>
      <w:r w:rsidR="00987171" w:rsidRPr="00404A58">
        <w:fldChar w:fldCharType="separate"/>
      </w:r>
      <w:r w:rsidR="00271F2E" w:rsidRPr="00404A58">
        <w:t xml:space="preserve">Table </w:t>
      </w:r>
      <w:r w:rsidR="00271F2E">
        <w:rPr>
          <w:noProof/>
        </w:rPr>
        <w:t>5</w:t>
      </w:r>
      <w:r w:rsidR="00987171" w:rsidRPr="00404A58">
        <w:fldChar w:fldCharType="end"/>
      </w:r>
      <w:r w:rsidRPr="00404A58">
        <w:t xml:space="preserve"> and </w:t>
      </w:r>
      <w:r w:rsidR="00987171" w:rsidRPr="00404A58">
        <w:fldChar w:fldCharType="begin"/>
      </w:r>
      <w:r w:rsidR="00987171" w:rsidRPr="00404A58">
        <w:instrText xml:space="preserve"> REF _Ref105343825 \h </w:instrText>
      </w:r>
      <w:r w:rsidR="00F350BD" w:rsidRPr="00404A58">
        <w:instrText xml:space="preserve"> \* MERGEFORMAT </w:instrText>
      </w:r>
      <w:r w:rsidR="00987171" w:rsidRPr="00404A58">
        <w:fldChar w:fldCharType="separate"/>
      </w:r>
      <w:r w:rsidR="00271F2E" w:rsidRPr="00404A58">
        <w:t xml:space="preserve">Table </w:t>
      </w:r>
      <w:r w:rsidR="00271F2E">
        <w:rPr>
          <w:noProof/>
        </w:rPr>
        <w:t>6</w:t>
      </w:r>
      <w:r w:rsidR="00987171" w:rsidRPr="00404A58">
        <w:fldChar w:fldCharType="end"/>
      </w:r>
      <w:r w:rsidR="007A54EE" w:rsidRPr="00404A58">
        <w:t xml:space="preserve"> below</w:t>
      </w:r>
      <w:r w:rsidRPr="00404A58">
        <w:t>.</w:t>
      </w:r>
    </w:p>
    <w:p w14:paraId="66B20610" w14:textId="780A2819" w:rsidR="00597FD5" w:rsidRPr="00404A58" w:rsidRDefault="00597FD5" w:rsidP="00597FD5">
      <w:pPr>
        <w:pStyle w:val="ListBullet"/>
        <w:numPr>
          <w:ilvl w:val="0"/>
          <w:numId w:val="0"/>
        </w:numPr>
        <w:ind w:left="360"/>
      </w:pPr>
      <w:r w:rsidRPr="00404A58">
        <w:t xml:space="preserve">Compared with the 320 mg </w:t>
      </w:r>
      <w:r w:rsidR="00666EB0" w:rsidRPr="00404A58">
        <w:t>once daily</w:t>
      </w:r>
      <w:r w:rsidRPr="00404A58">
        <w:t xml:space="preserve"> treatment group, the following key findings observed in the 160 mg </w:t>
      </w:r>
      <w:r w:rsidR="00666EB0" w:rsidRPr="00404A58">
        <w:t>twice daily</w:t>
      </w:r>
      <w:r w:rsidRPr="00404A58">
        <w:t xml:space="preserve"> group were considered as potential contributors to the events of neutropenia.</w:t>
      </w:r>
    </w:p>
    <w:p w14:paraId="569F8447" w14:textId="3D6423E2" w:rsidR="00597FD5" w:rsidRPr="00404A58" w:rsidRDefault="00597FD5" w:rsidP="00597FD5">
      <w:pPr>
        <w:pStyle w:val="ListBullet2"/>
      </w:pPr>
      <w:r w:rsidRPr="00404A58">
        <w:t xml:space="preserve">More female patients (30.9% </w:t>
      </w:r>
      <w:r w:rsidR="00987171" w:rsidRPr="00404A58">
        <w:t>versus</w:t>
      </w:r>
      <w:r w:rsidRPr="00404A58">
        <w:t xml:space="preserve"> 21.1%)</w:t>
      </w:r>
      <w:r w:rsidR="007A54EE" w:rsidRPr="00404A58">
        <w:t>.</w:t>
      </w:r>
    </w:p>
    <w:p w14:paraId="40A28A49" w14:textId="45C169C5" w:rsidR="00597FD5" w:rsidRPr="00404A58" w:rsidRDefault="00597FD5" w:rsidP="00597FD5">
      <w:pPr>
        <w:pStyle w:val="ListBullet2"/>
      </w:pPr>
      <w:r w:rsidRPr="00404A58">
        <w:t xml:space="preserve">Higher proportion of relapsed/refractory patients (87.1% </w:t>
      </w:r>
      <w:r w:rsidR="00987171" w:rsidRPr="00404A58">
        <w:t>versus</w:t>
      </w:r>
      <w:r w:rsidRPr="00404A58">
        <w:t xml:space="preserve"> 67.4%)</w:t>
      </w:r>
      <w:r w:rsidR="007A54EE" w:rsidRPr="00404A58">
        <w:t>.</w:t>
      </w:r>
    </w:p>
    <w:p w14:paraId="369FDAFA" w14:textId="28038E26" w:rsidR="00597FD5" w:rsidRPr="00404A58" w:rsidRDefault="00597FD5" w:rsidP="00597FD5">
      <w:pPr>
        <w:pStyle w:val="ListBullet2"/>
      </w:pPr>
      <w:r w:rsidRPr="00404A58">
        <w:t xml:space="preserve">More patients received prior antineoplastic agents (87.4% </w:t>
      </w:r>
      <w:r w:rsidR="00987171" w:rsidRPr="00404A58">
        <w:t>versus</w:t>
      </w:r>
      <w:r w:rsidRPr="00404A58">
        <w:t xml:space="preserve"> 67.4%), radiotherapy</w:t>
      </w:r>
      <w:r w:rsidR="007A54EE" w:rsidRPr="00404A58">
        <w:t>.</w:t>
      </w:r>
    </w:p>
    <w:p w14:paraId="2DA07519" w14:textId="0DF0B6AF" w:rsidR="00597FD5" w:rsidRPr="00404A58" w:rsidRDefault="00597FD5" w:rsidP="00597FD5">
      <w:pPr>
        <w:pStyle w:val="ListBullet2"/>
      </w:pPr>
      <w:r w:rsidRPr="00404A58">
        <w:t xml:space="preserve">(15.8% </w:t>
      </w:r>
      <w:r w:rsidR="00987171" w:rsidRPr="00404A58">
        <w:t>versus</w:t>
      </w:r>
      <w:r w:rsidRPr="00404A58">
        <w:t xml:space="preserve"> 9.5%) and transplants (6.5% </w:t>
      </w:r>
      <w:r w:rsidR="00987171" w:rsidRPr="00404A58">
        <w:t>versus</w:t>
      </w:r>
      <w:r w:rsidRPr="00404A58">
        <w:t xml:space="preserve"> 3.2%).</w:t>
      </w:r>
    </w:p>
    <w:p w14:paraId="7FB91679" w14:textId="2AB21051" w:rsidR="00597FD5" w:rsidRPr="00404A58" w:rsidRDefault="00597FD5" w:rsidP="00597FD5">
      <w:pPr>
        <w:pStyle w:val="ListBullet2"/>
      </w:pPr>
      <w:r w:rsidRPr="00404A58">
        <w:lastRenderedPageBreak/>
        <w:t xml:space="preserve">More patients received </w:t>
      </w:r>
      <w:r w:rsidR="00987171" w:rsidRPr="00404A58">
        <w:t>≥</w:t>
      </w:r>
      <w:r w:rsidRPr="00404A58">
        <w:t xml:space="preserve"> 2 lines of prior anti-cancer regimens.</w:t>
      </w:r>
    </w:p>
    <w:p w14:paraId="68BA1C33" w14:textId="2A899143" w:rsidR="00597FD5" w:rsidRPr="00404A58" w:rsidRDefault="00597FD5" w:rsidP="00597FD5">
      <w:pPr>
        <w:pStyle w:val="ListBullet2"/>
      </w:pPr>
      <w:r w:rsidRPr="00404A58">
        <w:t xml:space="preserve">Less recovery time from end of last regimen to first dose of </w:t>
      </w:r>
      <w:proofErr w:type="spellStart"/>
      <w:r w:rsidRPr="00404A58">
        <w:t>zanubrunitib</w:t>
      </w:r>
      <w:proofErr w:type="spellEnd"/>
      <w:r w:rsidRPr="00404A58">
        <w:t xml:space="preserve"> (11.66 months </w:t>
      </w:r>
      <w:r w:rsidR="00987171" w:rsidRPr="00404A58">
        <w:t>versus</w:t>
      </w:r>
      <w:r w:rsidRPr="00404A58">
        <w:t xml:space="preserve"> 15.82 months)</w:t>
      </w:r>
      <w:r w:rsidR="007A54EE" w:rsidRPr="00404A58">
        <w:t>.</w:t>
      </w:r>
    </w:p>
    <w:p w14:paraId="46D8B3F5" w14:textId="3EE95770" w:rsidR="00597FD5" w:rsidRPr="00404A58" w:rsidRDefault="00597FD5" w:rsidP="00597FD5">
      <w:pPr>
        <w:pStyle w:val="ListBullet2"/>
      </w:pPr>
      <w:r w:rsidRPr="00404A58">
        <w:t>Larger sample size (n</w:t>
      </w:r>
      <w:r w:rsidR="007A54EE" w:rsidRPr="00404A58">
        <w:t xml:space="preserve"> </w:t>
      </w:r>
      <w:r w:rsidRPr="00404A58">
        <w:t>=</w:t>
      </w:r>
      <w:r w:rsidR="007A54EE" w:rsidRPr="00404A58">
        <w:t xml:space="preserve"> </w:t>
      </w:r>
      <w:r w:rsidRPr="00404A58">
        <w:t xml:space="preserve">278 </w:t>
      </w:r>
      <w:r w:rsidR="00987171" w:rsidRPr="00404A58">
        <w:t>versus</w:t>
      </w:r>
      <w:r w:rsidRPr="00404A58">
        <w:t xml:space="preserve"> n</w:t>
      </w:r>
      <w:r w:rsidR="007A54EE" w:rsidRPr="00404A58">
        <w:t xml:space="preserve"> </w:t>
      </w:r>
      <w:r w:rsidRPr="00404A58">
        <w:t>=</w:t>
      </w:r>
      <w:r w:rsidR="007A54EE" w:rsidRPr="00404A58">
        <w:t xml:space="preserve"> </w:t>
      </w:r>
      <w:r w:rsidRPr="00404A58">
        <w:t>95) which might cause biases</w:t>
      </w:r>
      <w:r w:rsidR="007A54EE" w:rsidRPr="00404A58">
        <w:t>.</w:t>
      </w:r>
    </w:p>
    <w:p w14:paraId="77241964" w14:textId="679B67C8" w:rsidR="00597FD5" w:rsidRPr="00404A58" w:rsidRDefault="00597FD5" w:rsidP="00597FD5">
      <w:pPr>
        <w:pStyle w:val="ListBullet2"/>
      </w:pPr>
      <w:r w:rsidRPr="00404A58">
        <w:t>More patients with Richter</w:t>
      </w:r>
      <w:r w:rsidR="007A54EE" w:rsidRPr="00404A58">
        <w:t>’</w:t>
      </w:r>
      <w:r w:rsidRPr="00404A58">
        <w:t xml:space="preserve">s </w:t>
      </w:r>
      <w:r w:rsidR="00EA7218" w:rsidRPr="00404A58">
        <w:t>transformation</w:t>
      </w:r>
      <w:r w:rsidRPr="00404A58">
        <w:t xml:space="preserve"> and diffuse large B-cell lymphomas, more aggressive types of lymphomas with higher risks of neutropenia.</w:t>
      </w:r>
      <w:r w:rsidR="00330D9B" w:rsidRPr="00404A58">
        <w:rPr>
          <w:rStyle w:val="FootnoteReference"/>
        </w:rPr>
        <w:footnoteReference w:id="21"/>
      </w:r>
      <w:r w:rsidR="00EA7218" w:rsidRPr="00404A58">
        <w:rPr>
          <w:vertAlign w:val="superscript"/>
        </w:rPr>
        <w:t>,</w:t>
      </w:r>
      <w:r w:rsidR="00EA7218" w:rsidRPr="00404A58">
        <w:rPr>
          <w:rStyle w:val="FootnoteReference"/>
        </w:rPr>
        <w:footnoteReference w:id="22"/>
      </w:r>
    </w:p>
    <w:p w14:paraId="211E2907" w14:textId="396049E4" w:rsidR="00597FD5" w:rsidRPr="00404A58" w:rsidRDefault="00597FD5" w:rsidP="00330D9B">
      <w:pPr>
        <w:pStyle w:val="ListBullet"/>
        <w:numPr>
          <w:ilvl w:val="0"/>
          <w:numId w:val="0"/>
        </w:numPr>
        <w:ind w:left="360"/>
      </w:pPr>
      <w:r w:rsidRPr="00404A58">
        <w:t>There was no significant difference observed between 160</w:t>
      </w:r>
      <w:r w:rsidR="00330D9B" w:rsidRPr="00404A58">
        <w:t> </w:t>
      </w:r>
      <w:r w:rsidRPr="00404A58">
        <w:t xml:space="preserve">mg </w:t>
      </w:r>
      <w:r w:rsidR="00666EB0" w:rsidRPr="00404A58">
        <w:t>twice daily</w:t>
      </w:r>
      <w:r w:rsidRPr="00404A58">
        <w:t xml:space="preserve"> and 320</w:t>
      </w:r>
      <w:r w:rsidR="00330D9B" w:rsidRPr="00404A58">
        <w:t> </w:t>
      </w:r>
      <w:r w:rsidRPr="00404A58">
        <w:t xml:space="preserve">mg </w:t>
      </w:r>
      <w:r w:rsidR="00666EB0" w:rsidRPr="00404A58">
        <w:t>once daily</w:t>
      </w:r>
      <w:r w:rsidRPr="00404A58">
        <w:t xml:space="preserve"> groups in terms of age (56.8% </w:t>
      </w:r>
      <w:r w:rsidR="00987171" w:rsidRPr="00404A58">
        <w:t>versus</w:t>
      </w:r>
      <w:r w:rsidRPr="00404A58">
        <w:t xml:space="preserve"> 55.8% for &gt;</w:t>
      </w:r>
      <w:r w:rsidR="00330D9B" w:rsidRPr="00404A58">
        <w:t xml:space="preserve"> </w:t>
      </w:r>
      <w:r w:rsidRPr="00404A58">
        <w:t>65 years age group), pre</w:t>
      </w:r>
      <w:r w:rsidR="00330D9B" w:rsidRPr="00404A58">
        <w:noBreakHyphen/>
      </w:r>
      <w:r w:rsidRPr="00404A58">
        <w:t xml:space="preserve">existing neutropenia (4.3% </w:t>
      </w:r>
      <w:r w:rsidR="00987171" w:rsidRPr="00404A58">
        <w:t>versus</w:t>
      </w:r>
      <w:r w:rsidRPr="00404A58">
        <w:t xml:space="preserve"> 3.2%), renal disease (chronic kidney disease: 4.0% </w:t>
      </w:r>
      <w:r w:rsidR="00987171" w:rsidRPr="00404A58">
        <w:t>versus</w:t>
      </w:r>
      <w:r w:rsidRPr="00404A58">
        <w:t xml:space="preserve"> 1.1%; renal impairment: 1.1% </w:t>
      </w:r>
      <w:r w:rsidR="00987171" w:rsidRPr="00404A58">
        <w:t>versus</w:t>
      </w:r>
      <w:r w:rsidRPr="00404A58">
        <w:t xml:space="preserve"> 4.2%; renal failure: 1.1% </w:t>
      </w:r>
      <w:r w:rsidR="00987171" w:rsidRPr="00404A58">
        <w:t>versus</w:t>
      </w:r>
      <w:r w:rsidRPr="00404A58">
        <w:t xml:space="preserve"> 0.0%; renal disorder</w:t>
      </w:r>
      <w:r w:rsidR="00330D9B" w:rsidRPr="00404A58">
        <w:t>:</w:t>
      </w:r>
      <w:r w:rsidRPr="00404A58">
        <w:t xml:space="preserve"> 0.0% </w:t>
      </w:r>
      <w:r w:rsidR="00987171" w:rsidRPr="00404A58">
        <w:t>versus</w:t>
      </w:r>
      <w:r w:rsidRPr="00404A58">
        <w:t xml:space="preserve"> 1.1%) and diabetes (type 2 diabetes mellitus: 7.9% </w:t>
      </w:r>
      <w:r w:rsidR="00987171" w:rsidRPr="00404A58">
        <w:t>versus</w:t>
      </w:r>
      <w:r w:rsidRPr="00404A58">
        <w:t xml:space="preserve"> 9.5%; diabetes mellitus: 6.1% </w:t>
      </w:r>
      <w:r w:rsidR="00987171" w:rsidRPr="00404A58">
        <w:t>versus</w:t>
      </w:r>
      <w:r w:rsidRPr="00404A58">
        <w:t xml:space="preserve"> 3.2%; hyperglycaemia: 1.8% </w:t>
      </w:r>
      <w:r w:rsidR="00987171" w:rsidRPr="00404A58">
        <w:t>versus</w:t>
      </w:r>
      <w:r w:rsidRPr="00404A58">
        <w:t xml:space="preserve"> 3.2%). None of the known risk factors for neutropenia were more prevalent in the 320</w:t>
      </w:r>
      <w:r w:rsidR="00330D9B" w:rsidRPr="00404A58">
        <w:t xml:space="preserve"> </w:t>
      </w:r>
      <w:r w:rsidRPr="00404A58">
        <w:t xml:space="preserve">mg </w:t>
      </w:r>
      <w:r w:rsidR="00666EB0" w:rsidRPr="00404A58">
        <w:t>once daily</w:t>
      </w:r>
      <w:r w:rsidRPr="00404A58">
        <w:t xml:space="preserve"> group.</w:t>
      </w:r>
    </w:p>
    <w:p w14:paraId="7BC5E144" w14:textId="21C039A8" w:rsidR="00597FD5" w:rsidRPr="00404A58" w:rsidRDefault="00987171" w:rsidP="00271F2E">
      <w:pPr>
        <w:pStyle w:val="TableTitle"/>
      </w:pPr>
      <w:bookmarkStart w:id="110" w:name="_Ref105343780"/>
      <w:r w:rsidRPr="00404A58">
        <w:lastRenderedPageBreak/>
        <w:t xml:space="preserve">Table </w:t>
      </w:r>
      <w:fldSimple w:instr=" SEQ Table \* ARABIC ">
        <w:r w:rsidR="00271F2E">
          <w:rPr>
            <w:noProof/>
          </w:rPr>
          <w:t>5</w:t>
        </w:r>
      </w:fldSimple>
      <w:bookmarkEnd w:id="110"/>
      <w:r w:rsidR="00597FD5" w:rsidRPr="00404A58">
        <w:t xml:space="preserve">: </w:t>
      </w:r>
      <w:r w:rsidR="00330D9B" w:rsidRPr="00404A58">
        <w:t xml:space="preserve">Study BGB-3111-AU-003 </w:t>
      </w:r>
      <w:r w:rsidR="00597FD5" w:rsidRPr="00404A58">
        <w:t xml:space="preserve">Patient </w:t>
      </w:r>
      <w:r w:rsidR="00330D9B" w:rsidRPr="00404A58">
        <w:t>demographics summary by dosing regimen</w:t>
      </w:r>
    </w:p>
    <w:p w14:paraId="4FF7BBF2" w14:textId="6615B9F7" w:rsidR="00597FD5" w:rsidRPr="00404A58" w:rsidRDefault="00597FD5" w:rsidP="00271F2E">
      <w:r w:rsidRPr="00404A58">
        <w:rPr>
          <w:noProof/>
          <w:lang w:val="en-GB" w:eastAsia="en-GB"/>
        </w:rPr>
        <w:drawing>
          <wp:inline distT="0" distB="0" distL="0" distR="0" wp14:anchorId="4E05D04B" wp14:editId="4AC4FAB0">
            <wp:extent cx="5400040" cy="6115050"/>
            <wp:effectExtent l="0" t="0" r="0" b="0"/>
            <wp:docPr id="1" name="Picture 1" descr="Table 5: Study BGB-3111-AU-003 Patient demographics summary by dosing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5: Study BGB-3111-AU-003 Patient demographics summary by dosing regimen"/>
                    <pic:cNvPicPr/>
                  </pic:nvPicPr>
                  <pic:blipFill>
                    <a:blip r:embed="rId18"/>
                    <a:stretch>
                      <a:fillRect/>
                    </a:stretch>
                  </pic:blipFill>
                  <pic:spPr>
                    <a:xfrm>
                      <a:off x="0" y="0"/>
                      <a:ext cx="5400040" cy="6115050"/>
                    </a:xfrm>
                    <a:prstGeom prst="rect">
                      <a:avLst/>
                    </a:prstGeom>
                  </pic:spPr>
                </pic:pic>
              </a:graphicData>
            </a:graphic>
          </wp:inline>
        </w:drawing>
      </w:r>
    </w:p>
    <w:p w14:paraId="5599A5E8" w14:textId="4BFE60F9" w:rsidR="00084070" w:rsidRPr="00271F2E" w:rsidRDefault="00271F2E" w:rsidP="00271F2E">
      <w:pPr>
        <w:pStyle w:val="TableDescription"/>
      </w:pPr>
      <w:r w:rsidRPr="00271F2E">
        <w:t xml:space="preserve">Abbreviations: </w:t>
      </w:r>
      <w:r w:rsidR="00084070" w:rsidRPr="00271F2E">
        <w:t>BID = twice daily; N = population size; n = sample size; QD = once daily.</w:t>
      </w:r>
    </w:p>
    <w:p w14:paraId="2E91C22E" w14:textId="61A54063" w:rsidR="00597FD5" w:rsidRPr="00271F2E" w:rsidRDefault="00597FD5" w:rsidP="00271F2E">
      <w:pPr>
        <w:pStyle w:val="TableDescription"/>
      </w:pPr>
      <w:r w:rsidRPr="00271F2E">
        <w:t>Data cut-off: 31</w:t>
      </w:r>
      <w:r w:rsidR="00084070" w:rsidRPr="00271F2E">
        <w:t xml:space="preserve"> August </w:t>
      </w:r>
      <w:r w:rsidRPr="00271F2E">
        <w:t>2019</w:t>
      </w:r>
      <w:r w:rsidR="00084070" w:rsidRPr="00271F2E">
        <w:t>.</w:t>
      </w:r>
    </w:p>
    <w:p w14:paraId="480B2377" w14:textId="609D4DA1" w:rsidR="00597FD5" w:rsidRPr="00271F2E" w:rsidRDefault="00597FD5" w:rsidP="00271F2E">
      <w:pPr>
        <w:pStyle w:val="TableDescription"/>
      </w:pPr>
      <w:r w:rsidRPr="00271F2E">
        <w:t xml:space="preserve">a </w:t>
      </w:r>
      <w:proofErr w:type="gramStart"/>
      <w:r w:rsidRPr="00271F2E">
        <w:t>Prior anti-cancer regimens</w:t>
      </w:r>
      <w:proofErr w:type="gramEnd"/>
      <w:r w:rsidRPr="00271F2E">
        <w:t xml:space="preserve"> do not include prior radiotherapy. Number of prior anticancer regimens is considered as </w:t>
      </w:r>
      <w:r w:rsidR="00084070" w:rsidRPr="00271F2E">
        <w:t>zero</w:t>
      </w:r>
      <w:r w:rsidRPr="00271F2E">
        <w:t xml:space="preserve"> for patients without any recorded prior systemic anticancer regimens.</w:t>
      </w:r>
    </w:p>
    <w:p w14:paraId="6A8C3050" w14:textId="0DB7F7D4" w:rsidR="00597FD5" w:rsidRPr="00271F2E" w:rsidRDefault="00597FD5" w:rsidP="00271F2E">
      <w:pPr>
        <w:pStyle w:val="TableDescription"/>
      </w:pPr>
      <w:r w:rsidRPr="00271F2E">
        <w:t xml:space="preserve">&amp; Also includes 40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 xml:space="preserve">3), 80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 xml:space="preserve">4) and 160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5).</w:t>
      </w:r>
    </w:p>
    <w:p w14:paraId="084EE7C7" w14:textId="2757A602" w:rsidR="00597FD5" w:rsidRPr="00271F2E" w:rsidRDefault="00987171" w:rsidP="00271F2E">
      <w:pPr>
        <w:pStyle w:val="TableTitle"/>
      </w:pPr>
      <w:bookmarkStart w:id="111" w:name="_Ref105343825"/>
      <w:r w:rsidRPr="00271F2E">
        <w:lastRenderedPageBreak/>
        <w:t xml:space="preserve">Table </w:t>
      </w:r>
      <w:fldSimple w:instr=" SEQ Table \* ARABIC ">
        <w:r w:rsidR="00271F2E" w:rsidRPr="00271F2E">
          <w:t>6</w:t>
        </w:r>
      </w:fldSimple>
      <w:bookmarkEnd w:id="111"/>
      <w:r w:rsidR="00597FD5" w:rsidRPr="00271F2E">
        <w:t xml:space="preserve">: </w:t>
      </w:r>
      <w:r w:rsidR="00053A45" w:rsidRPr="00271F2E">
        <w:t xml:space="preserve">Study BGB-3111-AU-003 </w:t>
      </w:r>
      <w:r w:rsidR="00597FD5" w:rsidRPr="00271F2E">
        <w:t xml:space="preserve">Summary of </w:t>
      </w:r>
      <w:r w:rsidR="00053A45" w:rsidRPr="00271F2E">
        <w:t>underlying disease type by diagnosis and dosing regimen</w:t>
      </w:r>
    </w:p>
    <w:p w14:paraId="5042D66E" w14:textId="561E75F0" w:rsidR="00597FD5" w:rsidRPr="00404A58" w:rsidRDefault="00597FD5" w:rsidP="00271F2E">
      <w:r w:rsidRPr="00404A58">
        <w:rPr>
          <w:noProof/>
          <w:lang w:val="en-GB" w:eastAsia="en-GB"/>
        </w:rPr>
        <w:drawing>
          <wp:inline distT="0" distB="0" distL="0" distR="0" wp14:anchorId="23ADBBA3" wp14:editId="0EB990E1">
            <wp:extent cx="5400040" cy="1770380"/>
            <wp:effectExtent l="0" t="0" r="0" b="1270"/>
            <wp:docPr id="2" name="Picture 2" descr="Table 6: Study BGB-3111-AU-003 Summary of underlying disease type by diagnosis and dosing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6: Study BGB-3111-AU-003 Summary of underlying disease type by diagnosis and dosing regimen"/>
                    <pic:cNvPicPr/>
                  </pic:nvPicPr>
                  <pic:blipFill>
                    <a:blip r:embed="rId19"/>
                    <a:stretch>
                      <a:fillRect/>
                    </a:stretch>
                  </pic:blipFill>
                  <pic:spPr>
                    <a:xfrm>
                      <a:off x="0" y="0"/>
                      <a:ext cx="5400040" cy="1770380"/>
                    </a:xfrm>
                    <a:prstGeom prst="rect">
                      <a:avLst/>
                    </a:prstGeom>
                  </pic:spPr>
                </pic:pic>
              </a:graphicData>
            </a:graphic>
          </wp:inline>
        </w:drawing>
      </w:r>
    </w:p>
    <w:p w14:paraId="0B4BE363" w14:textId="31DF00C9" w:rsidR="00053A45" w:rsidRPr="00271F2E" w:rsidRDefault="00271F2E" w:rsidP="00271F2E">
      <w:pPr>
        <w:pStyle w:val="TableDescription"/>
      </w:pPr>
      <w:r w:rsidRPr="00271F2E">
        <w:t xml:space="preserve">Abbreviations: </w:t>
      </w:r>
      <w:r w:rsidR="00053A45" w:rsidRPr="00271F2E">
        <w:t>BID = twice daily; CLL = chronic lymphocytic leuk</w:t>
      </w:r>
      <w:r w:rsidR="008D2C11" w:rsidRPr="00271F2E">
        <w:t>a</w:t>
      </w:r>
      <w:r w:rsidR="00053A45" w:rsidRPr="00271F2E">
        <w:t>emia; DLBCL = diffuse large B-cell lymphoma; FL = follicular lymphoma; HCL = hairy cell leuk</w:t>
      </w:r>
      <w:r w:rsidR="008D2C11" w:rsidRPr="00271F2E">
        <w:t>a</w:t>
      </w:r>
      <w:r w:rsidR="00053A45" w:rsidRPr="00271F2E">
        <w:t>emia; MCL = mantle cell lymphoma; MZL = marginal zone lymphoma; N = population size; QD = once daily; RT = Richter’s transformation; SLL = small lymphocytic lymphoma; WM = Waldenstr</w:t>
      </w:r>
      <w:r w:rsidR="00053A45" w:rsidRPr="00271F2E">
        <w:rPr>
          <w:rFonts w:hint="eastAsia"/>
        </w:rPr>
        <w:t>ö</w:t>
      </w:r>
      <w:r w:rsidR="00053A45" w:rsidRPr="00271F2E">
        <w:t>m’s macroglobulinemia.</w:t>
      </w:r>
    </w:p>
    <w:p w14:paraId="75C240EA" w14:textId="78257EF3" w:rsidR="00597FD5" w:rsidRPr="00271F2E" w:rsidRDefault="00597FD5" w:rsidP="00271F2E">
      <w:pPr>
        <w:pStyle w:val="TableDescription"/>
      </w:pPr>
      <w:r w:rsidRPr="00271F2E">
        <w:t>Data cut-off: 31</w:t>
      </w:r>
      <w:r w:rsidR="00053A45" w:rsidRPr="00271F2E">
        <w:t xml:space="preserve"> August 2</w:t>
      </w:r>
      <w:r w:rsidRPr="00271F2E">
        <w:t>019</w:t>
      </w:r>
      <w:r w:rsidR="00053A45" w:rsidRPr="00271F2E">
        <w:t>.</w:t>
      </w:r>
    </w:p>
    <w:p w14:paraId="1289BD4B" w14:textId="1B0EB3E6" w:rsidR="00597FD5" w:rsidRPr="00404A58" w:rsidRDefault="00597FD5" w:rsidP="00330D9B">
      <w:pPr>
        <w:pStyle w:val="ListBullet"/>
        <w:numPr>
          <w:ilvl w:val="0"/>
          <w:numId w:val="0"/>
        </w:numPr>
        <w:ind w:left="360"/>
      </w:pPr>
      <w:r w:rsidRPr="00404A58">
        <w:t xml:space="preserve">In summary, the difference in neutropenia events, both for all grades and Grade </w:t>
      </w:r>
      <w:r w:rsidR="00987171" w:rsidRPr="00404A58">
        <w:t>≥</w:t>
      </w:r>
      <w:r w:rsidR="00330D9B" w:rsidRPr="00404A58">
        <w:t> </w:t>
      </w:r>
      <w:r w:rsidRPr="00404A58">
        <w:t xml:space="preserve">3, between the 160 mg </w:t>
      </w:r>
      <w:r w:rsidR="00666EB0" w:rsidRPr="00404A58">
        <w:t>twice daily</w:t>
      </w:r>
      <w:r w:rsidRPr="00404A58">
        <w:t xml:space="preserve"> and 320 mg </w:t>
      </w:r>
      <w:r w:rsidR="00666EB0" w:rsidRPr="00404A58">
        <w:t>once daily</w:t>
      </w:r>
      <w:r w:rsidRPr="00404A58">
        <w:t xml:space="preserve"> groups are probably due to the difference of patient characteristics, including age, sex, prior antineoplastic agents and immunosuppressants, as well as patients</w:t>
      </w:r>
      <w:r w:rsidR="00330D9B" w:rsidRPr="00404A58">
        <w:t xml:space="preserve">’ </w:t>
      </w:r>
      <w:r w:rsidRPr="00404A58">
        <w:t>underling disease type and the stage of the disease.</w:t>
      </w:r>
    </w:p>
    <w:p w14:paraId="507612BB" w14:textId="1E183F85" w:rsidR="00597FD5" w:rsidRPr="00404A58" w:rsidRDefault="00597FD5" w:rsidP="00330D9B">
      <w:pPr>
        <w:pStyle w:val="ListBullet"/>
      </w:pPr>
      <w:r w:rsidRPr="00404A58">
        <w:t>Bleeding</w:t>
      </w:r>
    </w:p>
    <w:p w14:paraId="5AFD39CE" w14:textId="079E44BD" w:rsidR="00597FD5" w:rsidRPr="00404A58" w:rsidRDefault="00597FD5" w:rsidP="00330D9B">
      <w:pPr>
        <w:pStyle w:val="ListBullet"/>
        <w:numPr>
          <w:ilvl w:val="0"/>
          <w:numId w:val="0"/>
        </w:numPr>
        <w:ind w:left="360"/>
      </w:pPr>
      <w:r w:rsidRPr="00404A58">
        <w:t xml:space="preserve">Compared with 160 mg </w:t>
      </w:r>
      <w:r w:rsidR="00666EB0" w:rsidRPr="00404A58">
        <w:t>twice daily</w:t>
      </w:r>
      <w:r w:rsidRPr="00404A58">
        <w:t xml:space="preserve">, more patients in the 320 mg </w:t>
      </w:r>
      <w:r w:rsidR="00666EB0" w:rsidRPr="00404A58">
        <w:t>once daily</w:t>
      </w:r>
      <w:r w:rsidRPr="00404A58">
        <w:t xml:space="preserve"> treatment group of Study BGB- 3111-AU-003 had h</w:t>
      </w:r>
      <w:r w:rsidR="00330D9B" w:rsidRPr="00404A58">
        <w:t>a</w:t>
      </w:r>
      <w:r w:rsidRPr="00404A58">
        <w:t>emorrhage events of all grades (MedDRA</w:t>
      </w:r>
      <w:r w:rsidR="00F82029" w:rsidRPr="00404A58">
        <w:t>;</w:t>
      </w:r>
      <w:r w:rsidR="00F82029" w:rsidRPr="00404A58">
        <w:rPr>
          <w:rStyle w:val="FootnoteReference"/>
        </w:rPr>
        <w:footnoteReference w:id="23"/>
      </w:r>
      <w:r w:rsidRPr="00404A58">
        <w:t xml:space="preserve"> 22.0 SMQ</w:t>
      </w:r>
      <w:r w:rsidR="00F82029" w:rsidRPr="00404A58">
        <w:t>;</w:t>
      </w:r>
      <w:r w:rsidR="00F82029" w:rsidRPr="00404A58">
        <w:rPr>
          <w:rStyle w:val="FootnoteReference"/>
        </w:rPr>
        <w:footnoteReference w:id="24"/>
      </w:r>
      <w:r w:rsidRPr="00404A58">
        <w:t xml:space="preserve">) (65.3% </w:t>
      </w:r>
      <w:r w:rsidR="00987171" w:rsidRPr="00404A58">
        <w:t>versus</w:t>
      </w:r>
      <w:r w:rsidRPr="00404A58">
        <w:t xml:space="preserve"> 56.5%).</w:t>
      </w:r>
      <w:r w:rsidR="00987171" w:rsidRPr="00404A58">
        <w:t xml:space="preserve"> </w:t>
      </w:r>
      <w:r w:rsidRPr="00404A58">
        <w:t>However, when analy</w:t>
      </w:r>
      <w:r w:rsidR="00330D9B" w:rsidRPr="00404A58">
        <w:t>s</w:t>
      </w:r>
      <w:r w:rsidRPr="00404A58">
        <w:t xml:space="preserve">ing the </w:t>
      </w:r>
      <w:r w:rsidR="00330D9B" w:rsidRPr="00404A58">
        <w:t>haemorrhage</w:t>
      </w:r>
      <w:r w:rsidRPr="00404A58">
        <w:t xml:space="preserve"> events by severity, the incidence rates of Grade 2,</w:t>
      </w:r>
      <w:r w:rsidR="00987171" w:rsidRPr="00404A58">
        <w:t xml:space="preserve"> </w:t>
      </w:r>
      <w:r w:rsidRPr="00404A58">
        <w:t xml:space="preserve">Grade </w:t>
      </w:r>
      <w:proofErr w:type="gramStart"/>
      <w:r w:rsidRPr="00404A58">
        <w:t>3</w:t>
      </w:r>
      <w:proofErr w:type="gramEnd"/>
      <w:r w:rsidRPr="00404A58">
        <w:t xml:space="preserve"> and Grade 4 </w:t>
      </w:r>
      <w:r w:rsidR="00330D9B" w:rsidRPr="00404A58">
        <w:t>haemorrhages</w:t>
      </w:r>
      <w:r w:rsidRPr="00404A58">
        <w:t xml:space="preserve"> in these two treatment groups were comparable (</w:t>
      </w:r>
      <w:r w:rsidR="00987171" w:rsidRPr="00404A58">
        <w:fldChar w:fldCharType="begin"/>
      </w:r>
      <w:r w:rsidR="00987171" w:rsidRPr="00404A58">
        <w:instrText xml:space="preserve"> REF _Ref105343855 \h </w:instrText>
      </w:r>
      <w:r w:rsidR="00330D9B" w:rsidRPr="00404A58">
        <w:instrText xml:space="preserve"> \* MERGEFORMAT </w:instrText>
      </w:r>
      <w:r w:rsidR="00987171" w:rsidRPr="00404A58">
        <w:fldChar w:fldCharType="separate"/>
      </w:r>
      <w:r w:rsidR="00271F2E" w:rsidRPr="00404A58">
        <w:t xml:space="preserve">Table </w:t>
      </w:r>
      <w:r w:rsidR="00271F2E">
        <w:rPr>
          <w:noProof/>
        </w:rPr>
        <w:t>7</w:t>
      </w:r>
      <w:r w:rsidR="00987171" w:rsidRPr="00404A58">
        <w:fldChar w:fldCharType="end"/>
      </w:r>
      <w:r w:rsidRPr="00404A58">
        <w:t>). It</w:t>
      </w:r>
      <w:r w:rsidR="00987171" w:rsidRPr="00404A58">
        <w:t xml:space="preserve"> </w:t>
      </w:r>
      <w:r w:rsidRPr="00404A58">
        <w:t xml:space="preserve">appears that the difference in all grades is driven by more Grade 1 </w:t>
      </w:r>
      <w:r w:rsidR="00330D9B" w:rsidRPr="00404A58">
        <w:t>haemorrhages</w:t>
      </w:r>
      <w:r w:rsidRPr="00404A58">
        <w:t xml:space="preserve"> in the 320 mg</w:t>
      </w:r>
      <w:r w:rsidR="00987171" w:rsidRPr="00404A58">
        <w:t xml:space="preserve"> </w:t>
      </w:r>
      <w:r w:rsidR="00666EB0" w:rsidRPr="00404A58">
        <w:t>once daily</w:t>
      </w:r>
      <w:r w:rsidRPr="00404A58">
        <w:t xml:space="preserve"> group (57.9% </w:t>
      </w:r>
      <w:r w:rsidR="00987171" w:rsidRPr="00404A58">
        <w:t>versus</w:t>
      </w:r>
      <w:r w:rsidRPr="00404A58">
        <w:t xml:space="preserve"> 45.3%). The following Grade 1 events showed differences of </w:t>
      </w:r>
      <w:r w:rsidR="00987171" w:rsidRPr="00404A58">
        <w:t>≥</w:t>
      </w:r>
      <w:r w:rsidRPr="00404A58">
        <w:t xml:space="preserve"> 4% for 320</w:t>
      </w:r>
      <w:r w:rsidR="00330D9B" w:rsidRPr="00404A58">
        <w:t> </w:t>
      </w:r>
      <w:r w:rsidRPr="00404A58">
        <w:t xml:space="preserve">mg </w:t>
      </w:r>
      <w:r w:rsidR="00666EB0" w:rsidRPr="00404A58">
        <w:t>once daily</w:t>
      </w:r>
      <w:r w:rsidRPr="00404A58">
        <w:t xml:space="preserve"> compared to 160 mg </w:t>
      </w:r>
      <w:r w:rsidR="00666EB0" w:rsidRPr="00404A58">
        <w:t>twice daily</w:t>
      </w:r>
      <w:r w:rsidRPr="00404A58">
        <w:t xml:space="preserve">: Grade 1 contusion (37.9% </w:t>
      </w:r>
      <w:r w:rsidR="00987171" w:rsidRPr="00404A58">
        <w:t>versus</w:t>
      </w:r>
      <w:r w:rsidRPr="00404A58">
        <w:t xml:space="preserve"> 29.9%), Grade 1 Epistaxis</w:t>
      </w:r>
      <w:r w:rsidR="00987171" w:rsidRPr="00404A58">
        <w:t xml:space="preserve"> </w:t>
      </w:r>
      <w:r w:rsidRPr="00404A58">
        <w:t xml:space="preserve">(10.5% </w:t>
      </w:r>
      <w:r w:rsidR="00987171" w:rsidRPr="00404A58">
        <w:t>versus</w:t>
      </w:r>
      <w:r w:rsidRPr="00404A58">
        <w:t xml:space="preserve"> 6.5%) and Grade 1 increased tendency to bruise (6.3% </w:t>
      </w:r>
      <w:r w:rsidR="00987171" w:rsidRPr="00404A58">
        <w:t>versus</w:t>
      </w:r>
      <w:r w:rsidRPr="00404A58">
        <w:t xml:space="preserve"> 1.8%).</w:t>
      </w:r>
    </w:p>
    <w:p w14:paraId="2FE2AFEE" w14:textId="0F716CD0" w:rsidR="00987171" w:rsidRPr="00271F2E" w:rsidRDefault="00987171" w:rsidP="00271F2E">
      <w:pPr>
        <w:pStyle w:val="TableTitle"/>
      </w:pPr>
      <w:bookmarkStart w:id="112" w:name="_Ref105343855"/>
      <w:r w:rsidRPr="00271F2E">
        <w:lastRenderedPageBreak/>
        <w:t xml:space="preserve">Table </w:t>
      </w:r>
      <w:fldSimple w:instr=" SEQ Table \* ARABIC ">
        <w:r w:rsidR="00271F2E" w:rsidRPr="00271F2E">
          <w:t>7</w:t>
        </w:r>
      </w:fldSimple>
      <w:bookmarkEnd w:id="112"/>
      <w:r w:rsidRPr="00271F2E">
        <w:t xml:space="preserve">: </w:t>
      </w:r>
      <w:r w:rsidR="00330D9B" w:rsidRPr="00271F2E">
        <w:t>Study BGB-3111-AU-003 Haemorrhage</w:t>
      </w:r>
      <w:r w:rsidRPr="00271F2E">
        <w:t xml:space="preserve"> </w:t>
      </w:r>
      <w:r w:rsidR="00330D9B" w:rsidRPr="00271F2E">
        <w:t>events by severity</w:t>
      </w:r>
    </w:p>
    <w:p w14:paraId="09170122" w14:textId="5CB94E51" w:rsidR="00987171" w:rsidRPr="00404A58" w:rsidRDefault="00987171" w:rsidP="00271F2E">
      <w:r w:rsidRPr="00404A58">
        <w:rPr>
          <w:noProof/>
          <w:lang w:val="en-GB" w:eastAsia="en-GB"/>
        </w:rPr>
        <w:drawing>
          <wp:inline distT="0" distB="0" distL="0" distR="0" wp14:anchorId="003CCDF1" wp14:editId="6DDF6437">
            <wp:extent cx="5400040" cy="1372870"/>
            <wp:effectExtent l="0" t="0" r="0" b="0"/>
            <wp:docPr id="3" name="Picture 3" descr="Table 7: Study BGB-3111-AU-003 Haemorrhage events by seve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7: Study BGB-3111-AU-003 Haemorrhage events by severity"/>
                    <pic:cNvPicPr/>
                  </pic:nvPicPr>
                  <pic:blipFill>
                    <a:blip r:embed="rId20"/>
                    <a:stretch>
                      <a:fillRect/>
                    </a:stretch>
                  </pic:blipFill>
                  <pic:spPr>
                    <a:xfrm>
                      <a:off x="0" y="0"/>
                      <a:ext cx="5400040" cy="1372870"/>
                    </a:xfrm>
                    <a:prstGeom prst="rect">
                      <a:avLst/>
                    </a:prstGeom>
                  </pic:spPr>
                </pic:pic>
              </a:graphicData>
            </a:graphic>
          </wp:inline>
        </w:drawing>
      </w:r>
    </w:p>
    <w:p w14:paraId="6B4C96C2" w14:textId="77777777" w:rsidR="00053A45" w:rsidRPr="00271F2E" w:rsidRDefault="00053A45" w:rsidP="00271F2E">
      <w:pPr>
        <w:pStyle w:val="TableDescription"/>
      </w:pPr>
      <w:r w:rsidRPr="00271F2E">
        <w:t>BID = twice daily; N = population size; n = sample size; QD = once daily.</w:t>
      </w:r>
    </w:p>
    <w:p w14:paraId="747F104C" w14:textId="0B1A9719" w:rsidR="00987171" w:rsidRPr="00271F2E" w:rsidRDefault="00987171" w:rsidP="00271F2E">
      <w:pPr>
        <w:pStyle w:val="TableDescription"/>
      </w:pPr>
      <w:r w:rsidRPr="00271F2E">
        <w:t xml:space="preserve">&amp; Also includes 40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 xml:space="preserve">3), 80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 xml:space="preserve">4) and 160 mg </w:t>
      </w:r>
      <w:r w:rsidR="00666EB0" w:rsidRPr="00271F2E">
        <w:t>once daily</w:t>
      </w:r>
      <w:r w:rsidRPr="00271F2E">
        <w:t xml:space="preserve"> (N</w:t>
      </w:r>
      <w:r w:rsidR="00053A45" w:rsidRPr="00271F2E">
        <w:t xml:space="preserve"> </w:t>
      </w:r>
      <w:r w:rsidRPr="00271F2E">
        <w:t>=</w:t>
      </w:r>
      <w:r w:rsidR="00053A45" w:rsidRPr="00271F2E">
        <w:t xml:space="preserve"> </w:t>
      </w:r>
      <w:r w:rsidRPr="00271F2E">
        <w:t>5).</w:t>
      </w:r>
    </w:p>
    <w:p w14:paraId="4BFE6DCA" w14:textId="53BA22AF" w:rsidR="00987171" w:rsidRPr="00404A58" w:rsidRDefault="00987171" w:rsidP="00330D9B">
      <w:pPr>
        <w:pStyle w:val="ListBullet"/>
        <w:numPr>
          <w:ilvl w:val="0"/>
          <w:numId w:val="0"/>
        </w:numPr>
        <w:ind w:left="360"/>
      </w:pPr>
      <w:r w:rsidRPr="00404A58">
        <w:t xml:space="preserve">In summary, the difference of </w:t>
      </w:r>
      <w:r w:rsidR="00330D9B" w:rsidRPr="00404A58">
        <w:t>haemorrhage</w:t>
      </w:r>
      <w:r w:rsidRPr="00404A58">
        <w:t xml:space="preserve"> event rates between 160 mg </w:t>
      </w:r>
      <w:r w:rsidR="00666EB0" w:rsidRPr="00404A58">
        <w:t>twice daily</w:t>
      </w:r>
      <w:r w:rsidRPr="00404A58">
        <w:t xml:space="preserve"> and 320 mg </w:t>
      </w:r>
      <w:r w:rsidR="00666EB0" w:rsidRPr="00404A58">
        <w:t>once daily</w:t>
      </w:r>
      <w:r w:rsidRPr="00404A58">
        <w:t xml:space="preserve"> was mainly due to clinically less significant Grade 1 </w:t>
      </w:r>
      <w:r w:rsidR="00330D9B" w:rsidRPr="00404A58">
        <w:t>haemorrhage</w:t>
      </w:r>
      <w:r w:rsidRPr="00404A58">
        <w:t xml:space="preserve"> events. There was no significant difference between the 160 mg </w:t>
      </w:r>
      <w:r w:rsidR="00666EB0" w:rsidRPr="00404A58">
        <w:t>twice daily</w:t>
      </w:r>
      <w:r w:rsidRPr="00404A58">
        <w:t xml:space="preserve"> and 320</w:t>
      </w:r>
      <w:r w:rsidR="00330D9B" w:rsidRPr="00404A58">
        <w:t> </w:t>
      </w:r>
      <w:r w:rsidRPr="00404A58">
        <w:t xml:space="preserve">mg </w:t>
      </w:r>
      <w:r w:rsidR="00666EB0" w:rsidRPr="00404A58">
        <w:t>once daily</w:t>
      </w:r>
      <w:r w:rsidRPr="00404A58">
        <w:t xml:space="preserve"> groups for major </w:t>
      </w:r>
      <w:r w:rsidR="00330D9B" w:rsidRPr="00404A58">
        <w:t>haemorrhage</w:t>
      </w:r>
      <w:r w:rsidRPr="00404A58">
        <w:t xml:space="preserve"> (defined as serious or ≥</w:t>
      </w:r>
      <w:r w:rsidR="00330D9B" w:rsidRPr="00404A58">
        <w:t> </w:t>
      </w:r>
      <w:r w:rsidRPr="00404A58">
        <w:t xml:space="preserve">Grade 3 bleeding at any site, or central nervous system bleeding of any grade) (4.0% versus 3.2%), serious bleeding events (3.2% versus 3.2%) and ≥ Grade 3 </w:t>
      </w:r>
      <w:r w:rsidR="00330D9B" w:rsidRPr="00404A58">
        <w:t>haemorrhage</w:t>
      </w:r>
      <w:r w:rsidRPr="00404A58">
        <w:t xml:space="preserve"> (4.0% versus 3.2%).</w:t>
      </w:r>
    </w:p>
    <w:p w14:paraId="2CCCB4D6" w14:textId="77777777" w:rsidR="0074163C" w:rsidRPr="00404A58" w:rsidRDefault="0074163C" w:rsidP="0074163C">
      <w:pPr>
        <w:pStyle w:val="Heading4"/>
      </w:pPr>
      <w:bookmarkStart w:id="113" w:name="_Toc98931936"/>
      <w:bookmarkStart w:id="114" w:name="_Toc247691532"/>
      <w:bookmarkStart w:id="115" w:name="_Toc314842516"/>
      <w:bookmarkEnd w:id="34"/>
      <w:bookmarkEnd w:id="101"/>
      <w:bookmarkEnd w:id="102"/>
      <w:r w:rsidRPr="00404A58">
        <w:t>Advisory Committee considerations</w:t>
      </w:r>
      <w:bookmarkEnd w:id="113"/>
    </w:p>
    <w:p w14:paraId="44423C79" w14:textId="1EA5C3E5" w:rsidR="0074163C" w:rsidRPr="00404A58" w:rsidRDefault="0074163C" w:rsidP="00705C40">
      <w:r w:rsidRPr="00404A58">
        <w:t xml:space="preserve">The </w:t>
      </w:r>
      <w:hyperlink r:id="rId21" w:history="1">
        <w:r w:rsidRPr="00404A58">
          <w:rPr>
            <w:rStyle w:val="Hyperlink"/>
          </w:rPr>
          <w:t>Advisory Committee on Medicines (ACM)</w:t>
        </w:r>
      </w:hyperlink>
      <w:r w:rsidRPr="00404A58">
        <w:t>, having considered the evaluations and the Delegate’s overview, as well as the sponsor’s response to these documents, advised the following.</w:t>
      </w:r>
    </w:p>
    <w:p w14:paraId="3C16D9C8" w14:textId="77777777" w:rsidR="0074163C" w:rsidRPr="00404A58" w:rsidRDefault="0074163C" w:rsidP="0074163C">
      <w:pPr>
        <w:pStyle w:val="Heading5"/>
      </w:pPr>
      <w:r w:rsidRPr="00404A58">
        <w:t>Specific advice to the Delegate</w:t>
      </w:r>
    </w:p>
    <w:p w14:paraId="37EAE496" w14:textId="3C78D11A" w:rsidR="00B05276" w:rsidRPr="00404A58" w:rsidRDefault="00B05276" w:rsidP="00705C40">
      <w:pPr>
        <w:pStyle w:val="Numberbullet0"/>
        <w:numPr>
          <w:ilvl w:val="0"/>
          <w:numId w:val="40"/>
        </w:numPr>
        <w:rPr>
          <w:b/>
          <w:bCs/>
          <w:i/>
          <w:iCs/>
        </w:rPr>
      </w:pPr>
      <w:r w:rsidRPr="00404A58">
        <w:rPr>
          <w:b/>
          <w:bCs/>
          <w:i/>
          <w:iCs/>
        </w:rPr>
        <w:t xml:space="preserve">Advice is sought on the generalisability of the efficacy to the Australian </w:t>
      </w:r>
      <w:r w:rsidR="00330D9B" w:rsidRPr="00404A58">
        <w:rPr>
          <w:b/>
          <w:bCs/>
          <w:i/>
          <w:iCs/>
        </w:rPr>
        <w:t xml:space="preserve">mantle cell lymphoma </w:t>
      </w:r>
      <w:r w:rsidRPr="00404A58">
        <w:rPr>
          <w:b/>
          <w:bCs/>
          <w:i/>
          <w:iCs/>
        </w:rPr>
        <w:t>population.</w:t>
      </w:r>
    </w:p>
    <w:p w14:paraId="4950282E" w14:textId="77777777" w:rsidR="00B05276" w:rsidRPr="00404A58" w:rsidRDefault="00B05276" w:rsidP="00705C40">
      <w:r w:rsidRPr="00404A58">
        <w:t xml:space="preserve">The ACM noted that </w:t>
      </w:r>
      <w:proofErr w:type="gramStart"/>
      <w:r w:rsidRPr="00404A58">
        <w:t>the majority of</w:t>
      </w:r>
      <w:proofErr w:type="gramEnd"/>
      <w:r w:rsidRPr="00404A58">
        <w:t xml:space="preserve"> the efficacy data lies within Study BGB-3111-206, which has differences in baseline characteristics compared to the Australian mantle cell lymphoma (MCL) population. The ACM advised that in comparison to the Australian MCL population, Study BGB-3111-206 shows underutilisation of rituximab and autologous transplant in patients; and that the patient demographics consists of a younger cohort.</w:t>
      </w:r>
    </w:p>
    <w:p w14:paraId="232256D0" w14:textId="5CF50568" w:rsidR="00B05276" w:rsidRPr="00404A58" w:rsidRDefault="00B05276" w:rsidP="00705C40">
      <w:r w:rsidRPr="00404A58">
        <w:t>The ACM was of the view that the study population in Study BGB-3111-AU-003 is more likely to represent usage of emerging standard of care, with fewer lines of prior treatment used in the Australian MCL patients. In addition, the ACM agreed that Study</w:t>
      </w:r>
      <w:r w:rsidR="00330D9B" w:rsidRPr="00404A58">
        <w:t> </w:t>
      </w:r>
      <w:r w:rsidRPr="00404A58">
        <w:t>BGB</w:t>
      </w:r>
      <w:r w:rsidR="00330D9B" w:rsidRPr="00404A58">
        <w:noBreakHyphen/>
      </w:r>
      <w:r w:rsidRPr="00404A58">
        <w:t>3111</w:t>
      </w:r>
      <w:r w:rsidR="00330D9B" w:rsidRPr="00404A58">
        <w:noBreakHyphen/>
      </w:r>
      <w:r w:rsidRPr="00404A58">
        <w:t>AU</w:t>
      </w:r>
      <w:r w:rsidR="00330D9B" w:rsidRPr="00404A58">
        <w:noBreakHyphen/>
      </w:r>
      <w:r w:rsidRPr="00404A58">
        <w:t xml:space="preserve">003 did demonstrate </w:t>
      </w:r>
      <w:r w:rsidR="00330D9B" w:rsidRPr="00404A58">
        <w:t>zanubrutinib’s</w:t>
      </w:r>
      <w:r w:rsidRPr="00404A58">
        <w:t xml:space="preserve"> efficacy. Studies BGB-3111-206 and BGB-3111-AU-003 showed a comparable overall response rate (ORR) between the different patient populations. The ACM was reassured by the consistency of the efficacy results between Studies BGB-3111-206 and BGB-3111-AU-003.</w:t>
      </w:r>
    </w:p>
    <w:p w14:paraId="776924D4" w14:textId="77777777" w:rsidR="00B05276" w:rsidRPr="00404A58" w:rsidRDefault="00B05276" w:rsidP="00705C40">
      <w:r w:rsidRPr="00404A58">
        <w:t>In summary, the ACM was of the view that the efficacy studies were generalisable to the Australian MCL population.</w:t>
      </w:r>
    </w:p>
    <w:p w14:paraId="17B6CCDC" w14:textId="2270BAB9" w:rsidR="00B05276" w:rsidRPr="00404A58" w:rsidRDefault="00B05276" w:rsidP="00B05276">
      <w:pPr>
        <w:pStyle w:val="Numberbullet0"/>
        <w:numPr>
          <w:ilvl w:val="0"/>
          <w:numId w:val="40"/>
        </w:numPr>
        <w:rPr>
          <w:b/>
          <w:bCs/>
          <w:i/>
          <w:iCs/>
        </w:rPr>
      </w:pPr>
      <w:r w:rsidRPr="00404A58">
        <w:rPr>
          <w:b/>
          <w:bCs/>
          <w:i/>
          <w:iCs/>
        </w:rPr>
        <w:t xml:space="preserve">Some differences in safety were seen between </w:t>
      </w:r>
      <w:r w:rsidR="00330D9B" w:rsidRPr="00404A58">
        <w:rPr>
          <w:b/>
          <w:bCs/>
          <w:i/>
          <w:iCs/>
        </w:rPr>
        <w:t xml:space="preserve">Studies </w:t>
      </w:r>
      <w:r w:rsidR="004A1542" w:rsidRPr="00404A58">
        <w:rPr>
          <w:b/>
          <w:bCs/>
          <w:i/>
          <w:iCs/>
        </w:rPr>
        <w:t>BGB-311</w:t>
      </w:r>
      <w:r w:rsidR="000B7A29">
        <w:rPr>
          <w:b/>
          <w:bCs/>
          <w:i/>
          <w:iCs/>
        </w:rPr>
        <w:t>1</w:t>
      </w:r>
      <w:r w:rsidR="004A1542" w:rsidRPr="00404A58">
        <w:rPr>
          <w:b/>
          <w:bCs/>
          <w:i/>
          <w:iCs/>
        </w:rPr>
        <w:t>-206</w:t>
      </w:r>
      <w:r w:rsidRPr="00404A58">
        <w:rPr>
          <w:b/>
          <w:bCs/>
          <w:i/>
          <w:iCs/>
        </w:rPr>
        <w:t xml:space="preserve"> and </w:t>
      </w:r>
      <w:r w:rsidR="004A1542" w:rsidRPr="00404A58">
        <w:rPr>
          <w:b/>
          <w:bCs/>
          <w:i/>
          <w:iCs/>
        </w:rPr>
        <w:t>BGB</w:t>
      </w:r>
      <w:r w:rsidR="00330D9B" w:rsidRPr="00404A58">
        <w:rPr>
          <w:b/>
          <w:bCs/>
          <w:i/>
          <w:iCs/>
        </w:rPr>
        <w:noBreakHyphen/>
      </w:r>
      <w:r w:rsidR="004A1542" w:rsidRPr="00404A58">
        <w:rPr>
          <w:b/>
          <w:bCs/>
          <w:i/>
          <w:iCs/>
        </w:rPr>
        <w:t>3111-AU-003</w:t>
      </w:r>
      <w:r w:rsidRPr="00404A58">
        <w:rPr>
          <w:b/>
          <w:bCs/>
          <w:i/>
          <w:iCs/>
        </w:rPr>
        <w:t xml:space="preserve"> were identified. Advice is sought on whether these are mainly attributable to differences in stage of disease and prior treatment.</w:t>
      </w:r>
    </w:p>
    <w:p w14:paraId="5ADDC081" w14:textId="4446E495" w:rsidR="00B05276" w:rsidRPr="00404A58" w:rsidRDefault="00B05276" w:rsidP="00705C40">
      <w:r w:rsidRPr="00404A58">
        <w:t xml:space="preserve">The ACM noted that Study BGB-3111-AU-003 is an Australian based study and has an older cohort compared to </w:t>
      </w:r>
      <w:r w:rsidR="00330D9B" w:rsidRPr="00404A58">
        <w:t xml:space="preserve">Study </w:t>
      </w:r>
      <w:r w:rsidRPr="00404A58">
        <w:t>BGB-3111-206. In addition, the ACM noted that second malignancies, such as skin cancers (mainly basal cell carcinoma) were observed in Study</w:t>
      </w:r>
      <w:r w:rsidR="00330D9B" w:rsidRPr="00404A58">
        <w:t> </w:t>
      </w:r>
      <w:r w:rsidRPr="00404A58">
        <w:t xml:space="preserve">BGB-3111-AU-003 and were of the view that this could possibly be attributed to the </w:t>
      </w:r>
      <w:r w:rsidRPr="00404A58">
        <w:lastRenderedPageBreak/>
        <w:t>age and race of this cohort. They agreed that these differences are likely due to the Australian Study BGB-3111-AU-003 population.</w:t>
      </w:r>
    </w:p>
    <w:p w14:paraId="082EF1A1" w14:textId="77777777" w:rsidR="00B05276" w:rsidRPr="00404A58" w:rsidRDefault="00B05276" w:rsidP="00705C40">
      <w:r w:rsidRPr="00404A58">
        <w:t>Amongst the safety concerns, major bleeding event rates were similar between both studies. Cytopaenias were manageable and may be attributable to age and higher treatment intensity in Study BGB-3111-AU-003.</w:t>
      </w:r>
    </w:p>
    <w:p w14:paraId="0BF85C06" w14:textId="3B854D2B" w:rsidR="00B05276" w:rsidRPr="00404A58" w:rsidRDefault="00B05276" w:rsidP="00705C40">
      <w:r w:rsidRPr="00404A58">
        <w:t>The ACM noted there were 2 patients with atrial fibrillation in Study</w:t>
      </w:r>
      <w:r w:rsidR="00330D9B" w:rsidRPr="00404A58">
        <w:t> </w:t>
      </w:r>
      <w:r w:rsidRPr="00404A58">
        <w:t>BGB-3111-AU-003 and none in Study BGB-3111-206. The ACM was of the view that these differences are likely due to variation in age between the two study populations and not deemed as significant safety concern.</w:t>
      </w:r>
    </w:p>
    <w:p w14:paraId="51EEFDF0" w14:textId="3AF64268" w:rsidR="00B05276" w:rsidRPr="00404A58" w:rsidRDefault="00B05276" w:rsidP="00705C40">
      <w:r w:rsidRPr="00404A58">
        <w:t xml:space="preserve">The ACM noted that the </w:t>
      </w:r>
      <w:r w:rsidR="00602EC2" w:rsidRPr="00404A58">
        <w:t>CR</w:t>
      </w:r>
      <w:r w:rsidRPr="00404A58">
        <w:t xml:space="preserve"> rate in Study BGB-3111-AU-003 may be underestimated due to lack of PET scan, but the overall response rate results are concordant between Studies BGB-3111-206 and BGB-3111-AU-003. The ACM agrees that the studies’ results are supportive of each other.</w:t>
      </w:r>
    </w:p>
    <w:p w14:paraId="5890BD06" w14:textId="77777777" w:rsidR="00B05276" w:rsidRPr="00404A58" w:rsidRDefault="00B05276" w:rsidP="00705C40">
      <w:r w:rsidRPr="00404A58">
        <w:t>The ACM is of the view that the differences in safety profiles of Studies BGB-3111-206 and BGB-3111-AU-003 were mainly attributed to the differences in age, stages of disease and prior treatments.</w:t>
      </w:r>
    </w:p>
    <w:p w14:paraId="44704DCE" w14:textId="77777777" w:rsidR="0074163C" w:rsidRPr="00404A58" w:rsidRDefault="0074163C" w:rsidP="0074163C">
      <w:pPr>
        <w:pStyle w:val="Heading5"/>
      </w:pPr>
      <w:r w:rsidRPr="00404A58">
        <w:t>Conclusion</w:t>
      </w:r>
    </w:p>
    <w:p w14:paraId="6C55BAA9" w14:textId="77777777" w:rsidR="00B05276" w:rsidRPr="00404A58" w:rsidRDefault="00B05276" w:rsidP="00705C40">
      <w:r w:rsidRPr="00404A58">
        <w:t>The ACM considered this product to have an overall positive benefit-risk profile for the indication:</w:t>
      </w:r>
    </w:p>
    <w:p w14:paraId="2FE6E287" w14:textId="77777777" w:rsidR="00B05276" w:rsidRPr="00404A58" w:rsidRDefault="00B05276" w:rsidP="00705C40">
      <w:pPr>
        <w:ind w:left="720"/>
        <w:rPr>
          <w:i/>
          <w:iCs/>
        </w:rPr>
      </w:pPr>
      <w:r w:rsidRPr="00404A58">
        <w:rPr>
          <w:i/>
          <w:iCs/>
        </w:rPr>
        <w:t>Brukinsa is indicated for the treatment of adult patients with mantle cell lymphoma (MCL) who have received at least one prior therapy.</w:t>
      </w:r>
    </w:p>
    <w:p w14:paraId="0EA3CD42" w14:textId="56B037AD" w:rsidR="00B05276" w:rsidRPr="00404A58" w:rsidRDefault="00B05276" w:rsidP="00705C40">
      <w:pPr>
        <w:ind w:left="720"/>
        <w:rPr>
          <w:i/>
          <w:iCs/>
        </w:rPr>
      </w:pPr>
      <w:r w:rsidRPr="00404A58">
        <w:rPr>
          <w:i/>
          <w:iCs/>
        </w:rPr>
        <w:t>This indication was approved via the provisional approval pathway, based on the objective response rate. Continued approval for this indication depends on verification and description of clinical benefit in confirmatory trials.</w:t>
      </w:r>
    </w:p>
    <w:p w14:paraId="4CD2703D" w14:textId="77777777" w:rsidR="008E7846" w:rsidRPr="00404A58" w:rsidRDefault="008E7846" w:rsidP="00D212F3">
      <w:pPr>
        <w:pStyle w:val="Heading2"/>
      </w:pPr>
      <w:bookmarkStart w:id="116" w:name="_Toc110965765"/>
      <w:r w:rsidRPr="00404A58">
        <w:t>Outcome</w:t>
      </w:r>
      <w:bookmarkEnd w:id="114"/>
      <w:bookmarkEnd w:id="115"/>
      <w:bookmarkEnd w:id="116"/>
    </w:p>
    <w:p w14:paraId="4028A2AF" w14:textId="5BBF493F" w:rsidR="0074163C" w:rsidRPr="00404A58" w:rsidRDefault="0074163C" w:rsidP="0074163C">
      <w:bookmarkStart w:id="117" w:name="_Toc247691533"/>
      <w:bookmarkStart w:id="118" w:name="_Toc314842517"/>
      <w:r w:rsidRPr="00404A58">
        <w:t xml:space="preserve">Based on a review of quality, </w:t>
      </w:r>
      <w:r w:rsidR="00CC5044" w:rsidRPr="00404A58">
        <w:t>safety,</w:t>
      </w:r>
      <w:r w:rsidRPr="00404A58">
        <w:t xml:space="preserve"> and efficacy, the TGA approved the registration of </w:t>
      </w:r>
      <w:r w:rsidR="00E246E4" w:rsidRPr="00404A58">
        <w:t xml:space="preserve">Brukinsa </w:t>
      </w:r>
      <w:r w:rsidRPr="00404A58">
        <w:t>(</w:t>
      </w:r>
      <w:r w:rsidR="00E246E4" w:rsidRPr="00404A58">
        <w:t>zanubrutinib</w:t>
      </w:r>
      <w:r w:rsidRPr="00404A58">
        <w:t xml:space="preserve">) </w:t>
      </w:r>
      <w:r w:rsidR="00E246E4" w:rsidRPr="00404A58">
        <w:t>80 mg</w:t>
      </w:r>
      <w:r w:rsidRPr="00404A58">
        <w:t xml:space="preserve">, </w:t>
      </w:r>
      <w:r w:rsidR="00E246E4" w:rsidRPr="00404A58">
        <w:t>capsule</w:t>
      </w:r>
      <w:r w:rsidRPr="00404A58">
        <w:t xml:space="preserve">, </w:t>
      </w:r>
      <w:r w:rsidR="00E246E4" w:rsidRPr="00404A58">
        <w:t>bottle</w:t>
      </w:r>
      <w:r w:rsidRPr="00404A58">
        <w:t>, indicated fo</w:t>
      </w:r>
      <w:r w:rsidR="00E246E4" w:rsidRPr="00404A58">
        <w:t>r</w:t>
      </w:r>
      <w:r w:rsidRPr="00404A58">
        <w:t>:</w:t>
      </w:r>
    </w:p>
    <w:p w14:paraId="6FE44B0B" w14:textId="77777777" w:rsidR="00E246E4" w:rsidRPr="00404A58" w:rsidRDefault="00E246E4" w:rsidP="00E246E4">
      <w:pPr>
        <w:ind w:left="720"/>
        <w:rPr>
          <w:b/>
          <w:bCs/>
          <w:i/>
          <w:iCs/>
        </w:rPr>
      </w:pPr>
      <w:r w:rsidRPr="00404A58">
        <w:rPr>
          <w:b/>
          <w:bCs/>
          <w:i/>
          <w:iCs/>
        </w:rPr>
        <w:t>Mantle cell lymphoma (MCL)</w:t>
      </w:r>
    </w:p>
    <w:p w14:paraId="241FDCA9" w14:textId="77777777" w:rsidR="00E246E4" w:rsidRPr="00404A58" w:rsidRDefault="00E246E4" w:rsidP="00E246E4">
      <w:pPr>
        <w:ind w:left="720"/>
        <w:rPr>
          <w:i/>
          <w:iCs/>
        </w:rPr>
      </w:pPr>
      <w:r w:rsidRPr="00404A58">
        <w:rPr>
          <w:i/>
          <w:iCs/>
        </w:rPr>
        <w:t>Brukinsa is indicated for the treatment of adult patients with mantle cell lymphoma (MCL) who have received at least one prior therapy.</w:t>
      </w:r>
    </w:p>
    <w:p w14:paraId="71F5FB33" w14:textId="0B225A7A" w:rsidR="0074163C" w:rsidRPr="00404A58" w:rsidRDefault="00E246E4" w:rsidP="00E246E4">
      <w:pPr>
        <w:ind w:left="720"/>
        <w:rPr>
          <w:rFonts w:ascii="Cambria-Italic" w:hAnsi="Cambria-Italic" w:cs="Cambria-Italic"/>
          <w:lang w:eastAsia="en-AU"/>
        </w:rPr>
      </w:pPr>
      <w:r w:rsidRPr="00404A58">
        <w:rPr>
          <w:i/>
          <w:iCs/>
        </w:rPr>
        <w:t>This indication was approved via the provisional approval pathway, based on objective response rate. Continued approval for this indication depends on verification and description of clinical benefit in the confirmatory trials.</w:t>
      </w:r>
    </w:p>
    <w:p w14:paraId="36B313B9" w14:textId="79FE1508" w:rsidR="0074163C" w:rsidRPr="00404A58" w:rsidRDefault="0074163C" w:rsidP="0074163C">
      <w:r w:rsidRPr="00404A58">
        <w:t xml:space="preserve">As such, the full indications </w:t>
      </w:r>
      <w:proofErr w:type="gramStart"/>
      <w:r w:rsidRPr="00404A58">
        <w:t>at this time</w:t>
      </w:r>
      <w:proofErr w:type="gramEnd"/>
      <w:r w:rsidRPr="00404A58">
        <w:t xml:space="preserve"> were:</w:t>
      </w:r>
    </w:p>
    <w:p w14:paraId="01B66DB2" w14:textId="77777777" w:rsidR="00E246E4" w:rsidRPr="00404A58" w:rsidRDefault="00E246E4" w:rsidP="00E246E4">
      <w:pPr>
        <w:ind w:left="720"/>
        <w:rPr>
          <w:b/>
          <w:bCs/>
          <w:i/>
          <w:iCs/>
        </w:rPr>
      </w:pPr>
      <w:r w:rsidRPr="00404A58">
        <w:rPr>
          <w:b/>
          <w:bCs/>
          <w:i/>
          <w:iCs/>
        </w:rPr>
        <w:t>Waldenström’s macroglobulinemia (WM)</w:t>
      </w:r>
    </w:p>
    <w:p w14:paraId="4E9B08B9" w14:textId="77777777" w:rsidR="00E246E4" w:rsidRPr="00404A58" w:rsidRDefault="00E246E4" w:rsidP="00E246E4">
      <w:pPr>
        <w:ind w:left="720"/>
        <w:rPr>
          <w:i/>
          <w:iCs/>
        </w:rPr>
      </w:pPr>
      <w:r w:rsidRPr="00404A58">
        <w:rPr>
          <w:i/>
          <w:iCs/>
        </w:rPr>
        <w:t>Brukinsa is indicated for the treatment of adult patients with Waldenström’s macroglobulinaemia (WM) who have received at least one prior therapy, or in first line treatment for patients unsuitable for chemo-immunotherapy.</w:t>
      </w:r>
    </w:p>
    <w:p w14:paraId="156EB50A" w14:textId="77777777" w:rsidR="00E246E4" w:rsidRPr="00404A58" w:rsidRDefault="00E246E4" w:rsidP="00E246E4">
      <w:pPr>
        <w:ind w:left="720"/>
        <w:rPr>
          <w:b/>
          <w:bCs/>
          <w:i/>
          <w:iCs/>
        </w:rPr>
      </w:pPr>
      <w:r w:rsidRPr="00404A58">
        <w:rPr>
          <w:b/>
          <w:bCs/>
          <w:i/>
          <w:iCs/>
        </w:rPr>
        <w:t>Mantle cell lymphoma (MCL)</w:t>
      </w:r>
    </w:p>
    <w:p w14:paraId="532406C4" w14:textId="77777777" w:rsidR="00E246E4" w:rsidRPr="00404A58" w:rsidRDefault="00E246E4" w:rsidP="00E246E4">
      <w:pPr>
        <w:ind w:left="720"/>
        <w:rPr>
          <w:i/>
          <w:iCs/>
        </w:rPr>
      </w:pPr>
      <w:r w:rsidRPr="00404A58">
        <w:rPr>
          <w:i/>
          <w:iCs/>
        </w:rPr>
        <w:t>Brukinsa is indicated for the treatment of adult patients with mantle cell lymphoma (MCL) who have received at least one prior therapy.</w:t>
      </w:r>
    </w:p>
    <w:p w14:paraId="2379DF0D" w14:textId="2BF7DBC7" w:rsidR="00E246E4" w:rsidRPr="00404A58" w:rsidRDefault="00E246E4" w:rsidP="00E246E4">
      <w:pPr>
        <w:ind w:left="720"/>
        <w:rPr>
          <w:rFonts w:ascii="Cambria-Italic" w:hAnsi="Cambria-Italic" w:cs="Cambria-Italic"/>
          <w:lang w:eastAsia="en-AU"/>
        </w:rPr>
      </w:pPr>
      <w:r w:rsidRPr="00404A58">
        <w:rPr>
          <w:i/>
          <w:iCs/>
        </w:rPr>
        <w:t>This indication was approved via the provisional approval pathway, based on objective response rate. Continued approval for this indication depends on verification and description of clinical benefit in the confirmatory trials.</w:t>
      </w:r>
    </w:p>
    <w:p w14:paraId="71FB22C1" w14:textId="77777777" w:rsidR="00D23139" w:rsidRPr="00404A58" w:rsidRDefault="00D23139" w:rsidP="00D212F3">
      <w:pPr>
        <w:pStyle w:val="Heading3"/>
      </w:pPr>
      <w:bookmarkStart w:id="119" w:name="_Toc110965766"/>
      <w:r w:rsidRPr="00404A58">
        <w:lastRenderedPageBreak/>
        <w:t>Specific conditions of registration applying to these goods</w:t>
      </w:r>
      <w:bookmarkEnd w:id="119"/>
    </w:p>
    <w:p w14:paraId="6380F063" w14:textId="2ED29CA2" w:rsidR="00705C40" w:rsidRPr="00404A58" w:rsidRDefault="00330D9B" w:rsidP="00705C40">
      <w:pPr>
        <w:pStyle w:val="ListBullet"/>
      </w:pPr>
      <w:r w:rsidRPr="00404A58">
        <w:t xml:space="preserve">Brukinsa </w:t>
      </w:r>
      <w:r w:rsidR="00705C40" w:rsidRPr="00404A58">
        <w:t xml:space="preserve">(zanubrutinib) is to be included in the Black Triangle Scheme. The PI and CMI for </w:t>
      </w:r>
      <w:r w:rsidRPr="00404A58">
        <w:t xml:space="preserve">Brukinsa </w:t>
      </w:r>
      <w:r w:rsidR="00705C40" w:rsidRPr="00404A58">
        <w:t>must include the black triangle symbol and mandatory accompanying text for the products entire period of provisional registration.</w:t>
      </w:r>
    </w:p>
    <w:p w14:paraId="0139043F" w14:textId="0650650F" w:rsidR="00705C40" w:rsidRPr="00404A58" w:rsidRDefault="00705C40" w:rsidP="00705C40">
      <w:pPr>
        <w:pStyle w:val="ListBullet"/>
      </w:pPr>
      <w:r w:rsidRPr="00404A58">
        <w:t>Confirmatory trial data (as identified in the sponsor’s plan to submit comprehensive clinical data on the safety and efficacy of the medicine before the end of the 6 years that would start on the day that registration would commence) must be provided.</w:t>
      </w:r>
    </w:p>
    <w:p w14:paraId="1F7AF063" w14:textId="0E3E0BE5" w:rsidR="00705C40" w:rsidRPr="00404A58" w:rsidRDefault="00705C40" w:rsidP="00705C40">
      <w:pPr>
        <w:pStyle w:val="ListBullet"/>
        <w:numPr>
          <w:ilvl w:val="0"/>
          <w:numId w:val="0"/>
        </w:numPr>
        <w:ind w:left="360"/>
      </w:pPr>
      <w:r w:rsidRPr="00404A58">
        <w:t>Specifically</w:t>
      </w:r>
      <w:r w:rsidR="00330D9B" w:rsidRPr="00404A58">
        <w:t>,</w:t>
      </w:r>
      <w:r w:rsidRPr="00404A58">
        <w:t xml:space="preserve"> the sponsor must conduct studies as described in the clinical study plan in version 1.0 (1 June 2020) of the Australian</w:t>
      </w:r>
      <w:r w:rsidR="00330D9B" w:rsidRPr="00404A58">
        <w:t xml:space="preserve"> specific annex</w:t>
      </w:r>
      <w:r w:rsidRPr="00404A58">
        <w:t>. The following study report(s) should be submitted to TGA:</w:t>
      </w:r>
    </w:p>
    <w:p w14:paraId="18CB6BF4" w14:textId="4812619D" w:rsidR="00705C40" w:rsidRPr="00404A58" w:rsidRDefault="00705C40" w:rsidP="00705C40">
      <w:pPr>
        <w:pStyle w:val="ListBullet2"/>
      </w:pPr>
      <w:r w:rsidRPr="00404A58">
        <w:t>Study BGB-3111-306 by Oct</w:t>
      </w:r>
      <w:r w:rsidR="00330D9B" w:rsidRPr="00404A58">
        <w:t>ober</w:t>
      </w:r>
      <w:r w:rsidRPr="00404A58">
        <w:t xml:space="preserve"> 2023 (</w:t>
      </w:r>
      <w:r w:rsidR="00330D9B" w:rsidRPr="00404A58">
        <w:t>first</w:t>
      </w:r>
      <w:r w:rsidRPr="00404A58">
        <w:t xml:space="preserve"> </w:t>
      </w:r>
      <w:r w:rsidR="00330D9B" w:rsidRPr="00404A58">
        <w:t>interim analysis</w:t>
      </w:r>
      <w:r w:rsidRPr="00404A58">
        <w:t>), June 2025 (</w:t>
      </w:r>
      <w:r w:rsidR="00330D9B" w:rsidRPr="00404A58">
        <w:t>second</w:t>
      </w:r>
      <w:r w:rsidRPr="00404A58">
        <w:t xml:space="preserve"> </w:t>
      </w:r>
      <w:r w:rsidR="00330D9B" w:rsidRPr="00404A58">
        <w:t>interim analysis</w:t>
      </w:r>
      <w:r w:rsidRPr="00404A58">
        <w:t>), Sep</w:t>
      </w:r>
      <w:r w:rsidR="00330D9B" w:rsidRPr="00404A58">
        <w:t>tember</w:t>
      </w:r>
      <w:r w:rsidRPr="00404A58">
        <w:t xml:space="preserve"> 2027 (</w:t>
      </w:r>
      <w:r w:rsidR="00330D9B" w:rsidRPr="00404A58">
        <w:t>final analysis</w:t>
      </w:r>
      <w:r w:rsidRPr="00404A58">
        <w:t>)</w:t>
      </w:r>
    </w:p>
    <w:p w14:paraId="74450DC5" w14:textId="4EF92E48" w:rsidR="00705C40" w:rsidRPr="00404A58" w:rsidRDefault="00705C40" w:rsidP="00705C40">
      <w:pPr>
        <w:pStyle w:val="ListBullet"/>
        <w:numPr>
          <w:ilvl w:val="0"/>
          <w:numId w:val="0"/>
        </w:numPr>
        <w:ind w:left="360"/>
      </w:pPr>
      <w:r w:rsidRPr="00404A58">
        <w:t>Further guidance for sponsors is available on the TGA website.</w:t>
      </w:r>
    </w:p>
    <w:p w14:paraId="1F179258" w14:textId="1B20D1B9" w:rsidR="00705C40" w:rsidRPr="00404A58" w:rsidRDefault="00705C40" w:rsidP="00705C40">
      <w:pPr>
        <w:pStyle w:val="ListBullet"/>
      </w:pPr>
      <w:r w:rsidRPr="00404A58">
        <w:t xml:space="preserve">The </w:t>
      </w:r>
      <w:r w:rsidR="00330D9B" w:rsidRPr="00404A58">
        <w:t xml:space="preserve">Brukinsa </w:t>
      </w:r>
      <w:r w:rsidRPr="00404A58">
        <w:t>EU-</w:t>
      </w:r>
      <w:r w:rsidR="00330D9B" w:rsidRPr="00404A58">
        <w:t xml:space="preserve">risk management plan </w:t>
      </w:r>
      <w:r w:rsidRPr="00404A58">
        <w:t>(RMP) (version 0.1, dated 11 May 2020, data lock point 31 Dec</w:t>
      </w:r>
      <w:r w:rsidR="00330D9B" w:rsidRPr="00404A58">
        <w:t>ember</w:t>
      </w:r>
      <w:r w:rsidRPr="00404A58">
        <w:t xml:space="preserve"> 2019), with Australian </w:t>
      </w:r>
      <w:r w:rsidR="00330D9B" w:rsidRPr="00404A58">
        <w:t xml:space="preserve">specific annex </w:t>
      </w:r>
      <w:r w:rsidRPr="00404A58">
        <w:t>(version 0.1, dated 1</w:t>
      </w:r>
      <w:r w:rsidR="00330D9B" w:rsidRPr="00404A58">
        <w:t> </w:t>
      </w:r>
      <w:r w:rsidRPr="00404A58">
        <w:t xml:space="preserve">June 2020), included with </w:t>
      </w:r>
      <w:r w:rsidR="00330D9B" w:rsidRPr="00404A58">
        <w:t xml:space="preserve">Submission </w:t>
      </w:r>
      <w:r w:rsidRPr="00404A58">
        <w:t>PM-2020-02814-1-6, to be revised to the satisfaction of the TGA, will be implemented in Australia.</w:t>
      </w:r>
    </w:p>
    <w:p w14:paraId="214F525E" w14:textId="6322DD1D" w:rsidR="00705C40" w:rsidRPr="00404A58" w:rsidRDefault="00705C40" w:rsidP="00705C40">
      <w:pPr>
        <w:pStyle w:val="ListBullet"/>
        <w:numPr>
          <w:ilvl w:val="0"/>
          <w:numId w:val="0"/>
        </w:numPr>
        <w:ind w:left="360"/>
      </w:pPr>
      <w:r w:rsidRPr="00404A58">
        <w:t>An obligatory component of risk management plans is routine pharmacovigilance. Routine pharmacovigilance includes the submission of periodic safety update reports (PSURs).</w:t>
      </w:r>
    </w:p>
    <w:p w14:paraId="1D3776E8" w14:textId="7D0C1EAB" w:rsidR="00705C40" w:rsidRPr="00404A58" w:rsidRDefault="00705C40" w:rsidP="00705C40">
      <w:pPr>
        <w:pStyle w:val="ListBullet"/>
        <w:numPr>
          <w:ilvl w:val="0"/>
          <w:numId w:val="0"/>
        </w:numPr>
        <w:ind w:left="360"/>
      </w:pPr>
      <w:r w:rsidRPr="00404A58">
        <w:t xml:space="preserve">Unless agreed separately between the supplier who is the recipient of the approval and the TGA, the first report must be submitted to TGA no later than 15 calendar months after the date of </w:t>
      </w:r>
      <w:r w:rsidR="00330D9B" w:rsidRPr="00404A58">
        <w:t>the</w:t>
      </w:r>
      <w:r w:rsidRPr="00404A58">
        <w:t xml:space="preserve"> approval letter. The subsequent reports must be submitted no less frequently than annually from the date of the first submitted report until the period covered by such reports is not less than three years from the date of </w:t>
      </w:r>
      <w:r w:rsidR="00330D9B" w:rsidRPr="00404A58">
        <w:t>the</w:t>
      </w:r>
      <w:r w:rsidRPr="00404A58">
        <w:t xml:space="preserve"> approval letter. The annual submission may be made up of two PSURs each covering six months. If the sponsor wishes, the </w:t>
      </w:r>
      <w:proofErr w:type="gramStart"/>
      <w:r w:rsidRPr="00404A58">
        <w:t>six monthly</w:t>
      </w:r>
      <w:proofErr w:type="gramEnd"/>
      <w:r w:rsidRPr="00404A58">
        <w:t xml:space="preserve"> reports may be submitted separately as they become available.</w:t>
      </w:r>
    </w:p>
    <w:p w14:paraId="52EAFAA3" w14:textId="42156B18" w:rsidR="00705C40" w:rsidRPr="00404A58" w:rsidRDefault="00705C40" w:rsidP="00705C40">
      <w:pPr>
        <w:pStyle w:val="ListBullet"/>
        <w:numPr>
          <w:ilvl w:val="0"/>
          <w:numId w:val="0"/>
        </w:numPr>
        <w:ind w:left="360"/>
      </w:pPr>
      <w:r w:rsidRPr="00404A58">
        <w:t xml:space="preserve">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w:t>
      </w:r>
      <w:r w:rsidR="00330D9B" w:rsidRPr="00404A58">
        <w:t>the</w:t>
      </w:r>
      <w:r w:rsidRPr="00404A58">
        <w:t xml:space="preserve"> approval letter.</w:t>
      </w:r>
    </w:p>
    <w:p w14:paraId="3E875BA1" w14:textId="664B29FA" w:rsidR="00705C40" w:rsidRPr="00404A58" w:rsidRDefault="00705C40" w:rsidP="00705C40">
      <w:pPr>
        <w:pStyle w:val="ListBullet"/>
        <w:numPr>
          <w:ilvl w:val="0"/>
          <w:numId w:val="0"/>
        </w:numPr>
        <w:ind w:left="360"/>
      </w:pPr>
      <w:r w:rsidRPr="00404A58">
        <w:t xml:space="preserve">The reports are to at least meet the requirements for PSURs as described in the European Medicines Agency’s Guideline on </w:t>
      </w:r>
      <w:r w:rsidR="00330D9B" w:rsidRPr="00404A58">
        <w:t xml:space="preserve">Good Pharmacovigilance Practices </w:t>
      </w:r>
      <w:r w:rsidRPr="00404A58">
        <w:t>(GVP)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A7D3C7B" w14:textId="77F77505" w:rsidR="00705C40" w:rsidRPr="00404A58" w:rsidRDefault="00026B45" w:rsidP="00705C40">
      <w:pPr>
        <w:pStyle w:val="ListBullet"/>
      </w:pPr>
      <w:r w:rsidRPr="00404A58">
        <w:t>[The sponsor to] p</w:t>
      </w:r>
      <w:r w:rsidR="00705C40" w:rsidRPr="00404A58">
        <w:t>rovide the final clinical study report for Study BGB-3111-206 for evaluation.</w:t>
      </w:r>
    </w:p>
    <w:p w14:paraId="0BDE75A4" w14:textId="77777777" w:rsidR="008E7846" w:rsidRPr="00404A58" w:rsidRDefault="00A80B5B" w:rsidP="00D23139">
      <w:pPr>
        <w:pStyle w:val="Heading2"/>
      </w:pPr>
      <w:bookmarkStart w:id="120" w:name="_Toc110965767"/>
      <w:r w:rsidRPr="00404A58">
        <w:t xml:space="preserve">Attachment 1. </w:t>
      </w:r>
      <w:r w:rsidR="008E7846" w:rsidRPr="00404A58">
        <w:t xml:space="preserve">Product </w:t>
      </w:r>
      <w:r w:rsidR="00AA0ED0" w:rsidRPr="00404A58">
        <w:t>I</w:t>
      </w:r>
      <w:r w:rsidR="008E7846" w:rsidRPr="00404A58">
        <w:t>nformation</w:t>
      </w:r>
      <w:bookmarkEnd w:id="117"/>
      <w:bookmarkEnd w:id="118"/>
      <w:bookmarkEnd w:id="120"/>
    </w:p>
    <w:p w14:paraId="7053CB7F" w14:textId="14EEA3F1" w:rsidR="00523A21" w:rsidRPr="00404A58" w:rsidRDefault="006136D7" w:rsidP="00C80137">
      <w:r w:rsidRPr="00404A58">
        <w:t xml:space="preserve">The PI for </w:t>
      </w:r>
      <w:r w:rsidR="00FD21A9" w:rsidRPr="00404A58">
        <w:t xml:space="preserve">Brukinsa </w:t>
      </w:r>
      <w:r w:rsidRPr="00404A58">
        <w:t>approved with the submission which is described in this AusPAR is at Attachment 1.</w:t>
      </w:r>
      <w:r w:rsidR="00CC5044" w:rsidRPr="00404A58">
        <w:t xml:space="preserve"> </w:t>
      </w:r>
      <w:r w:rsidR="0074163C" w:rsidRPr="00404A58">
        <w:t xml:space="preserve">For the most recent PI, please refer to the TGA </w:t>
      </w:r>
      <w:hyperlink r:id="rId22" w:history="1">
        <w:r w:rsidR="0074163C" w:rsidRPr="00404A58">
          <w:rPr>
            <w:rStyle w:val="Hyperlink"/>
          </w:rPr>
          <w:t>PI/CMI search facility</w:t>
        </w:r>
        <w:r w:rsidR="0074163C" w:rsidRPr="00404A58">
          <w:rPr>
            <w:rStyle w:val="Hyperlink"/>
            <w:color w:val="auto"/>
            <w:u w:val="none"/>
          </w:rPr>
          <w:t>.</w:t>
        </w:r>
      </w:hyperlink>
    </w:p>
    <w:p w14:paraId="2E539F4E" w14:textId="15917E86" w:rsidR="00744121" w:rsidRPr="00404A58" w:rsidRDefault="008E7846" w:rsidP="00744121">
      <w:r w:rsidRPr="00404A58">
        <w:br w:type="page"/>
      </w:r>
    </w:p>
    <w:p w14:paraId="59133E0A" w14:textId="77777777" w:rsidR="00C80137" w:rsidRPr="00404A58" w:rsidRDefault="00C80137" w:rsidP="003A7F6C">
      <w:pPr>
        <w:pStyle w:val="TableTitle"/>
        <w:sectPr w:rsidR="00C80137" w:rsidRPr="00404A58"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04A58" w14:paraId="77F9D04A" w14:textId="77777777" w:rsidTr="00A05FA4">
        <w:trPr>
          <w:trHeight w:hRule="exact" w:val="704"/>
        </w:trPr>
        <w:tc>
          <w:tcPr>
            <w:tcW w:w="9175" w:type="dxa"/>
          </w:tcPr>
          <w:p w14:paraId="523FE324" w14:textId="77777777" w:rsidR="001C32CD" w:rsidRPr="00404A58" w:rsidRDefault="001C32CD" w:rsidP="00A05FA4">
            <w:pPr>
              <w:pStyle w:val="TGASignoff"/>
            </w:pPr>
            <w:r w:rsidRPr="00404A58">
              <w:lastRenderedPageBreak/>
              <w:t>Therapeutic Goods Administration</w:t>
            </w:r>
          </w:p>
        </w:tc>
      </w:tr>
      <w:tr w:rsidR="001C32CD" w:rsidRPr="004C239D" w14:paraId="3FF85639" w14:textId="77777777" w:rsidTr="00A05FA4">
        <w:trPr>
          <w:trHeight w:val="1221"/>
        </w:trPr>
        <w:tc>
          <w:tcPr>
            <w:tcW w:w="9175" w:type="dxa"/>
            <w:tcMar>
              <w:top w:w="28" w:type="dxa"/>
            </w:tcMar>
          </w:tcPr>
          <w:p w14:paraId="45B89C85" w14:textId="77777777" w:rsidR="001C32CD" w:rsidRPr="00404A58" w:rsidRDefault="001C32CD" w:rsidP="00A05FA4">
            <w:pPr>
              <w:pStyle w:val="Address"/>
            </w:pPr>
            <w:r w:rsidRPr="00404A58">
              <w:t>PO Box 100 Woden ACT 2606 Australia</w:t>
            </w:r>
          </w:p>
          <w:p w14:paraId="56597B0C" w14:textId="221401F6" w:rsidR="001C32CD" w:rsidRPr="00404A58" w:rsidRDefault="001C32CD" w:rsidP="00A05FA4">
            <w:pPr>
              <w:pStyle w:val="Address"/>
            </w:pPr>
            <w:r w:rsidRPr="00404A58">
              <w:t xml:space="preserve">Email: </w:t>
            </w:r>
            <w:hyperlink r:id="rId27" w:history="1">
              <w:r w:rsidRPr="00404A58">
                <w:rPr>
                  <w:rStyle w:val="Hyperlink"/>
                </w:rPr>
                <w:t>info@tga.gov.au</w:t>
              </w:r>
            </w:hyperlink>
            <w:r w:rsidRPr="00404A58">
              <w:t xml:space="preserve">  Phone: 1800 020 </w:t>
            </w:r>
            <w:proofErr w:type="gramStart"/>
            <w:r w:rsidRPr="00404A58">
              <w:t>653  Fax</w:t>
            </w:r>
            <w:proofErr w:type="gramEnd"/>
            <w:r w:rsidRPr="00404A58">
              <w:t>: 02 6232 8605</w:t>
            </w:r>
          </w:p>
          <w:p w14:paraId="41D2684E" w14:textId="749BF0B0" w:rsidR="001C32CD" w:rsidRPr="004C239D" w:rsidRDefault="004247C9" w:rsidP="00A05FA4">
            <w:pPr>
              <w:pStyle w:val="Address"/>
              <w:spacing w:line="260" w:lineRule="atLeast"/>
              <w:rPr>
                <w:b/>
                <w:color w:val="0000FF"/>
                <w:u w:val="single"/>
              </w:rPr>
            </w:pPr>
            <w:hyperlink r:id="rId28" w:history="1">
              <w:r w:rsidR="007C6B9B" w:rsidRPr="00404A58">
                <w:rPr>
                  <w:rStyle w:val="Hyperlink"/>
                  <w:b/>
                </w:rPr>
                <w:t>https://www.tga.gov.au</w:t>
              </w:r>
            </w:hyperlink>
          </w:p>
        </w:tc>
      </w:tr>
    </w:tbl>
    <w:p w14:paraId="35109309" w14:textId="77777777"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26FB" w14:textId="77777777" w:rsidR="0020193E" w:rsidRDefault="0020193E" w:rsidP="00C40A36">
      <w:pPr>
        <w:spacing w:after="0"/>
      </w:pPr>
      <w:r>
        <w:separator/>
      </w:r>
    </w:p>
  </w:endnote>
  <w:endnote w:type="continuationSeparator" w:id="0">
    <w:p w14:paraId="56CCC3AD" w14:textId="77777777" w:rsidR="0020193E" w:rsidRDefault="0020193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Italic">
    <w:altName w:val="Cambria"/>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0193E" w:rsidRPr="00487162" w14:paraId="470C9058" w14:textId="77777777" w:rsidTr="00DB750B">
      <w:trPr>
        <w:trHeight w:val="269"/>
      </w:trPr>
      <w:tc>
        <w:tcPr>
          <w:tcW w:w="7371" w:type="dxa"/>
          <w:tcMar>
            <w:top w:w="142" w:type="dxa"/>
            <w:bottom w:w="0" w:type="dxa"/>
          </w:tcMar>
        </w:tcPr>
        <w:p w14:paraId="056AA2A1" w14:textId="3A6DBF4B" w:rsidR="0020193E" w:rsidRPr="00487162" w:rsidRDefault="0020193E" w:rsidP="00460036">
          <w:pPr>
            <w:pStyle w:val="Footer"/>
          </w:pPr>
          <w:proofErr w:type="spellStart"/>
          <w:r w:rsidRPr="00487162">
            <w:t>AusPA</w:t>
          </w:r>
          <w:r>
            <w:t>R</w:t>
          </w:r>
          <w:proofErr w:type="spellEnd"/>
          <w:r>
            <w:t xml:space="preserve"> - </w:t>
          </w:r>
          <w:proofErr w:type="spellStart"/>
          <w:r w:rsidRPr="005918DD">
            <w:t>Brukinsa</w:t>
          </w:r>
          <w:proofErr w:type="spellEnd"/>
          <w:r w:rsidRPr="005918DD">
            <w:t xml:space="preserve"> </w:t>
          </w:r>
          <w:r>
            <w:t>-</w:t>
          </w:r>
          <w:r w:rsidRPr="005918DD">
            <w:t xml:space="preserve"> </w:t>
          </w:r>
          <w:proofErr w:type="spellStart"/>
          <w:r w:rsidRPr="005918DD">
            <w:t>zanubrutinib</w:t>
          </w:r>
          <w:proofErr w:type="spellEnd"/>
          <w:r w:rsidRPr="005918DD">
            <w:t xml:space="preserve"> </w:t>
          </w:r>
          <w:r>
            <w:t>-</w:t>
          </w:r>
          <w:r w:rsidRPr="005918DD">
            <w:t xml:space="preserve"> </w:t>
          </w:r>
          <w:proofErr w:type="spellStart"/>
          <w:r w:rsidRPr="005918DD">
            <w:t>BeiGene</w:t>
          </w:r>
          <w:proofErr w:type="spellEnd"/>
          <w:r w:rsidRPr="005918DD">
            <w:t xml:space="preserve"> AUS Pty Ltd </w:t>
          </w:r>
          <w:r>
            <w:t>-</w:t>
          </w:r>
          <w:r w:rsidRPr="005918DD">
            <w:t xml:space="preserve"> PM-2020-03076-1-6</w:t>
          </w:r>
          <w:r>
            <w:br/>
          </w:r>
          <w:r w:rsidR="00271F2E">
            <w:t>Final 9 August</w:t>
          </w:r>
          <w:r>
            <w:t xml:space="preserve"> 2022</w:t>
          </w:r>
        </w:p>
      </w:tc>
      <w:tc>
        <w:tcPr>
          <w:tcW w:w="1490" w:type="dxa"/>
          <w:tcMar>
            <w:top w:w="142" w:type="dxa"/>
            <w:bottom w:w="0" w:type="dxa"/>
          </w:tcMar>
        </w:tcPr>
        <w:p w14:paraId="66EDACD7" w14:textId="61D8164B" w:rsidR="0020193E" w:rsidRPr="00487162" w:rsidRDefault="0020193E" w:rsidP="00DB750B">
          <w:pPr>
            <w:pStyle w:val="Footer"/>
            <w:jc w:val="right"/>
          </w:pPr>
          <w:r w:rsidRPr="00487162">
            <w:t xml:space="preserve">Page </w:t>
          </w:r>
          <w:r>
            <w:fldChar w:fldCharType="begin"/>
          </w:r>
          <w:r>
            <w:instrText xml:space="preserve"> PAGE  \* Arabic </w:instrText>
          </w:r>
          <w:r>
            <w:fldChar w:fldCharType="separate"/>
          </w:r>
          <w:r>
            <w:rPr>
              <w:noProof/>
            </w:rPr>
            <w:t>17</w:t>
          </w:r>
          <w:r>
            <w:fldChar w:fldCharType="end"/>
          </w:r>
          <w:r w:rsidRPr="00487162">
            <w:t xml:space="preserve"> of </w:t>
          </w:r>
          <w:fldSimple w:instr=" NUMPAGES  \* Arabic ">
            <w:r>
              <w:rPr>
                <w:noProof/>
              </w:rPr>
              <w:t>33</w:t>
            </w:r>
          </w:fldSimple>
        </w:p>
      </w:tc>
    </w:tr>
  </w:tbl>
  <w:p w14:paraId="480A4A73" w14:textId="77777777" w:rsidR="0020193E" w:rsidRDefault="0020193E"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0193E" w:rsidRPr="00487162" w14:paraId="48CC2DF9" w14:textId="77777777" w:rsidTr="00E45619">
      <w:trPr>
        <w:trHeight w:val="269"/>
      </w:trPr>
      <w:tc>
        <w:tcPr>
          <w:tcW w:w="4519" w:type="dxa"/>
          <w:tcBorders>
            <w:top w:val="single" w:sz="4" w:space="0" w:color="auto"/>
          </w:tcBorders>
          <w:tcMar>
            <w:top w:w="142" w:type="dxa"/>
            <w:bottom w:w="0" w:type="dxa"/>
          </w:tcMar>
        </w:tcPr>
        <w:p w14:paraId="753EE836" w14:textId="77777777" w:rsidR="0020193E" w:rsidRPr="00487162" w:rsidRDefault="0020193E" w:rsidP="00FE1DEE">
          <w:pPr>
            <w:pStyle w:val="Footer"/>
          </w:pPr>
          <w:r w:rsidRPr="00487162">
            <w:t>Document title, Part #, Section # - Section title</w:t>
          </w:r>
        </w:p>
        <w:p w14:paraId="095F6046" w14:textId="77777777" w:rsidR="0020193E" w:rsidRPr="00487162" w:rsidRDefault="0020193E" w:rsidP="00FE1DEE">
          <w:pPr>
            <w:pStyle w:val="Footer"/>
          </w:pPr>
          <w:r w:rsidRPr="00487162">
            <w:t>V1.0 October 2010</w:t>
          </w:r>
        </w:p>
      </w:tc>
      <w:tc>
        <w:tcPr>
          <w:tcW w:w="4342" w:type="dxa"/>
          <w:tcBorders>
            <w:top w:val="single" w:sz="4" w:space="0" w:color="auto"/>
          </w:tcBorders>
          <w:tcMar>
            <w:top w:w="142" w:type="dxa"/>
            <w:bottom w:w="0" w:type="dxa"/>
          </w:tcMar>
        </w:tcPr>
        <w:p w14:paraId="2AFD0C43" w14:textId="77777777" w:rsidR="0020193E" w:rsidRPr="00487162" w:rsidRDefault="0020193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5C0C75CF" w14:textId="77777777" w:rsidR="0020193E" w:rsidRDefault="00201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E7EDE" w14:textId="77777777" w:rsidR="0020193E" w:rsidRPr="001C32CD" w:rsidRDefault="0020193E"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0193E" w14:paraId="6BA0DB8C" w14:textId="77777777" w:rsidTr="0010601F">
      <w:trPr>
        <w:trHeight w:val="108"/>
      </w:trPr>
      <w:tc>
        <w:tcPr>
          <w:tcW w:w="8875" w:type="dxa"/>
          <w:gridSpan w:val="2"/>
          <w:tcBorders>
            <w:bottom w:val="single" w:sz="4" w:space="0" w:color="auto"/>
          </w:tcBorders>
          <w:tcMar>
            <w:right w:w="284" w:type="dxa"/>
          </w:tcMar>
        </w:tcPr>
        <w:p w14:paraId="39E1843A" w14:textId="77777777" w:rsidR="0020193E" w:rsidRDefault="0020193E" w:rsidP="006E08B3">
          <w:pPr>
            <w:pStyle w:val="Heading3"/>
          </w:pPr>
          <w:r>
            <w:t>Copyright</w:t>
          </w:r>
        </w:p>
        <w:p w14:paraId="1B9A80B6" w14:textId="77777777" w:rsidR="0020193E" w:rsidRDefault="0020193E" w:rsidP="006E08B3">
          <w:r>
            <w:rPr>
              <w:rFonts w:cs="Arial"/>
            </w:rPr>
            <w:t>©</w:t>
          </w:r>
          <w:r>
            <w:t xml:space="preserve"> Commonwealth of Australia [add year]</w:t>
          </w:r>
        </w:p>
        <w:p w14:paraId="11487F37" w14:textId="77777777" w:rsidR="0020193E" w:rsidRDefault="0020193E" w:rsidP="006E08B3"/>
        <w:p w14:paraId="25452431" w14:textId="77777777" w:rsidR="0020193E" w:rsidRDefault="0020193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88A4304" w14:textId="77777777" w:rsidR="0020193E" w:rsidRDefault="0020193E" w:rsidP="006E08B3"/>
        <w:p w14:paraId="1B39DAC7" w14:textId="77777777" w:rsidR="0020193E" w:rsidRDefault="0020193E" w:rsidP="006E08B3">
          <w:pPr>
            <w:pStyle w:val="Heading3"/>
          </w:pPr>
          <w:r>
            <w:t>Confidentiality</w:t>
          </w:r>
        </w:p>
        <w:p w14:paraId="158AD478" w14:textId="77777777" w:rsidR="0020193E" w:rsidRDefault="0020193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A05C0B6" w14:textId="77777777" w:rsidR="0020193E" w:rsidRDefault="0020193E" w:rsidP="006E08B3"/>
        <w:p w14:paraId="19BEB3AD" w14:textId="77777777" w:rsidR="0020193E" w:rsidRDefault="0020193E" w:rsidP="006E08B3">
          <w:r>
            <w:t>For submission made by individuals, all personal details, other than your name, will be removed from your submission before it is published on the TGA’s Internet site.</w:t>
          </w:r>
        </w:p>
        <w:p w14:paraId="43FFB81B" w14:textId="77777777" w:rsidR="0020193E" w:rsidRDefault="0020193E" w:rsidP="006E08B3"/>
        <w:p w14:paraId="4446CFDB" w14:textId="77777777" w:rsidR="0020193E" w:rsidRDefault="0020193E" w:rsidP="006E08B3">
          <w:r>
            <w:t>In addition, a list of parties making submissions will be published. If you do not wish to be identified with your submission you must specifically request this in the space provided in the submission coversheet.</w:t>
          </w:r>
        </w:p>
      </w:tc>
    </w:tr>
    <w:tr w:rsidR="0020193E" w14:paraId="4C04F1F3" w14:textId="77777777" w:rsidTr="0010601F">
      <w:trPr>
        <w:trHeight w:val="417"/>
      </w:trPr>
      <w:tc>
        <w:tcPr>
          <w:tcW w:w="4519" w:type="dxa"/>
          <w:tcBorders>
            <w:top w:val="single" w:sz="4" w:space="0" w:color="auto"/>
          </w:tcBorders>
          <w:tcMar>
            <w:top w:w="142" w:type="dxa"/>
            <w:bottom w:w="0" w:type="dxa"/>
          </w:tcMar>
        </w:tcPr>
        <w:p w14:paraId="151385A5" w14:textId="77777777" w:rsidR="0020193E" w:rsidRDefault="0020193E" w:rsidP="006E08B3">
          <w:r>
            <w:t>Document title, Part #, Section # - Section title</w:t>
          </w:r>
        </w:p>
        <w:p w14:paraId="28FAC11E" w14:textId="77777777" w:rsidR="0020193E" w:rsidRDefault="0020193E" w:rsidP="006E08B3">
          <w:r>
            <w:t>V1.0 October 2010</w:t>
          </w:r>
        </w:p>
      </w:tc>
      <w:tc>
        <w:tcPr>
          <w:tcW w:w="4356" w:type="dxa"/>
          <w:tcBorders>
            <w:top w:val="single" w:sz="4" w:space="0" w:color="auto"/>
          </w:tcBorders>
          <w:tcMar>
            <w:top w:w="142" w:type="dxa"/>
            <w:bottom w:w="0" w:type="dxa"/>
          </w:tcMar>
        </w:tcPr>
        <w:p w14:paraId="36CF5BE3" w14:textId="77777777" w:rsidR="0020193E" w:rsidRDefault="0020193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74C2D2FD" w14:textId="77777777" w:rsidR="0020193E" w:rsidRDefault="002019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5A14D" w14:textId="77777777" w:rsidR="0020193E" w:rsidRDefault="0020193E" w:rsidP="00C40A36">
      <w:pPr>
        <w:spacing w:after="0"/>
      </w:pPr>
      <w:r>
        <w:separator/>
      </w:r>
    </w:p>
  </w:footnote>
  <w:footnote w:type="continuationSeparator" w:id="0">
    <w:p w14:paraId="3D2CEE5D" w14:textId="77777777" w:rsidR="0020193E" w:rsidRDefault="0020193E" w:rsidP="00C40A36">
      <w:pPr>
        <w:spacing w:after="0"/>
      </w:pPr>
      <w:r>
        <w:continuationSeparator/>
      </w:r>
    </w:p>
  </w:footnote>
  <w:footnote w:id="1">
    <w:p w14:paraId="1A826262" w14:textId="508CE24B" w:rsidR="0020193E" w:rsidRPr="00A12492" w:rsidRDefault="0020193E" w:rsidP="00A12492">
      <w:pPr>
        <w:pStyle w:val="FootnoteText"/>
      </w:pPr>
      <w:r>
        <w:rPr>
          <w:rStyle w:val="FootnoteReference"/>
        </w:rPr>
        <w:footnoteRef/>
      </w:r>
      <w:r>
        <w:t xml:space="preserve"> Australian Institute of Health and Welfare (AIHW) Cancer Data in Australia, l</w:t>
      </w:r>
      <w:r w:rsidRPr="0020193E">
        <w:t>ast updated</w:t>
      </w:r>
      <w:r>
        <w:t xml:space="preserve"> on </w:t>
      </w:r>
      <w:r w:rsidRPr="0020193E">
        <w:t>1 Jul</w:t>
      </w:r>
      <w:r>
        <w:t>y</w:t>
      </w:r>
      <w:r w:rsidRPr="0020193E">
        <w:t xml:space="preserve"> 2022</w:t>
      </w:r>
      <w:r>
        <w:t xml:space="preserve">. Available at: </w:t>
      </w:r>
      <w:hyperlink r:id="rId1" w:history="1">
        <w:r w:rsidRPr="002F621E">
          <w:rPr>
            <w:rStyle w:val="Hyperlink"/>
          </w:rPr>
          <w:t>https://www.aihw.gov.au/reports/cancer/cancer-data-in-australia/contents/cancer-incidence-by-age-visualisation</w:t>
        </w:r>
      </w:hyperlink>
      <w:r>
        <w:t>.</w:t>
      </w:r>
    </w:p>
  </w:footnote>
  <w:footnote w:id="2">
    <w:p w14:paraId="10A85A27" w14:textId="1514F805" w:rsidR="0020193E" w:rsidRPr="009D6FE1" w:rsidRDefault="0020193E" w:rsidP="009D6FE1">
      <w:pPr>
        <w:pStyle w:val="FootnoteText"/>
      </w:pPr>
      <w:r>
        <w:rPr>
          <w:rStyle w:val="FootnoteReference"/>
        </w:rPr>
        <w:footnoteRef/>
      </w:r>
      <w:r>
        <w:t xml:space="preserve"> </w:t>
      </w:r>
      <w:r w:rsidRPr="0020193E">
        <w:t>Schieber</w:t>
      </w:r>
      <w:r>
        <w:t>, M. et al. Current Overview and Treatment of Mantle Cell Lymphoma,</w:t>
      </w:r>
      <w:r w:rsidRPr="0020193E">
        <w:t xml:space="preserve"> </w:t>
      </w:r>
      <w:r w:rsidRPr="0020193E">
        <w:rPr>
          <w:i/>
          <w:iCs/>
        </w:rPr>
        <w:t>F1000Res</w:t>
      </w:r>
      <w:r>
        <w:t>,</w:t>
      </w:r>
      <w:r w:rsidRPr="0020193E">
        <w:t xml:space="preserve"> 2018; 7: F1000 Faculty Rev-1136.</w:t>
      </w:r>
    </w:p>
  </w:footnote>
  <w:footnote w:id="3">
    <w:p w14:paraId="6FEA168F" w14:textId="77777777" w:rsidR="002E3930" w:rsidRDefault="002E3930" w:rsidP="002E3930">
      <w:pPr>
        <w:pStyle w:val="FootnoteText"/>
      </w:pPr>
      <w:r>
        <w:rPr>
          <w:rStyle w:val="FootnoteReference"/>
        </w:rPr>
        <w:footnoteRef/>
      </w:r>
      <w:r>
        <w:t xml:space="preserve"> </w:t>
      </w:r>
      <w:r w:rsidRPr="00C65E89">
        <w:t xml:space="preserve">Imbruvica </w:t>
      </w:r>
      <w:bookmarkStart w:id="17" w:name="_Hlk110964483"/>
      <w:r w:rsidRPr="00C65E89">
        <w:t xml:space="preserve">was first registered on the ARTG on </w:t>
      </w:r>
      <w:r w:rsidRPr="002E3930">
        <w:t>20</w:t>
      </w:r>
      <w:r>
        <w:t xml:space="preserve"> April </w:t>
      </w:r>
      <w:r w:rsidRPr="002E3930">
        <w:t>2015</w:t>
      </w:r>
      <w:r>
        <w:t xml:space="preserve"> </w:t>
      </w:r>
      <w:bookmarkEnd w:id="17"/>
      <w:r>
        <w:t>(</w:t>
      </w:r>
      <w:r w:rsidRPr="00C65E89">
        <w:t xml:space="preserve">ARTG number: </w:t>
      </w:r>
      <w:r w:rsidRPr="002E3930">
        <w:t>228499</w:t>
      </w:r>
      <w:r w:rsidRPr="00C65E89">
        <w:t>).</w:t>
      </w:r>
    </w:p>
  </w:footnote>
  <w:footnote w:id="4">
    <w:p w14:paraId="59BB6E34" w14:textId="309CB8C0" w:rsidR="0020193E" w:rsidRPr="002E3930" w:rsidRDefault="0020193E" w:rsidP="00740D1C">
      <w:pPr>
        <w:pStyle w:val="FootnoteText"/>
      </w:pPr>
      <w:r>
        <w:rPr>
          <w:rStyle w:val="FootnoteReference"/>
        </w:rPr>
        <w:footnoteRef/>
      </w:r>
      <w:r>
        <w:t xml:space="preserve"> </w:t>
      </w:r>
      <w:r w:rsidRPr="00C65E89">
        <w:t xml:space="preserve">AusPAR for Imbruvica (ibrunitib) </w:t>
      </w:r>
      <w:r w:rsidR="002E3930">
        <w:t>n</w:t>
      </w:r>
      <w:r w:rsidR="002E3930" w:rsidRPr="002E3930">
        <w:t>ew chemical entity</w:t>
      </w:r>
      <w:r w:rsidR="002E3930">
        <w:t xml:space="preserve">, published on </w:t>
      </w:r>
      <w:r w:rsidR="002E3930" w:rsidRPr="002E3930">
        <w:t>5 April 2016</w:t>
      </w:r>
      <w:r w:rsidR="002E3930">
        <w:t xml:space="preserve">. </w:t>
      </w:r>
      <w:r w:rsidRPr="00C65E89">
        <w:t xml:space="preserve">Available at: </w:t>
      </w:r>
      <w:hyperlink r:id="rId2" w:history="1">
        <w:r w:rsidR="002E3930" w:rsidRPr="002F621E">
          <w:rPr>
            <w:rStyle w:val="Hyperlink"/>
          </w:rPr>
          <w:t>https://www.tga.gov.au/auspar/auspar-ibrutinib</w:t>
        </w:r>
      </w:hyperlink>
      <w:r w:rsidR="002E3930">
        <w:t>.</w:t>
      </w:r>
    </w:p>
  </w:footnote>
  <w:footnote w:id="5">
    <w:p w14:paraId="1ADA8253" w14:textId="35B4019A" w:rsidR="002E3930" w:rsidRDefault="002E3930">
      <w:pPr>
        <w:pStyle w:val="FootnoteText"/>
      </w:pPr>
      <w:r>
        <w:rPr>
          <w:rStyle w:val="FootnoteReference"/>
        </w:rPr>
        <w:footnoteRef/>
      </w:r>
      <w:r>
        <w:t xml:space="preserve"> </w:t>
      </w:r>
      <w:r w:rsidR="00AD4E03" w:rsidRPr="002E3930">
        <w:t xml:space="preserve">Calquence </w:t>
      </w:r>
      <w:r w:rsidRPr="002E3930">
        <w:t xml:space="preserve">was first registered on the ARTG on </w:t>
      </w:r>
      <w:r w:rsidR="00AD4E03" w:rsidRPr="00AD4E03">
        <w:t>21</w:t>
      </w:r>
      <w:r w:rsidR="00AD4E03">
        <w:t xml:space="preserve"> November </w:t>
      </w:r>
      <w:r w:rsidR="00AD4E03" w:rsidRPr="00AD4E03">
        <w:t>2019</w:t>
      </w:r>
      <w:r w:rsidR="00AD4E03">
        <w:t xml:space="preserve"> </w:t>
      </w:r>
      <w:r w:rsidRPr="002E3930">
        <w:t xml:space="preserve">(ARTG number: </w:t>
      </w:r>
      <w:r w:rsidR="00AD4E03" w:rsidRPr="00AD4E03">
        <w:t>321419</w:t>
      </w:r>
      <w:r w:rsidRPr="002E3930">
        <w:t>).</w:t>
      </w:r>
    </w:p>
  </w:footnote>
  <w:footnote w:id="6">
    <w:p w14:paraId="23FCFC6E" w14:textId="220010D2" w:rsidR="0020193E" w:rsidRPr="00AD4E03" w:rsidRDefault="0020193E">
      <w:pPr>
        <w:pStyle w:val="FootnoteText"/>
      </w:pPr>
      <w:r>
        <w:rPr>
          <w:rStyle w:val="FootnoteReference"/>
        </w:rPr>
        <w:footnoteRef/>
      </w:r>
      <w:r>
        <w:t xml:space="preserve"> </w:t>
      </w:r>
      <w:r w:rsidRPr="00C65E89">
        <w:t xml:space="preserve">AusPAR for </w:t>
      </w:r>
      <w:r w:rsidR="00AD4E03" w:rsidRPr="00AD4E03">
        <w:t xml:space="preserve">Calquence </w:t>
      </w:r>
      <w:r w:rsidRPr="00C65E89">
        <w:t xml:space="preserve">(acalabrutinib) </w:t>
      </w:r>
      <w:r w:rsidR="00AD4E03">
        <w:t>n</w:t>
      </w:r>
      <w:r w:rsidR="00AD4E03" w:rsidRPr="00AD4E03">
        <w:t>ew chemical entity</w:t>
      </w:r>
      <w:r w:rsidR="00AD4E03">
        <w:t xml:space="preserve">, published on </w:t>
      </w:r>
      <w:r w:rsidR="00AD4E03" w:rsidRPr="00AD4E03">
        <w:t>3 March 2020</w:t>
      </w:r>
      <w:r w:rsidR="00AD4E03">
        <w:t xml:space="preserve">. Available at: </w:t>
      </w:r>
      <w:hyperlink r:id="rId3" w:history="1">
        <w:r w:rsidR="00AD4E03" w:rsidRPr="002F621E">
          <w:rPr>
            <w:rStyle w:val="Hyperlink"/>
          </w:rPr>
          <w:t>https://www.tga.gov.au/auspar/auspar-acalabrutinib</w:t>
        </w:r>
      </w:hyperlink>
      <w:r w:rsidR="00AD4E03">
        <w:t>.</w:t>
      </w:r>
    </w:p>
  </w:footnote>
  <w:footnote w:id="7">
    <w:p w14:paraId="6D2698DD" w14:textId="439D4EE5" w:rsidR="00AD4E03" w:rsidRDefault="00AD4E03">
      <w:pPr>
        <w:pStyle w:val="FootnoteText"/>
      </w:pPr>
      <w:r>
        <w:rPr>
          <w:rStyle w:val="FootnoteReference"/>
        </w:rPr>
        <w:footnoteRef/>
      </w:r>
      <w:r>
        <w:t xml:space="preserve"> </w:t>
      </w:r>
      <w:r w:rsidRPr="00C65E89">
        <w:t xml:space="preserve">AusPAR for </w:t>
      </w:r>
      <w:r w:rsidRPr="00AD4E03">
        <w:t xml:space="preserve">Calquence </w:t>
      </w:r>
      <w:r w:rsidRPr="00C65E89">
        <w:t xml:space="preserve">(acalabrutinib) </w:t>
      </w:r>
      <w:r>
        <w:t>e</w:t>
      </w:r>
      <w:r w:rsidRPr="00AD4E03">
        <w:t>xtension of indications</w:t>
      </w:r>
      <w:r>
        <w:t xml:space="preserve">, published on </w:t>
      </w:r>
      <w:r w:rsidRPr="00AD4E03">
        <w:t>10 March 2020</w:t>
      </w:r>
      <w:r>
        <w:t xml:space="preserve">. Available at: </w:t>
      </w:r>
      <w:hyperlink r:id="rId4" w:history="1">
        <w:r w:rsidRPr="002F621E">
          <w:rPr>
            <w:rStyle w:val="Hyperlink"/>
          </w:rPr>
          <w:t>https://www.tga.gov.au/auspar/auspar-acalabrutinib-0</w:t>
        </w:r>
      </w:hyperlink>
      <w:r>
        <w:t>.</w:t>
      </w:r>
    </w:p>
  </w:footnote>
  <w:footnote w:id="8">
    <w:p w14:paraId="74862CDE" w14:textId="32C8DFEA" w:rsidR="0020193E" w:rsidRPr="00AD4E03" w:rsidRDefault="0020193E">
      <w:pPr>
        <w:pStyle w:val="FootnoteText"/>
        <w:rPr>
          <w:lang w:val="en-GB"/>
        </w:rPr>
      </w:pPr>
      <w:r>
        <w:rPr>
          <w:rStyle w:val="FootnoteReference"/>
        </w:rPr>
        <w:footnoteRef/>
      </w:r>
      <w:r>
        <w:t xml:space="preserve"> AusPAR for Brukinsa (zanubrutinib) </w:t>
      </w:r>
      <w:r w:rsidR="00AD4E03">
        <w:t xml:space="preserve">new chemical entity, Submission </w:t>
      </w:r>
      <w:r w:rsidR="00AD4E03" w:rsidRPr="007E2311">
        <w:t>PM</w:t>
      </w:r>
      <w:r w:rsidR="00AD4E03">
        <w:t>-</w:t>
      </w:r>
      <w:r w:rsidR="00AD4E03" w:rsidRPr="007E2311">
        <w:t>2020-02814-1-6</w:t>
      </w:r>
      <w:r w:rsidR="00AD4E03">
        <w:t xml:space="preserve">, published on </w:t>
      </w:r>
      <w:r w:rsidR="00E67A7F">
        <w:t>17 August 2022</w:t>
      </w:r>
      <w:r w:rsidR="00AD4E03">
        <w:t xml:space="preserve">. </w:t>
      </w:r>
      <w:r>
        <w:t>Available at:</w:t>
      </w:r>
      <w:r w:rsidR="00AD4E03">
        <w:t xml:space="preserve"> </w:t>
      </w:r>
      <w:hyperlink r:id="rId5" w:history="1">
        <w:r w:rsidR="004247C9">
          <w:rPr>
            <w:rStyle w:val="Hyperlink"/>
          </w:rPr>
          <w:t>https://tga.govcms.gov.au/resources/auspar/auspar-brukinsa-0</w:t>
        </w:r>
      </w:hyperlink>
      <w:r w:rsidR="00AD4E03">
        <w:t>.</w:t>
      </w:r>
    </w:p>
  </w:footnote>
  <w:footnote w:id="9">
    <w:p w14:paraId="2FD12D1B" w14:textId="77777777" w:rsidR="0020193E" w:rsidRDefault="0020193E" w:rsidP="004A2B72">
      <w:pPr>
        <w:pStyle w:val="FootnoteText"/>
      </w:pPr>
      <w:r>
        <w:rPr>
          <w:rStyle w:val="FootnoteReference"/>
        </w:rPr>
        <w:footnoteRef/>
      </w:r>
      <w:r>
        <w:t xml:space="preserve"> As part of the </w:t>
      </w:r>
      <w:r w:rsidRPr="004A2B72">
        <w:rPr>
          <w:b/>
          <w:bCs/>
        </w:rPr>
        <w:t>provisional approval pathway</w:t>
      </w:r>
      <w:r>
        <w:t>, the provisional registration process will allow certain medicines to be provisionally registered in the Australian Register of Therapeutic Goods (ARTG) for a limited duration. These medicines are registered on the basis of preliminary clinical data, where there is the potential for a substantial benefit to Australian patients. The TGA will re-assess risks related to the absence of evidence through data provided at a later stage, as part of the confirmatory data. Confirmatory data should confirm the relationship between outcomes predicted by the surrogate endpoint, or other preliminary data, and the clinical benefit as demonstrated by direct clinical outcomes.</w:t>
      </w:r>
    </w:p>
    <w:p w14:paraId="2C1A6383" w14:textId="7E409D89" w:rsidR="0020193E" w:rsidRDefault="0020193E" w:rsidP="004A2B72">
      <w:pPr>
        <w:pStyle w:val="FootnoteText"/>
      </w:pPr>
      <w:r>
        <w:t>The sponsor may apply to transition to full registration at any time up until the provisional registration lapse date, once they have completed the obligations outlined for the provisional registration period and complete confirmatory data on safety and efficacy are available.</w:t>
      </w:r>
    </w:p>
  </w:footnote>
  <w:footnote w:id="10">
    <w:p w14:paraId="3A25BA00" w14:textId="77777777" w:rsidR="0020193E" w:rsidRDefault="0020193E" w:rsidP="000114EC">
      <w:pPr>
        <w:pStyle w:val="FootnoteText"/>
      </w:pPr>
      <w:r>
        <w:rPr>
          <w:rStyle w:val="FootnoteReference"/>
        </w:rPr>
        <w:footnoteRef/>
      </w:r>
      <w:r>
        <w:t xml:space="preserve"> </w:t>
      </w:r>
      <w:r w:rsidRPr="003B5C95">
        <w:rPr>
          <w:b/>
          <w:bCs/>
        </w:rPr>
        <w:t>Cytochrome P450 (CYP)</w:t>
      </w:r>
      <w:r>
        <w:t xml:space="preserve"> enzymes: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545D71FB" w14:textId="77777777" w:rsidR="0020193E" w:rsidRDefault="0020193E" w:rsidP="000114EC">
      <w:pPr>
        <w:pStyle w:val="FootnoteText"/>
      </w:pPr>
      <w: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1">
    <w:p w14:paraId="71DD18A2" w14:textId="77777777" w:rsidR="0020193E" w:rsidRPr="004A2B72" w:rsidRDefault="0020193E" w:rsidP="00053A45">
      <w:pPr>
        <w:pStyle w:val="FootnoteText"/>
      </w:pPr>
      <w:r>
        <w:rPr>
          <w:rStyle w:val="FootnoteReference"/>
        </w:rPr>
        <w:footnoteRef/>
      </w:r>
      <w:r>
        <w:t xml:space="preserve"> </w:t>
      </w:r>
      <w:r w:rsidRPr="004A2B72">
        <w:rPr>
          <w:b/>
          <w:bCs/>
        </w:rPr>
        <w:t>Lugano classification</w:t>
      </w:r>
      <w:r w:rsidRPr="004A2B72">
        <w:t xml:space="preserve"> for staging of lymphomas</w:t>
      </w:r>
    </w:p>
    <w:p w14:paraId="4A06FB15" w14:textId="77777777" w:rsidR="0020193E" w:rsidRPr="004A2B72" w:rsidRDefault="0020193E" w:rsidP="00053A45">
      <w:pPr>
        <w:pStyle w:val="FootnoteText"/>
      </w:pPr>
      <w:r w:rsidRPr="004A2B72">
        <w:t xml:space="preserve">Stage I </w:t>
      </w:r>
      <w:r>
        <w:t>-</w:t>
      </w:r>
      <w:r w:rsidRPr="004A2B72">
        <w:t xml:space="preserve"> Involvement of a single lymph node region (</w:t>
      </w:r>
      <w:r>
        <w:t>for example</w:t>
      </w:r>
      <w:r w:rsidRPr="004A2B72">
        <w:t>, cervical, axillary, inguinal, mediastinal) or lymphoid structure such as the spleen, thymus, or Waldeyer's ring.</w:t>
      </w:r>
    </w:p>
    <w:p w14:paraId="08DB34C4" w14:textId="268724AF" w:rsidR="0020193E" w:rsidRPr="004A2B72" w:rsidRDefault="0020193E" w:rsidP="00053A45">
      <w:pPr>
        <w:pStyle w:val="FootnoteText"/>
      </w:pPr>
      <w:r w:rsidRPr="004A2B72">
        <w:rPr>
          <w:rStyle w:val="Strong"/>
          <w:b w:val="0"/>
          <w:bCs w:val="0"/>
        </w:rPr>
        <w:t>Stage II</w:t>
      </w:r>
      <w:r>
        <w:rPr>
          <w:rStyle w:val="Strong"/>
          <w:b w:val="0"/>
          <w:bCs w:val="0"/>
        </w:rPr>
        <w:t xml:space="preserve"> </w:t>
      </w:r>
      <w:r>
        <w:t xml:space="preserve">- </w:t>
      </w:r>
      <w:r w:rsidRPr="004A2B72">
        <w:t>Involvement of</w:t>
      </w:r>
      <w:r>
        <w:t xml:space="preserve"> two</w:t>
      </w:r>
      <w:r w:rsidRPr="004A2B72">
        <w:t xml:space="preserve"> or more lymph node regions or lymph node structures on the same side of the diaphragm.</w:t>
      </w:r>
    </w:p>
    <w:p w14:paraId="5C83F867" w14:textId="77777777" w:rsidR="0020193E" w:rsidRPr="004A2B72" w:rsidRDefault="0020193E" w:rsidP="00053A45">
      <w:pPr>
        <w:pStyle w:val="FootnoteText"/>
      </w:pPr>
      <w:r w:rsidRPr="004A2B72">
        <w:rPr>
          <w:rStyle w:val="Strong"/>
          <w:b w:val="0"/>
          <w:bCs w:val="0"/>
        </w:rPr>
        <w:t>Stage III</w:t>
      </w:r>
      <w:r>
        <w:t xml:space="preserve"> -</w:t>
      </w:r>
      <w:r w:rsidRPr="004A2B72">
        <w:t xml:space="preserve"> Involvement of lymph node regions or lymphoid structures on both sides of the diaphragm.</w:t>
      </w:r>
    </w:p>
    <w:p w14:paraId="7C87AE22" w14:textId="4DDD5FE8" w:rsidR="0020193E" w:rsidRDefault="0020193E" w:rsidP="00053A45">
      <w:pPr>
        <w:pStyle w:val="FootnoteText"/>
      </w:pPr>
      <w:r w:rsidRPr="004A2B72">
        <w:rPr>
          <w:rStyle w:val="Strong"/>
          <w:b w:val="0"/>
          <w:bCs w:val="0"/>
        </w:rPr>
        <w:t>Stage IV</w:t>
      </w:r>
      <w:r>
        <w:t xml:space="preserve"> -</w:t>
      </w:r>
      <w:r w:rsidRPr="004A2B72">
        <w:t xml:space="preserve"> Diffuse or disseminated involvement of 1 or more extranodal organs or tissue beyond that designated </w:t>
      </w:r>
      <w:r>
        <w:t>‘</w:t>
      </w:r>
      <w:r w:rsidRPr="004A2B72">
        <w:t>E</w:t>
      </w:r>
      <w:r>
        <w:t>’</w:t>
      </w:r>
      <w:r w:rsidRPr="004A2B72">
        <w:t xml:space="preserve"> with or without associated lymph node involvement.</w:t>
      </w:r>
    </w:p>
  </w:footnote>
  <w:footnote w:id="12">
    <w:p w14:paraId="26024546" w14:textId="2FAC2A2E" w:rsidR="0020193E" w:rsidRDefault="0020193E" w:rsidP="003B5C95">
      <w:pPr>
        <w:pStyle w:val="FootnoteText"/>
      </w:pPr>
      <w:r>
        <w:rPr>
          <w:rStyle w:val="FootnoteReference"/>
        </w:rPr>
        <w:footnoteRef/>
      </w:r>
      <w:r>
        <w:t xml:space="preserve"> </w:t>
      </w:r>
      <w:r w:rsidRPr="003B5C95">
        <w:rPr>
          <w:b/>
          <w:bCs/>
        </w:rPr>
        <w:t xml:space="preserve">ECOG </w:t>
      </w:r>
      <w:bookmarkStart w:id="47" w:name="_Hlk105357327"/>
      <w:r w:rsidRPr="003B5C95">
        <w:rPr>
          <w:b/>
          <w:bCs/>
        </w:rPr>
        <w:t>Performance Status</w:t>
      </w:r>
      <w:bookmarkEnd w:id="47"/>
      <w:r>
        <w:t>: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40285DA1" w14:textId="77777777" w:rsidR="0020193E" w:rsidRDefault="0020193E" w:rsidP="003B5C95">
      <w:pPr>
        <w:pStyle w:val="FootnoteText"/>
      </w:pPr>
      <w:r>
        <w:t>0 - Fully active, able to carry on all pre-disease performance without restriction</w:t>
      </w:r>
    </w:p>
    <w:p w14:paraId="679CC31A" w14:textId="77777777" w:rsidR="0020193E" w:rsidRDefault="0020193E" w:rsidP="003B5C95">
      <w:pPr>
        <w:pStyle w:val="FootnoteText"/>
      </w:pPr>
      <w:r>
        <w:t>1- Restricted in physically strenuous activity but ambulatory and able to carry out work of a light or sedentary nature, for example, light house work, office work</w:t>
      </w:r>
    </w:p>
    <w:p w14:paraId="03F59F94" w14:textId="77777777" w:rsidR="0020193E" w:rsidRDefault="0020193E" w:rsidP="003B5C95">
      <w:pPr>
        <w:pStyle w:val="FootnoteText"/>
      </w:pPr>
      <w:r>
        <w:t>2 - Ambulatory and capable of all selfcare but unable to carry out any work activities. Up and about more than 50% of waking hours</w:t>
      </w:r>
    </w:p>
    <w:p w14:paraId="00F7B029" w14:textId="77777777" w:rsidR="0020193E" w:rsidRDefault="0020193E" w:rsidP="003B5C95">
      <w:pPr>
        <w:pStyle w:val="FootnoteText"/>
      </w:pPr>
      <w:r>
        <w:t>3 - Capable of only limited selfcare, confined to bed or chair more than 50% of waking hours</w:t>
      </w:r>
    </w:p>
    <w:p w14:paraId="392DBBA2" w14:textId="77777777" w:rsidR="0020193E" w:rsidRDefault="0020193E" w:rsidP="003B5C95">
      <w:pPr>
        <w:pStyle w:val="FootnoteText"/>
      </w:pPr>
      <w:r>
        <w:t>4 - Completely disabled. Cannot carry on any selfcare. Totally confined to bed or chair</w:t>
      </w:r>
    </w:p>
    <w:p w14:paraId="33169601" w14:textId="2A840C2C" w:rsidR="0020193E" w:rsidRDefault="0020193E" w:rsidP="003B5C95">
      <w:pPr>
        <w:pStyle w:val="FootnoteText"/>
      </w:pPr>
      <w:r>
        <w:t>5 – Dead</w:t>
      </w:r>
    </w:p>
  </w:footnote>
  <w:footnote w:id="13">
    <w:p w14:paraId="56914443" w14:textId="77777777" w:rsidR="0020193E" w:rsidRDefault="0020193E" w:rsidP="0068710F">
      <w:pPr>
        <w:pStyle w:val="FootnoteText"/>
      </w:pPr>
      <w:r>
        <w:rPr>
          <w:rStyle w:val="FootnoteReference"/>
        </w:rPr>
        <w:footnoteRef/>
      </w:r>
      <w:r>
        <w:t xml:space="preserve"> </w:t>
      </w:r>
      <w:r w:rsidRPr="0068710F">
        <w:rPr>
          <w:b/>
          <w:bCs/>
        </w:rPr>
        <w:t>New York Heart Association (NYHA) classification</w:t>
      </w:r>
      <w:r>
        <w:t>:</w:t>
      </w:r>
    </w:p>
    <w:p w14:paraId="74F81A09" w14:textId="1DF4A64E" w:rsidR="0020193E" w:rsidRDefault="0020193E" w:rsidP="0068710F">
      <w:pPr>
        <w:pStyle w:val="FootnoteText"/>
      </w:pPr>
      <w:r>
        <w:t>Class I: No limitations. Ordinary physical activity does not cause undue fatigue, dyspnoea or palpitations (asymptomatic left ventricular dysfunction). Metabolic equivalent (MET) &gt; 7.</w:t>
      </w:r>
    </w:p>
  </w:footnote>
  <w:footnote w:id="14">
    <w:p w14:paraId="7A060BD4" w14:textId="77777777" w:rsidR="0020193E" w:rsidRDefault="0020193E" w:rsidP="00C025FE">
      <w:pPr>
        <w:pStyle w:val="FootnoteText"/>
      </w:pPr>
      <w:r>
        <w:rPr>
          <w:rStyle w:val="FootnoteReference"/>
        </w:rPr>
        <w:footnoteRef/>
      </w:r>
      <w:r>
        <w:t xml:space="preserve"> The QT interval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p w14:paraId="4CF575EF" w14:textId="17E7BBF1" w:rsidR="0020193E" w:rsidRDefault="0020193E" w:rsidP="00C025FE">
      <w:pPr>
        <w:pStyle w:val="FootnoteText"/>
      </w:pPr>
      <w:r>
        <w:t xml:space="preserve">The corrected QT interval (QTc) estimates the QT interval at a standard heart rate. This allows comparison of QT values over time at different heart rates and improves detection of patients at increased risk of arrhythmias. The </w:t>
      </w:r>
      <w:r w:rsidRPr="00C025FE">
        <w:rPr>
          <w:b/>
          <w:bCs/>
        </w:rPr>
        <w:t>QTcF</w:t>
      </w:r>
      <w:r>
        <w:t xml:space="preserve"> is the QT interval corrected for heart rate according to Fridericia’s formula.</w:t>
      </w:r>
    </w:p>
  </w:footnote>
  <w:footnote w:id="15">
    <w:p w14:paraId="4C66D9CB" w14:textId="7005A4C2" w:rsidR="0020193E" w:rsidRDefault="0020193E">
      <w:pPr>
        <w:pStyle w:val="FootnoteText"/>
      </w:pPr>
      <w:r>
        <w:rPr>
          <w:rStyle w:val="FootnoteReference"/>
        </w:rPr>
        <w:footnoteRef/>
      </w:r>
      <w:r>
        <w:t xml:space="preserve"> </w:t>
      </w:r>
      <w:r w:rsidRPr="00053A45">
        <w:t>The Ki67 (MKI67) is a cellular marker for proliferation.</w:t>
      </w:r>
    </w:p>
  </w:footnote>
  <w:footnote w:id="16">
    <w:p w14:paraId="1CF60978" w14:textId="5D2B39EA" w:rsidR="0020193E" w:rsidRDefault="0020193E">
      <w:pPr>
        <w:pStyle w:val="FootnoteText"/>
      </w:pPr>
      <w:r>
        <w:rPr>
          <w:rStyle w:val="FootnoteReference"/>
        </w:rPr>
        <w:footnoteRef/>
      </w:r>
      <w:r>
        <w:t xml:space="preserve"> </w:t>
      </w:r>
      <w:r w:rsidRPr="000001A8">
        <w:rPr>
          <w:b/>
          <w:bCs/>
        </w:rPr>
        <w:t>Mantle cell lymphoma international prognostic index (MIPI)</w:t>
      </w:r>
      <w:r w:rsidRPr="00053A45">
        <w:t xml:space="preserve"> combined biologic index calculator. It includes age, lactate dehydrogenase, white cell count, Eastern Cooperative Oncology Group (ECOG) Performance Status and Ki67 proliferation index (%).</w:t>
      </w:r>
    </w:p>
  </w:footnote>
  <w:footnote w:id="17">
    <w:p w14:paraId="273F76E0" w14:textId="3102BBCF" w:rsidR="0020193E" w:rsidRDefault="0020193E">
      <w:pPr>
        <w:pStyle w:val="FootnoteText"/>
      </w:pPr>
      <w:r>
        <w:rPr>
          <w:rStyle w:val="FootnoteReference"/>
        </w:rPr>
        <w:footnoteRef/>
      </w:r>
      <w:r>
        <w:t xml:space="preserve"> </w:t>
      </w:r>
      <w:r w:rsidRPr="00053A45">
        <w:t>The United States Food and Drug Administration changed 8 complete response (CR) to partial responses because the patients had gastrointestinal and/or bone marrow involvement at Baseline. Repeat biopsies of involved locations were not repeated to demonstrate CR and these cases were classified partial response. This does not change the overall response rate (ORR) (CR + partial response (PR)), but the CR in the United States Package Insert (USPI) is 59% and PR is 24%.</w:t>
      </w:r>
    </w:p>
  </w:footnote>
  <w:footnote w:id="18">
    <w:p w14:paraId="6C797584" w14:textId="4F516B54" w:rsidR="0020193E" w:rsidRDefault="0020193E" w:rsidP="004A2B72">
      <w:pPr>
        <w:pStyle w:val="FootnoteText"/>
      </w:pPr>
      <w:r>
        <w:rPr>
          <w:rStyle w:val="FootnoteReference"/>
        </w:rPr>
        <w:footnoteRef/>
      </w:r>
      <w:r>
        <w:t xml:space="preserve"> </w:t>
      </w:r>
      <w:r w:rsidRPr="00053A45">
        <w:t xml:space="preserve">Cheson, B.D. et al. Recommendations for Initial Evaluation, Staging, and Response Assessment of Hodgkin and Non-Hodgkin Lymphoma: the Lugano Classification, </w:t>
      </w:r>
      <w:r w:rsidRPr="00053A45">
        <w:rPr>
          <w:i/>
          <w:iCs/>
        </w:rPr>
        <w:t>J Clin Oncol</w:t>
      </w:r>
      <w:r w:rsidRPr="00053A45">
        <w:t>, 2014; 32(27): 3059-3068.</w:t>
      </w:r>
    </w:p>
  </w:footnote>
  <w:footnote w:id="19">
    <w:p w14:paraId="028FE579" w14:textId="42C08C0D" w:rsidR="0020193E" w:rsidRPr="00053A45" w:rsidRDefault="0020193E" w:rsidP="00053A45">
      <w:pPr>
        <w:pStyle w:val="FootnoteText"/>
      </w:pPr>
      <w:r>
        <w:rPr>
          <w:rStyle w:val="FootnoteReference"/>
        </w:rPr>
        <w:footnoteRef/>
      </w:r>
      <w:r>
        <w:t xml:space="preserve"> </w:t>
      </w:r>
      <w:r w:rsidRPr="00053A45">
        <w:t>Chambers, P. et al. Patient Factors and Their Impact on Neutropenic Events: a</w:t>
      </w:r>
    </w:p>
    <w:p w14:paraId="20A34411" w14:textId="0FCE6441" w:rsidR="0020193E" w:rsidRDefault="0020193E" w:rsidP="00053A45">
      <w:pPr>
        <w:pStyle w:val="FootnoteText"/>
      </w:pPr>
      <w:r w:rsidRPr="00053A45">
        <w:t xml:space="preserve">Systematic Review and Meta-Analysis, </w:t>
      </w:r>
      <w:r w:rsidRPr="00053A45">
        <w:rPr>
          <w:i/>
          <w:iCs/>
        </w:rPr>
        <w:t>Support Care Cancer</w:t>
      </w:r>
      <w:r w:rsidRPr="00053A45">
        <w:t>, 2019; 27: 2413-2424.</w:t>
      </w:r>
    </w:p>
  </w:footnote>
  <w:footnote w:id="20">
    <w:p w14:paraId="3BFF5746" w14:textId="0ED25228" w:rsidR="0020193E" w:rsidRDefault="0020193E" w:rsidP="00987171">
      <w:pPr>
        <w:pStyle w:val="FootnoteText"/>
      </w:pPr>
      <w:r>
        <w:rPr>
          <w:rStyle w:val="FootnoteReference"/>
        </w:rPr>
        <w:footnoteRef/>
      </w:r>
      <w:r>
        <w:t xml:space="preserve"> Lyman, G.H. et al. Risk Factors for Febrile Neutropenia Among Patients with</w:t>
      </w:r>
    </w:p>
    <w:p w14:paraId="0F87A1B0" w14:textId="0F66A9E1" w:rsidR="0020193E" w:rsidRDefault="0020193E" w:rsidP="00987171">
      <w:pPr>
        <w:pStyle w:val="FootnoteText"/>
      </w:pPr>
      <w:r>
        <w:t xml:space="preserve">Cancer Receiving Chemotherapy: a Systematic Review, </w:t>
      </w:r>
      <w:r w:rsidRPr="00EA7218">
        <w:rPr>
          <w:i/>
          <w:iCs/>
        </w:rPr>
        <w:t>Oncol Hematol</w:t>
      </w:r>
      <w:r>
        <w:t>, 2013; 12: 1-10.</w:t>
      </w:r>
    </w:p>
  </w:footnote>
  <w:footnote w:id="21">
    <w:p w14:paraId="06A29A9D" w14:textId="268BE242" w:rsidR="0020193E" w:rsidRDefault="0020193E" w:rsidP="00EA7218">
      <w:pPr>
        <w:pStyle w:val="FootnoteText"/>
      </w:pPr>
      <w:r>
        <w:rPr>
          <w:rStyle w:val="FootnoteReference"/>
        </w:rPr>
        <w:footnoteRef/>
      </w:r>
      <w:r>
        <w:t xml:space="preserve"> </w:t>
      </w:r>
      <w:r w:rsidRPr="00EA7218">
        <w:t xml:space="preserve">Colosia, A. et al. Clinical Efficacy and Safety in Relapsed/Refractory Diffuse Large B-Cell Lymphoma: a Systematic Literature Review, </w:t>
      </w:r>
      <w:r w:rsidRPr="00EA7218">
        <w:rPr>
          <w:i/>
          <w:iCs/>
        </w:rPr>
        <w:t>Clin Lymphoma Myeloma Leuk</w:t>
      </w:r>
      <w:r w:rsidRPr="00EA7218">
        <w:t>, 2014; 14(5): 343-355.e6.</w:t>
      </w:r>
    </w:p>
  </w:footnote>
  <w:footnote w:id="22">
    <w:p w14:paraId="3505A8EC" w14:textId="72FACC38" w:rsidR="0020193E" w:rsidRDefault="0020193E">
      <w:pPr>
        <w:pStyle w:val="FootnoteText"/>
      </w:pPr>
      <w:r>
        <w:rPr>
          <w:rStyle w:val="FootnoteReference"/>
        </w:rPr>
        <w:footnoteRef/>
      </w:r>
      <w:r>
        <w:t xml:space="preserve"> </w:t>
      </w:r>
      <w:r w:rsidRPr="00EA7218">
        <w:t xml:space="preserve">Parikh, S.A. et al. How We Treat Richter Syndrome, </w:t>
      </w:r>
      <w:r w:rsidRPr="00EA7218">
        <w:rPr>
          <w:i/>
          <w:iCs/>
        </w:rPr>
        <w:t>Blood</w:t>
      </w:r>
      <w:r>
        <w:t>,</w:t>
      </w:r>
      <w:r w:rsidRPr="00EA7218">
        <w:t xml:space="preserve"> 2014; 123(11): 1647</w:t>
      </w:r>
      <w:r>
        <w:t>-</w:t>
      </w:r>
      <w:r w:rsidRPr="00EA7218">
        <w:t>1657.</w:t>
      </w:r>
    </w:p>
  </w:footnote>
  <w:footnote w:id="23">
    <w:p w14:paraId="1821BBB6" w14:textId="7FC296BC" w:rsidR="0020193E" w:rsidRDefault="0020193E">
      <w:pPr>
        <w:pStyle w:val="FootnoteText"/>
      </w:pPr>
      <w:r>
        <w:rPr>
          <w:rStyle w:val="FootnoteReference"/>
        </w:rPr>
        <w:footnoteRef/>
      </w:r>
      <w:r>
        <w:t xml:space="preserve"> </w:t>
      </w:r>
      <w:r w:rsidRPr="00F82029">
        <w:t xml:space="preserve">The </w:t>
      </w:r>
      <w:r w:rsidRPr="00F82029">
        <w:rPr>
          <w:b/>
          <w:bCs/>
        </w:rPr>
        <w:t>Medical Dictionary for Regulatory Activities (MedDRA)</w:t>
      </w:r>
      <w:r w:rsidRPr="00F82029">
        <w:t xml:space="preserve"> is a single standardised international medical terminology, developed as a project of the International Council for Harmonisation of Technical Requirements for Pharmaceuticals for Human Use (ICH) which can be used for regulatory communication and evaluation of data pertaining to medicinal products for human use. As a result, MedDRA is designed for use in the registration, documentation and safety monitoring of medicinal products through all phases of the development cycle (that is, from clinical trials to post-marketing surveillance). Furthermore, MedDRA supports ICH electronic communication within the ICH’s Electronic Common Technical Document (eCTD) and the E2B Individual Case Safety Report.</w:t>
      </w:r>
    </w:p>
  </w:footnote>
  <w:footnote w:id="24">
    <w:p w14:paraId="06031110" w14:textId="3ADA5377" w:rsidR="0020193E" w:rsidRDefault="0020193E">
      <w:pPr>
        <w:pStyle w:val="FootnoteText"/>
      </w:pPr>
      <w:r>
        <w:rPr>
          <w:rStyle w:val="FootnoteReference"/>
        </w:rPr>
        <w:footnoteRef/>
      </w:r>
      <w:r>
        <w:t xml:space="preserve"> </w:t>
      </w:r>
      <w:r w:rsidRPr="00F82029">
        <w:rPr>
          <w:b/>
          <w:bCs/>
        </w:rPr>
        <w:t>Standardised MedDRA Queries (SMQs)</w:t>
      </w:r>
      <w:r w:rsidRPr="00F82029">
        <w:t xml:space="preserve"> are groupings of terms from one or more MedDRA System Organ Classes (SOCs) that relate to a defined medical condition or area of interest. They are intended to aid in case identification.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FB7D1" w14:textId="77777777" w:rsidR="0020193E" w:rsidRDefault="0020193E"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17D1" w14:textId="77777777" w:rsidR="0020193E" w:rsidRDefault="0020193E">
    <w:pPr>
      <w:rPr>
        <w:noProof/>
        <w:lang w:eastAsia="en-AU"/>
      </w:rPr>
    </w:pPr>
    <w:r w:rsidRPr="00347824">
      <w:rPr>
        <w:noProof/>
        <w:lang w:val="en-GB" w:eastAsia="en-GB"/>
      </w:rPr>
      <w:drawing>
        <wp:anchor distT="0" distB="0" distL="114300" distR="114300" simplePos="0" relativeHeight="251659264" behindDoc="1" locked="0" layoutInCell="1" allowOverlap="1" wp14:anchorId="678B7633" wp14:editId="6C426C2D">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1DCC" w14:textId="77777777" w:rsidR="0020193E" w:rsidRDefault="00201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E30E" w14:textId="77777777" w:rsidR="0020193E" w:rsidRDefault="0020193E">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B577B" w14:textId="77777777" w:rsidR="0020193E" w:rsidRDefault="0020193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4B3A" w14:textId="77777777" w:rsidR="0020193E" w:rsidRDefault="002019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7A553" w14:textId="77777777" w:rsidR="0020193E" w:rsidRDefault="0020193E"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E39D" w14:textId="77777777" w:rsidR="0020193E" w:rsidRDefault="0020193E" w:rsidP="006E08B3">
    <w:r>
      <w:t>Therapeutic Goods Administration</w:t>
    </w:r>
  </w:p>
  <w:p w14:paraId="60E7CB36" w14:textId="77777777" w:rsidR="0020193E" w:rsidRDefault="0020193E"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6F0433E"/>
    <w:multiLevelType w:val="hybridMultilevel"/>
    <w:tmpl w:val="AF942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B4517"/>
    <w:multiLevelType w:val="hybridMultilevel"/>
    <w:tmpl w:val="8E166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AC90C4E0"/>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166519"/>
    <w:multiLevelType w:val="hybridMultilevel"/>
    <w:tmpl w:val="60668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9A00C56"/>
    <w:multiLevelType w:val="hybridMultilevel"/>
    <w:tmpl w:val="BDE44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7AB4A67"/>
    <w:multiLevelType w:val="hybridMultilevel"/>
    <w:tmpl w:val="01DEDE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CF409E5"/>
    <w:multiLevelType w:val="hybridMultilevel"/>
    <w:tmpl w:val="A93259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8"/>
  </w:num>
  <w:num w:numId="17">
    <w:abstractNumId w:val="8"/>
  </w:num>
  <w:num w:numId="18">
    <w:abstractNumId w:val="8"/>
  </w:num>
  <w:num w:numId="19">
    <w:abstractNumId w:val="10"/>
  </w:num>
  <w:num w:numId="20">
    <w:abstractNumId w:val="10"/>
  </w:num>
  <w:num w:numId="21">
    <w:abstractNumId w:val="10"/>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8"/>
  </w:num>
  <w:num w:numId="29">
    <w:abstractNumId w:val="9"/>
  </w:num>
  <w:num w:numId="30">
    <w:abstractNumId w:val="11"/>
  </w:num>
  <w:num w:numId="31">
    <w:abstractNumId w:val="5"/>
  </w:num>
  <w:num w:numId="32">
    <w:abstractNumId w:val="13"/>
  </w:num>
  <w:num w:numId="33">
    <w:abstractNumId w:val="15"/>
  </w:num>
  <w:num w:numId="34">
    <w:abstractNumId w:val="6"/>
  </w:num>
  <w:num w:numId="35">
    <w:abstractNumId w:val="4"/>
  </w:num>
  <w:num w:numId="36">
    <w:abstractNumId w:val="17"/>
  </w:num>
  <w:num w:numId="37">
    <w:abstractNumId w:val="14"/>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DD"/>
    <w:rsid w:val="000001A8"/>
    <w:rsid w:val="00002031"/>
    <w:rsid w:val="00004734"/>
    <w:rsid w:val="00006B22"/>
    <w:rsid w:val="00006FAB"/>
    <w:rsid w:val="000114EC"/>
    <w:rsid w:val="0001276A"/>
    <w:rsid w:val="000246AE"/>
    <w:rsid w:val="00025C67"/>
    <w:rsid w:val="00026B45"/>
    <w:rsid w:val="00035254"/>
    <w:rsid w:val="00044772"/>
    <w:rsid w:val="0004541C"/>
    <w:rsid w:val="00053A45"/>
    <w:rsid w:val="0005559E"/>
    <w:rsid w:val="000604D6"/>
    <w:rsid w:val="000734D8"/>
    <w:rsid w:val="00077775"/>
    <w:rsid w:val="00084070"/>
    <w:rsid w:val="00090471"/>
    <w:rsid w:val="00096AA7"/>
    <w:rsid w:val="000A3AED"/>
    <w:rsid w:val="000B3532"/>
    <w:rsid w:val="000B3A75"/>
    <w:rsid w:val="000B7A29"/>
    <w:rsid w:val="000C00C2"/>
    <w:rsid w:val="000C690F"/>
    <w:rsid w:val="000D1295"/>
    <w:rsid w:val="000D391B"/>
    <w:rsid w:val="000D3D6D"/>
    <w:rsid w:val="000D4FC7"/>
    <w:rsid w:val="000E6196"/>
    <w:rsid w:val="000F3969"/>
    <w:rsid w:val="000F4869"/>
    <w:rsid w:val="000F5B42"/>
    <w:rsid w:val="000F6E6F"/>
    <w:rsid w:val="001006D4"/>
    <w:rsid w:val="0010601F"/>
    <w:rsid w:val="0010788A"/>
    <w:rsid w:val="00107A31"/>
    <w:rsid w:val="00110EA5"/>
    <w:rsid w:val="00112F56"/>
    <w:rsid w:val="00117C1F"/>
    <w:rsid w:val="00122C2E"/>
    <w:rsid w:val="00124ACD"/>
    <w:rsid w:val="00125318"/>
    <w:rsid w:val="001305A2"/>
    <w:rsid w:val="00133238"/>
    <w:rsid w:val="00133A1B"/>
    <w:rsid w:val="0014197B"/>
    <w:rsid w:val="001447CD"/>
    <w:rsid w:val="001516B1"/>
    <w:rsid w:val="00154EBB"/>
    <w:rsid w:val="00156316"/>
    <w:rsid w:val="00161181"/>
    <w:rsid w:val="00161D56"/>
    <w:rsid w:val="00162D14"/>
    <w:rsid w:val="00163780"/>
    <w:rsid w:val="00165389"/>
    <w:rsid w:val="0017693F"/>
    <w:rsid w:val="0018110E"/>
    <w:rsid w:val="00181684"/>
    <w:rsid w:val="001843C6"/>
    <w:rsid w:val="001850E0"/>
    <w:rsid w:val="00185189"/>
    <w:rsid w:val="00185407"/>
    <w:rsid w:val="001A03AF"/>
    <w:rsid w:val="001A2158"/>
    <w:rsid w:val="001A525F"/>
    <w:rsid w:val="001A5A00"/>
    <w:rsid w:val="001A66B8"/>
    <w:rsid w:val="001B09F9"/>
    <w:rsid w:val="001B1DA4"/>
    <w:rsid w:val="001B5C90"/>
    <w:rsid w:val="001B6448"/>
    <w:rsid w:val="001C32CD"/>
    <w:rsid w:val="001D2984"/>
    <w:rsid w:val="001E07CF"/>
    <w:rsid w:val="001E359E"/>
    <w:rsid w:val="001E59F1"/>
    <w:rsid w:val="001F2CEE"/>
    <w:rsid w:val="001F471B"/>
    <w:rsid w:val="001F49EB"/>
    <w:rsid w:val="001F6CBA"/>
    <w:rsid w:val="0020193E"/>
    <w:rsid w:val="00201D4E"/>
    <w:rsid w:val="002031FA"/>
    <w:rsid w:val="002076C9"/>
    <w:rsid w:val="00220B8A"/>
    <w:rsid w:val="002257F3"/>
    <w:rsid w:val="002314EA"/>
    <w:rsid w:val="00233456"/>
    <w:rsid w:val="002339A5"/>
    <w:rsid w:val="00250271"/>
    <w:rsid w:val="00250F35"/>
    <w:rsid w:val="00257848"/>
    <w:rsid w:val="002578E8"/>
    <w:rsid w:val="0027084A"/>
    <w:rsid w:val="00271E85"/>
    <w:rsid w:val="00271F2E"/>
    <w:rsid w:val="00280265"/>
    <w:rsid w:val="00286434"/>
    <w:rsid w:val="00286C59"/>
    <w:rsid w:val="00291957"/>
    <w:rsid w:val="00292A79"/>
    <w:rsid w:val="002942D1"/>
    <w:rsid w:val="0029501A"/>
    <w:rsid w:val="002A3721"/>
    <w:rsid w:val="002A5B18"/>
    <w:rsid w:val="002B1638"/>
    <w:rsid w:val="002B3624"/>
    <w:rsid w:val="002D0952"/>
    <w:rsid w:val="002D5FF2"/>
    <w:rsid w:val="002E3930"/>
    <w:rsid w:val="002E40B3"/>
    <w:rsid w:val="002E4C9A"/>
    <w:rsid w:val="002F11F8"/>
    <w:rsid w:val="002F3F56"/>
    <w:rsid w:val="002F44B5"/>
    <w:rsid w:val="002F5122"/>
    <w:rsid w:val="00311AC0"/>
    <w:rsid w:val="003176FC"/>
    <w:rsid w:val="00324E45"/>
    <w:rsid w:val="0032500E"/>
    <w:rsid w:val="0032583B"/>
    <w:rsid w:val="00327883"/>
    <w:rsid w:val="00330D9B"/>
    <w:rsid w:val="00332715"/>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929F6"/>
    <w:rsid w:val="003A7F6C"/>
    <w:rsid w:val="003B2081"/>
    <w:rsid w:val="003B4D60"/>
    <w:rsid w:val="003B5C95"/>
    <w:rsid w:val="003B7E39"/>
    <w:rsid w:val="003C4B7E"/>
    <w:rsid w:val="003C58DC"/>
    <w:rsid w:val="003D1E62"/>
    <w:rsid w:val="003D50B5"/>
    <w:rsid w:val="003E0B99"/>
    <w:rsid w:val="003E2486"/>
    <w:rsid w:val="003E3208"/>
    <w:rsid w:val="003F0B04"/>
    <w:rsid w:val="0040134E"/>
    <w:rsid w:val="00404A58"/>
    <w:rsid w:val="00411A20"/>
    <w:rsid w:val="004210B4"/>
    <w:rsid w:val="004247C9"/>
    <w:rsid w:val="004334C7"/>
    <w:rsid w:val="00440A2D"/>
    <w:rsid w:val="00441C3F"/>
    <w:rsid w:val="00444D1A"/>
    <w:rsid w:val="0045186A"/>
    <w:rsid w:val="00454BDC"/>
    <w:rsid w:val="004564A7"/>
    <w:rsid w:val="00456765"/>
    <w:rsid w:val="00460036"/>
    <w:rsid w:val="004617BF"/>
    <w:rsid w:val="00463658"/>
    <w:rsid w:val="004637A0"/>
    <w:rsid w:val="004722CC"/>
    <w:rsid w:val="00490483"/>
    <w:rsid w:val="004936E4"/>
    <w:rsid w:val="00494E60"/>
    <w:rsid w:val="00497487"/>
    <w:rsid w:val="004A04E8"/>
    <w:rsid w:val="004A1542"/>
    <w:rsid w:val="004A2771"/>
    <w:rsid w:val="004A2B72"/>
    <w:rsid w:val="004A6189"/>
    <w:rsid w:val="004A7390"/>
    <w:rsid w:val="004B7B76"/>
    <w:rsid w:val="004C0A71"/>
    <w:rsid w:val="004C239D"/>
    <w:rsid w:val="004C2B1B"/>
    <w:rsid w:val="004C2DCA"/>
    <w:rsid w:val="004C4FBE"/>
    <w:rsid w:val="004C61D2"/>
    <w:rsid w:val="004E5FF4"/>
    <w:rsid w:val="004F0C4A"/>
    <w:rsid w:val="004F0F38"/>
    <w:rsid w:val="004F47D6"/>
    <w:rsid w:val="00500337"/>
    <w:rsid w:val="00501921"/>
    <w:rsid w:val="00505417"/>
    <w:rsid w:val="0052149B"/>
    <w:rsid w:val="00523A21"/>
    <w:rsid w:val="00530354"/>
    <w:rsid w:val="0053625B"/>
    <w:rsid w:val="005434C6"/>
    <w:rsid w:val="00543B39"/>
    <w:rsid w:val="00545CDB"/>
    <w:rsid w:val="00546154"/>
    <w:rsid w:val="00550096"/>
    <w:rsid w:val="00555280"/>
    <w:rsid w:val="00557FF9"/>
    <w:rsid w:val="00562327"/>
    <w:rsid w:val="005711D5"/>
    <w:rsid w:val="00576378"/>
    <w:rsid w:val="00577130"/>
    <w:rsid w:val="00577945"/>
    <w:rsid w:val="00577E38"/>
    <w:rsid w:val="00585322"/>
    <w:rsid w:val="005857C6"/>
    <w:rsid w:val="005918DD"/>
    <w:rsid w:val="00592F6E"/>
    <w:rsid w:val="00593AD1"/>
    <w:rsid w:val="00597FD5"/>
    <w:rsid w:val="005A68B6"/>
    <w:rsid w:val="005A79F5"/>
    <w:rsid w:val="005B49F5"/>
    <w:rsid w:val="005C494B"/>
    <w:rsid w:val="005C5570"/>
    <w:rsid w:val="005C5B66"/>
    <w:rsid w:val="005C79A4"/>
    <w:rsid w:val="005D5442"/>
    <w:rsid w:val="00602EC2"/>
    <w:rsid w:val="00603F32"/>
    <w:rsid w:val="00605AD4"/>
    <w:rsid w:val="006136D7"/>
    <w:rsid w:val="00625A6E"/>
    <w:rsid w:val="00632398"/>
    <w:rsid w:val="00640FC3"/>
    <w:rsid w:val="00642020"/>
    <w:rsid w:val="006430EE"/>
    <w:rsid w:val="00643CE5"/>
    <w:rsid w:val="00652FB5"/>
    <w:rsid w:val="0065337B"/>
    <w:rsid w:val="0065419D"/>
    <w:rsid w:val="006603BC"/>
    <w:rsid w:val="006604D8"/>
    <w:rsid w:val="00664A5B"/>
    <w:rsid w:val="00666EB0"/>
    <w:rsid w:val="0066735C"/>
    <w:rsid w:val="0067177E"/>
    <w:rsid w:val="006763D2"/>
    <w:rsid w:val="006804E7"/>
    <w:rsid w:val="00680C08"/>
    <w:rsid w:val="0068710F"/>
    <w:rsid w:val="006901BA"/>
    <w:rsid w:val="0069053A"/>
    <w:rsid w:val="006916A0"/>
    <w:rsid w:val="006931B1"/>
    <w:rsid w:val="006A15C0"/>
    <w:rsid w:val="006A58A8"/>
    <w:rsid w:val="006C3E2A"/>
    <w:rsid w:val="006C642F"/>
    <w:rsid w:val="006D03E5"/>
    <w:rsid w:val="006D5D3E"/>
    <w:rsid w:val="006E08B3"/>
    <w:rsid w:val="006E7D4A"/>
    <w:rsid w:val="006F17AC"/>
    <w:rsid w:val="006F25B8"/>
    <w:rsid w:val="006F4D7A"/>
    <w:rsid w:val="006F572E"/>
    <w:rsid w:val="00700195"/>
    <w:rsid w:val="007046D6"/>
    <w:rsid w:val="00705C40"/>
    <w:rsid w:val="00705DB0"/>
    <w:rsid w:val="0072292E"/>
    <w:rsid w:val="00722B57"/>
    <w:rsid w:val="00727637"/>
    <w:rsid w:val="00730F8A"/>
    <w:rsid w:val="00735A8C"/>
    <w:rsid w:val="00740D1C"/>
    <w:rsid w:val="0074163C"/>
    <w:rsid w:val="0074253D"/>
    <w:rsid w:val="00744121"/>
    <w:rsid w:val="0074429B"/>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1F56"/>
    <w:rsid w:val="007A46F5"/>
    <w:rsid w:val="007A54EE"/>
    <w:rsid w:val="007A6505"/>
    <w:rsid w:val="007B6132"/>
    <w:rsid w:val="007B6E9F"/>
    <w:rsid w:val="007C1216"/>
    <w:rsid w:val="007C1AF7"/>
    <w:rsid w:val="007C6B9B"/>
    <w:rsid w:val="007D53B6"/>
    <w:rsid w:val="007E2311"/>
    <w:rsid w:val="00804D99"/>
    <w:rsid w:val="00805D27"/>
    <w:rsid w:val="00806DCB"/>
    <w:rsid w:val="00810865"/>
    <w:rsid w:val="008110BC"/>
    <w:rsid w:val="00821776"/>
    <w:rsid w:val="008321F5"/>
    <w:rsid w:val="00832369"/>
    <w:rsid w:val="00833ED8"/>
    <w:rsid w:val="00834660"/>
    <w:rsid w:val="00836BC2"/>
    <w:rsid w:val="0085156D"/>
    <w:rsid w:val="00852B28"/>
    <w:rsid w:val="0085641B"/>
    <w:rsid w:val="00857136"/>
    <w:rsid w:val="00865B03"/>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2C11"/>
    <w:rsid w:val="008E7846"/>
    <w:rsid w:val="008F02E5"/>
    <w:rsid w:val="008F1CCC"/>
    <w:rsid w:val="008F2967"/>
    <w:rsid w:val="008F6943"/>
    <w:rsid w:val="00902A21"/>
    <w:rsid w:val="00903125"/>
    <w:rsid w:val="0091523F"/>
    <w:rsid w:val="00920330"/>
    <w:rsid w:val="009219D7"/>
    <w:rsid w:val="00922D53"/>
    <w:rsid w:val="00923B70"/>
    <w:rsid w:val="00924482"/>
    <w:rsid w:val="00930237"/>
    <w:rsid w:val="00937C17"/>
    <w:rsid w:val="00940A89"/>
    <w:rsid w:val="00941F77"/>
    <w:rsid w:val="00946EA5"/>
    <w:rsid w:val="00953790"/>
    <w:rsid w:val="009556D7"/>
    <w:rsid w:val="00960520"/>
    <w:rsid w:val="00963C08"/>
    <w:rsid w:val="00972D6F"/>
    <w:rsid w:val="009752A5"/>
    <w:rsid w:val="0098585A"/>
    <w:rsid w:val="00987171"/>
    <w:rsid w:val="009A4CED"/>
    <w:rsid w:val="009A690D"/>
    <w:rsid w:val="009B1D12"/>
    <w:rsid w:val="009B416B"/>
    <w:rsid w:val="009C4BD5"/>
    <w:rsid w:val="009D6FE1"/>
    <w:rsid w:val="009D7B77"/>
    <w:rsid w:val="009E0BB0"/>
    <w:rsid w:val="009E3FBB"/>
    <w:rsid w:val="009E5A87"/>
    <w:rsid w:val="009F2673"/>
    <w:rsid w:val="009F7353"/>
    <w:rsid w:val="00A04F85"/>
    <w:rsid w:val="00A05FA4"/>
    <w:rsid w:val="00A102E4"/>
    <w:rsid w:val="00A1219C"/>
    <w:rsid w:val="00A12492"/>
    <w:rsid w:val="00A12C42"/>
    <w:rsid w:val="00A14DF7"/>
    <w:rsid w:val="00A22D57"/>
    <w:rsid w:val="00A3246D"/>
    <w:rsid w:val="00A36FA7"/>
    <w:rsid w:val="00A44DDB"/>
    <w:rsid w:val="00A475B7"/>
    <w:rsid w:val="00A47AF7"/>
    <w:rsid w:val="00A47C3E"/>
    <w:rsid w:val="00A50226"/>
    <w:rsid w:val="00A60BAD"/>
    <w:rsid w:val="00A65287"/>
    <w:rsid w:val="00A77F87"/>
    <w:rsid w:val="00A80B5B"/>
    <w:rsid w:val="00A84E36"/>
    <w:rsid w:val="00A865AB"/>
    <w:rsid w:val="00A964D1"/>
    <w:rsid w:val="00A9771D"/>
    <w:rsid w:val="00AA0ED0"/>
    <w:rsid w:val="00AC2B40"/>
    <w:rsid w:val="00AC2BB2"/>
    <w:rsid w:val="00AC2C3C"/>
    <w:rsid w:val="00AC512D"/>
    <w:rsid w:val="00AD0083"/>
    <w:rsid w:val="00AD3935"/>
    <w:rsid w:val="00AD4E03"/>
    <w:rsid w:val="00AE65EB"/>
    <w:rsid w:val="00AE67A7"/>
    <w:rsid w:val="00AF1D94"/>
    <w:rsid w:val="00AF2313"/>
    <w:rsid w:val="00AF60C5"/>
    <w:rsid w:val="00AF78AC"/>
    <w:rsid w:val="00B009C6"/>
    <w:rsid w:val="00B01548"/>
    <w:rsid w:val="00B034F4"/>
    <w:rsid w:val="00B05276"/>
    <w:rsid w:val="00B130C5"/>
    <w:rsid w:val="00B13EBD"/>
    <w:rsid w:val="00B1406F"/>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A351D"/>
    <w:rsid w:val="00BB0B78"/>
    <w:rsid w:val="00BB2871"/>
    <w:rsid w:val="00BB724D"/>
    <w:rsid w:val="00BB75D6"/>
    <w:rsid w:val="00BC622A"/>
    <w:rsid w:val="00BE0A78"/>
    <w:rsid w:val="00BE6542"/>
    <w:rsid w:val="00BE79F0"/>
    <w:rsid w:val="00BF046D"/>
    <w:rsid w:val="00BF1190"/>
    <w:rsid w:val="00BF3774"/>
    <w:rsid w:val="00BF5D04"/>
    <w:rsid w:val="00BF7063"/>
    <w:rsid w:val="00C009AA"/>
    <w:rsid w:val="00C025FE"/>
    <w:rsid w:val="00C07CAA"/>
    <w:rsid w:val="00C1164D"/>
    <w:rsid w:val="00C16861"/>
    <w:rsid w:val="00C34133"/>
    <w:rsid w:val="00C346AB"/>
    <w:rsid w:val="00C404A6"/>
    <w:rsid w:val="00C40A36"/>
    <w:rsid w:val="00C44419"/>
    <w:rsid w:val="00C45E7B"/>
    <w:rsid w:val="00C471B1"/>
    <w:rsid w:val="00C525A2"/>
    <w:rsid w:val="00C52E24"/>
    <w:rsid w:val="00C6316B"/>
    <w:rsid w:val="00C634A9"/>
    <w:rsid w:val="00C63B92"/>
    <w:rsid w:val="00C64586"/>
    <w:rsid w:val="00C65E89"/>
    <w:rsid w:val="00C70A36"/>
    <w:rsid w:val="00C70D53"/>
    <w:rsid w:val="00C71850"/>
    <w:rsid w:val="00C73D0B"/>
    <w:rsid w:val="00C74D2C"/>
    <w:rsid w:val="00C74F5C"/>
    <w:rsid w:val="00C772FF"/>
    <w:rsid w:val="00C80137"/>
    <w:rsid w:val="00C801AF"/>
    <w:rsid w:val="00C80256"/>
    <w:rsid w:val="00C94CD4"/>
    <w:rsid w:val="00C9747E"/>
    <w:rsid w:val="00CB6BC0"/>
    <w:rsid w:val="00CC1B7C"/>
    <w:rsid w:val="00CC5044"/>
    <w:rsid w:val="00CC727F"/>
    <w:rsid w:val="00CE3531"/>
    <w:rsid w:val="00CF15C3"/>
    <w:rsid w:val="00CF2B6F"/>
    <w:rsid w:val="00CF2F3E"/>
    <w:rsid w:val="00CF58B6"/>
    <w:rsid w:val="00CF5DAD"/>
    <w:rsid w:val="00D0062D"/>
    <w:rsid w:val="00D017ED"/>
    <w:rsid w:val="00D040D3"/>
    <w:rsid w:val="00D04C65"/>
    <w:rsid w:val="00D153D8"/>
    <w:rsid w:val="00D201D2"/>
    <w:rsid w:val="00D212F3"/>
    <w:rsid w:val="00D224FE"/>
    <w:rsid w:val="00D23139"/>
    <w:rsid w:val="00D315F1"/>
    <w:rsid w:val="00D425BB"/>
    <w:rsid w:val="00D453FA"/>
    <w:rsid w:val="00D56348"/>
    <w:rsid w:val="00D6493E"/>
    <w:rsid w:val="00D714E1"/>
    <w:rsid w:val="00D7195D"/>
    <w:rsid w:val="00D72CBA"/>
    <w:rsid w:val="00D72CC1"/>
    <w:rsid w:val="00D7301E"/>
    <w:rsid w:val="00D83AE1"/>
    <w:rsid w:val="00D854AC"/>
    <w:rsid w:val="00D855D4"/>
    <w:rsid w:val="00D902C9"/>
    <w:rsid w:val="00D93466"/>
    <w:rsid w:val="00DA1124"/>
    <w:rsid w:val="00DA64CB"/>
    <w:rsid w:val="00DB06B8"/>
    <w:rsid w:val="00DB6124"/>
    <w:rsid w:val="00DB750B"/>
    <w:rsid w:val="00DB75B7"/>
    <w:rsid w:val="00DC0A2F"/>
    <w:rsid w:val="00DC1948"/>
    <w:rsid w:val="00DC6E02"/>
    <w:rsid w:val="00DD28CD"/>
    <w:rsid w:val="00DD4CC6"/>
    <w:rsid w:val="00DE02AE"/>
    <w:rsid w:val="00DE39D1"/>
    <w:rsid w:val="00DF1D7F"/>
    <w:rsid w:val="00DF4356"/>
    <w:rsid w:val="00DF4BE4"/>
    <w:rsid w:val="00DF7C6F"/>
    <w:rsid w:val="00E02382"/>
    <w:rsid w:val="00E02FB4"/>
    <w:rsid w:val="00E12254"/>
    <w:rsid w:val="00E13FC7"/>
    <w:rsid w:val="00E20571"/>
    <w:rsid w:val="00E2351B"/>
    <w:rsid w:val="00E235F7"/>
    <w:rsid w:val="00E23659"/>
    <w:rsid w:val="00E239D4"/>
    <w:rsid w:val="00E246E4"/>
    <w:rsid w:val="00E26130"/>
    <w:rsid w:val="00E26DFF"/>
    <w:rsid w:val="00E33D42"/>
    <w:rsid w:val="00E40B22"/>
    <w:rsid w:val="00E40F53"/>
    <w:rsid w:val="00E434BE"/>
    <w:rsid w:val="00E44ED1"/>
    <w:rsid w:val="00E45619"/>
    <w:rsid w:val="00E4588F"/>
    <w:rsid w:val="00E46DA3"/>
    <w:rsid w:val="00E51BB1"/>
    <w:rsid w:val="00E55CB0"/>
    <w:rsid w:val="00E624A5"/>
    <w:rsid w:val="00E64BA4"/>
    <w:rsid w:val="00E67A7F"/>
    <w:rsid w:val="00E7344E"/>
    <w:rsid w:val="00E82665"/>
    <w:rsid w:val="00EA7218"/>
    <w:rsid w:val="00EB0798"/>
    <w:rsid w:val="00EB36D6"/>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3259"/>
    <w:rsid w:val="00F14B27"/>
    <w:rsid w:val="00F171FC"/>
    <w:rsid w:val="00F3148D"/>
    <w:rsid w:val="00F325C5"/>
    <w:rsid w:val="00F32FE0"/>
    <w:rsid w:val="00F350BD"/>
    <w:rsid w:val="00F35298"/>
    <w:rsid w:val="00F44161"/>
    <w:rsid w:val="00F47333"/>
    <w:rsid w:val="00F47E37"/>
    <w:rsid w:val="00F53C07"/>
    <w:rsid w:val="00F54B65"/>
    <w:rsid w:val="00F63DBF"/>
    <w:rsid w:val="00F640B6"/>
    <w:rsid w:val="00F66DF2"/>
    <w:rsid w:val="00F80E40"/>
    <w:rsid w:val="00F82029"/>
    <w:rsid w:val="00F848D9"/>
    <w:rsid w:val="00F931CE"/>
    <w:rsid w:val="00FA488B"/>
    <w:rsid w:val="00FA4BBA"/>
    <w:rsid w:val="00FA5069"/>
    <w:rsid w:val="00FA5B82"/>
    <w:rsid w:val="00FA639E"/>
    <w:rsid w:val="00FC1FCA"/>
    <w:rsid w:val="00FC25E4"/>
    <w:rsid w:val="00FC4EF7"/>
    <w:rsid w:val="00FC69FB"/>
    <w:rsid w:val="00FD0824"/>
    <w:rsid w:val="00FD119B"/>
    <w:rsid w:val="00FD1EDC"/>
    <w:rsid w:val="00FD21A9"/>
    <w:rsid w:val="00FE1DEE"/>
    <w:rsid w:val="00FE69F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4BBFAE"/>
  <w15:docId w15:val="{0F5955BC-1EB2-473C-9714-ACE12C4A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724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BB287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styleId="ListParagraph">
    <w:name w:val="List Paragraph"/>
    <w:basedOn w:val="Normal"/>
    <w:uiPriority w:val="34"/>
    <w:qFormat/>
    <w:rsid w:val="00B05276"/>
    <w:pPr>
      <w:adjustRightInd w:val="0"/>
      <w:snapToGrid w:val="0"/>
      <w:spacing w:before="180" w:after="180"/>
      <w:ind w:left="720"/>
      <w:contextualSpacing/>
    </w:pPr>
    <w:rPr>
      <w:rFonts w:eastAsia="MS Mincho"/>
      <w:szCs w:val="20"/>
      <w:lang w:eastAsia="ja-JP"/>
    </w:rPr>
  </w:style>
  <w:style w:type="character" w:customStyle="1" w:styleId="StandardChar">
    <w:name w:val="Standard Char"/>
    <w:basedOn w:val="DefaultParagraphFont"/>
    <w:link w:val="Standard"/>
    <w:locked/>
    <w:rsid w:val="00B05276"/>
    <w:rPr>
      <w:rFonts w:ascii="Cambria" w:eastAsia="Times New Roman" w:hAnsi="Cambria" w:cs="Times New Roman"/>
      <w:kern w:val="16"/>
      <w:sz w:val="23"/>
      <w:szCs w:val="24"/>
    </w:rPr>
  </w:style>
  <w:style w:type="paragraph" w:customStyle="1" w:styleId="Standard">
    <w:name w:val="Standard"/>
    <w:basedOn w:val="Normal"/>
    <w:link w:val="StandardChar"/>
    <w:qFormat/>
    <w:rsid w:val="00B05276"/>
    <w:pPr>
      <w:snapToGrid w:val="0"/>
      <w:spacing w:before="0" w:after="220" w:line="252" w:lineRule="auto"/>
    </w:pPr>
    <w:rPr>
      <w:rFonts w:eastAsia="Times New Roman"/>
      <w:kern w:val="16"/>
      <w:sz w:val="23"/>
      <w:szCs w:val="24"/>
    </w:rPr>
  </w:style>
  <w:style w:type="character" w:customStyle="1" w:styleId="BulletlistChar">
    <w:name w:val="Bullet list Char"/>
    <w:basedOn w:val="DefaultParagraphFont"/>
    <w:link w:val="Bulletlist"/>
    <w:locked/>
    <w:rsid w:val="00E246E4"/>
    <w:rPr>
      <w:rFonts w:ascii="Cambria" w:eastAsia="Times New Roman" w:hAnsi="Cambria" w:cs="Times New Roman"/>
      <w:kern w:val="2"/>
      <w:sz w:val="23"/>
    </w:rPr>
  </w:style>
  <w:style w:type="paragraph" w:customStyle="1" w:styleId="Bulletlist">
    <w:name w:val="Bullet list"/>
    <w:basedOn w:val="Normal"/>
    <w:link w:val="BulletlistChar"/>
    <w:qFormat/>
    <w:rsid w:val="00E246E4"/>
    <w:pPr>
      <w:numPr>
        <w:numId w:val="41"/>
      </w:numPr>
      <w:snapToGrid w:val="0"/>
      <w:spacing w:before="0" w:after="180" w:line="252" w:lineRule="auto"/>
      <w:ind w:left="426" w:hanging="284"/>
    </w:pPr>
    <w:rPr>
      <w:rFonts w:eastAsia="Times New Roman"/>
      <w:kern w:val="2"/>
      <w:sz w:val="23"/>
    </w:rPr>
  </w:style>
  <w:style w:type="character" w:customStyle="1" w:styleId="TabletextChar">
    <w:name w:val="Table text Char"/>
    <w:basedOn w:val="DefaultParagraphFont"/>
    <w:link w:val="Tabletext"/>
    <w:locked/>
    <w:rsid w:val="00E246E4"/>
    <w:rPr>
      <w:rFonts w:ascii="Cambria" w:eastAsia="Cambria" w:hAnsi="Cambria" w:cs="Times New Roman"/>
      <w:sz w:val="19"/>
    </w:rPr>
  </w:style>
  <w:style w:type="character" w:customStyle="1" w:styleId="st1">
    <w:name w:val="st1"/>
    <w:basedOn w:val="DefaultParagraphFont"/>
    <w:rsid w:val="0067177E"/>
    <w:rPr>
      <w:b w:val="0"/>
      <w:bCs w:val="0"/>
      <w:color w:val="222222"/>
      <w:sz w:val="27"/>
      <w:szCs w:val="27"/>
    </w:rPr>
  </w:style>
  <w:style w:type="character" w:styleId="Strong">
    <w:name w:val="Strong"/>
    <w:basedOn w:val="DefaultParagraphFont"/>
    <w:uiPriority w:val="22"/>
    <w:qFormat/>
    <w:rsid w:val="004A2B72"/>
    <w:rPr>
      <w:b/>
      <w:bCs/>
    </w:rPr>
  </w:style>
  <w:style w:type="character" w:styleId="UnresolvedMention">
    <w:name w:val="Unresolved Mention"/>
    <w:basedOn w:val="DefaultParagraphFont"/>
    <w:uiPriority w:val="99"/>
    <w:semiHidden/>
    <w:unhideWhenUsed/>
    <w:rsid w:val="00201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9980">
      <w:bodyDiv w:val="1"/>
      <w:marLeft w:val="0"/>
      <w:marRight w:val="0"/>
      <w:marTop w:val="0"/>
      <w:marBottom w:val="0"/>
      <w:divBdr>
        <w:top w:val="none" w:sz="0" w:space="0" w:color="auto"/>
        <w:left w:val="none" w:sz="0" w:space="0" w:color="auto"/>
        <w:bottom w:val="none" w:sz="0" w:space="0" w:color="auto"/>
        <w:right w:val="none" w:sz="0" w:space="0" w:color="auto"/>
      </w:divBdr>
    </w:div>
    <w:div w:id="268511518">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53311317">
      <w:bodyDiv w:val="1"/>
      <w:marLeft w:val="0"/>
      <w:marRight w:val="0"/>
      <w:marTop w:val="0"/>
      <w:marBottom w:val="0"/>
      <w:divBdr>
        <w:top w:val="none" w:sz="0" w:space="0" w:color="auto"/>
        <w:left w:val="none" w:sz="0" w:space="0" w:color="auto"/>
        <w:bottom w:val="none" w:sz="0" w:space="0" w:color="auto"/>
        <w:right w:val="none" w:sz="0" w:space="0" w:color="auto"/>
      </w:divBdr>
    </w:div>
    <w:div w:id="375853205">
      <w:bodyDiv w:val="1"/>
      <w:marLeft w:val="0"/>
      <w:marRight w:val="0"/>
      <w:marTop w:val="0"/>
      <w:marBottom w:val="0"/>
      <w:divBdr>
        <w:top w:val="none" w:sz="0" w:space="0" w:color="auto"/>
        <w:left w:val="none" w:sz="0" w:space="0" w:color="auto"/>
        <w:bottom w:val="none" w:sz="0" w:space="0" w:color="auto"/>
        <w:right w:val="none" w:sz="0" w:space="0" w:color="auto"/>
      </w:divBdr>
    </w:div>
    <w:div w:id="467087209">
      <w:bodyDiv w:val="1"/>
      <w:marLeft w:val="0"/>
      <w:marRight w:val="0"/>
      <w:marTop w:val="0"/>
      <w:marBottom w:val="0"/>
      <w:divBdr>
        <w:top w:val="none" w:sz="0" w:space="0" w:color="auto"/>
        <w:left w:val="none" w:sz="0" w:space="0" w:color="auto"/>
        <w:bottom w:val="none" w:sz="0" w:space="0" w:color="auto"/>
        <w:right w:val="none" w:sz="0" w:space="0" w:color="auto"/>
      </w:divBdr>
    </w:div>
    <w:div w:id="633754558">
      <w:bodyDiv w:val="1"/>
      <w:marLeft w:val="0"/>
      <w:marRight w:val="0"/>
      <w:marTop w:val="0"/>
      <w:marBottom w:val="0"/>
      <w:divBdr>
        <w:top w:val="none" w:sz="0" w:space="0" w:color="auto"/>
        <w:left w:val="none" w:sz="0" w:space="0" w:color="auto"/>
        <w:bottom w:val="none" w:sz="0" w:space="0" w:color="auto"/>
        <w:right w:val="none" w:sz="0" w:space="0" w:color="auto"/>
      </w:divBdr>
    </w:div>
    <w:div w:id="732774339">
      <w:bodyDiv w:val="1"/>
      <w:marLeft w:val="0"/>
      <w:marRight w:val="0"/>
      <w:marTop w:val="0"/>
      <w:marBottom w:val="0"/>
      <w:divBdr>
        <w:top w:val="none" w:sz="0" w:space="0" w:color="auto"/>
        <w:left w:val="none" w:sz="0" w:space="0" w:color="auto"/>
        <w:bottom w:val="none" w:sz="0" w:space="0" w:color="auto"/>
        <w:right w:val="none" w:sz="0" w:space="0" w:color="auto"/>
      </w:divBdr>
    </w:div>
    <w:div w:id="809202473">
      <w:bodyDiv w:val="1"/>
      <w:marLeft w:val="0"/>
      <w:marRight w:val="0"/>
      <w:marTop w:val="0"/>
      <w:marBottom w:val="0"/>
      <w:divBdr>
        <w:top w:val="none" w:sz="0" w:space="0" w:color="auto"/>
        <w:left w:val="none" w:sz="0" w:space="0" w:color="auto"/>
        <w:bottom w:val="none" w:sz="0" w:space="0" w:color="auto"/>
        <w:right w:val="none" w:sz="0" w:space="0" w:color="auto"/>
      </w:divBdr>
    </w:div>
    <w:div w:id="957838984">
      <w:bodyDiv w:val="1"/>
      <w:marLeft w:val="0"/>
      <w:marRight w:val="0"/>
      <w:marTop w:val="0"/>
      <w:marBottom w:val="0"/>
      <w:divBdr>
        <w:top w:val="none" w:sz="0" w:space="0" w:color="auto"/>
        <w:left w:val="none" w:sz="0" w:space="0" w:color="auto"/>
        <w:bottom w:val="none" w:sz="0" w:space="0" w:color="auto"/>
        <w:right w:val="none" w:sz="0" w:space="0" w:color="auto"/>
      </w:divBdr>
    </w:div>
    <w:div w:id="984621958">
      <w:bodyDiv w:val="1"/>
      <w:marLeft w:val="0"/>
      <w:marRight w:val="0"/>
      <w:marTop w:val="0"/>
      <w:marBottom w:val="0"/>
      <w:divBdr>
        <w:top w:val="none" w:sz="0" w:space="0" w:color="auto"/>
        <w:left w:val="none" w:sz="0" w:space="0" w:color="auto"/>
        <w:bottom w:val="none" w:sz="0" w:space="0" w:color="auto"/>
        <w:right w:val="none" w:sz="0" w:space="0" w:color="auto"/>
      </w:divBdr>
    </w:div>
    <w:div w:id="1136263382">
      <w:bodyDiv w:val="1"/>
      <w:marLeft w:val="0"/>
      <w:marRight w:val="0"/>
      <w:marTop w:val="0"/>
      <w:marBottom w:val="0"/>
      <w:divBdr>
        <w:top w:val="none" w:sz="0" w:space="0" w:color="auto"/>
        <w:left w:val="none" w:sz="0" w:space="0" w:color="auto"/>
        <w:bottom w:val="none" w:sz="0" w:space="0" w:color="auto"/>
        <w:right w:val="none" w:sz="0" w:space="0" w:color="auto"/>
      </w:divBdr>
    </w:div>
    <w:div w:id="1264606958">
      <w:bodyDiv w:val="1"/>
      <w:marLeft w:val="0"/>
      <w:marRight w:val="0"/>
      <w:marTop w:val="0"/>
      <w:marBottom w:val="0"/>
      <w:divBdr>
        <w:top w:val="none" w:sz="0" w:space="0" w:color="auto"/>
        <w:left w:val="none" w:sz="0" w:space="0" w:color="auto"/>
        <w:bottom w:val="none" w:sz="0" w:space="0" w:color="auto"/>
        <w:right w:val="none" w:sz="0" w:space="0" w:color="auto"/>
      </w:divBdr>
    </w:div>
    <w:div w:id="1442914760">
      <w:bodyDiv w:val="1"/>
      <w:marLeft w:val="0"/>
      <w:marRight w:val="0"/>
      <w:marTop w:val="0"/>
      <w:marBottom w:val="0"/>
      <w:divBdr>
        <w:top w:val="none" w:sz="0" w:space="0" w:color="auto"/>
        <w:left w:val="none" w:sz="0" w:space="0" w:color="auto"/>
        <w:bottom w:val="none" w:sz="0" w:space="0" w:color="auto"/>
        <w:right w:val="none" w:sz="0" w:space="0" w:color="auto"/>
      </w:divBdr>
    </w:div>
    <w:div w:id="1501002345">
      <w:bodyDiv w:val="1"/>
      <w:marLeft w:val="0"/>
      <w:marRight w:val="0"/>
      <w:marTop w:val="0"/>
      <w:marBottom w:val="0"/>
      <w:divBdr>
        <w:top w:val="none" w:sz="0" w:space="0" w:color="auto"/>
        <w:left w:val="none" w:sz="0" w:space="0" w:color="auto"/>
        <w:bottom w:val="none" w:sz="0" w:space="0" w:color="auto"/>
        <w:right w:val="none" w:sz="0" w:space="0" w:color="auto"/>
      </w:divBdr>
    </w:div>
    <w:div w:id="1543251073">
      <w:bodyDiv w:val="1"/>
      <w:marLeft w:val="0"/>
      <w:marRight w:val="0"/>
      <w:marTop w:val="0"/>
      <w:marBottom w:val="0"/>
      <w:divBdr>
        <w:top w:val="none" w:sz="0" w:space="0" w:color="auto"/>
        <w:left w:val="none" w:sz="0" w:space="0" w:color="auto"/>
        <w:bottom w:val="none" w:sz="0" w:space="0" w:color="auto"/>
        <w:right w:val="none" w:sz="0" w:space="0" w:color="auto"/>
      </w:divBdr>
    </w:div>
    <w:div w:id="1618180106">
      <w:bodyDiv w:val="1"/>
      <w:marLeft w:val="0"/>
      <w:marRight w:val="0"/>
      <w:marTop w:val="0"/>
      <w:marBottom w:val="0"/>
      <w:divBdr>
        <w:top w:val="none" w:sz="0" w:space="0" w:color="auto"/>
        <w:left w:val="none" w:sz="0" w:space="0" w:color="auto"/>
        <w:bottom w:val="none" w:sz="0" w:space="0" w:color="auto"/>
        <w:right w:val="none" w:sz="0" w:space="0" w:color="auto"/>
      </w:divBdr>
    </w:div>
    <w:div w:id="1848520471">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899978876">
      <w:bodyDiv w:val="1"/>
      <w:marLeft w:val="0"/>
      <w:marRight w:val="0"/>
      <w:marTop w:val="0"/>
      <w:marBottom w:val="0"/>
      <w:divBdr>
        <w:top w:val="none" w:sz="0" w:space="0" w:color="auto"/>
        <w:left w:val="none" w:sz="0" w:space="0" w:color="auto"/>
        <w:bottom w:val="none" w:sz="0" w:space="0" w:color="auto"/>
        <w:right w:val="none" w:sz="0" w:space="0" w:color="auto"/>
      </w:divBdr>
    </w:div>
    <w:div w:id="2011327191">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ga.gov.au/committee/advisory-committee-medicines-a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tgas-risk-management-approach" TargetMode="External"/><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ublication/risk-management-plans-medicines-and-biologicals" TargetMode="Externa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tga.gov.au/picmi-search-facility" TargetMode="External"/><Relationship Id="rId23" Type="http://schemas.openxmlformats.org/officeDocument/2006/relationships/header" Target="header3.xml"/><Relationship Id="rId28"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yperlink" Target="https://www.tga.gov.au/picmi-search-facility"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auspar/auspar-acalabrutinib" TargetMode="External"/><Relationship Id="rId2" Type="http://schemas.openxmlformats.org/officeDocument/2006/relationships/hyperlink" Target="https://www.tga.gov.au/auspar/auspar-ibrutinib" TargetMode="External"/><Relationship Id="rId1" Type="http://schemas.openxmlformats.org/officeDocument/2006/relationships/hyperlink" Target="https://www.aihw.gov.au/reports/cancer/cancer-data-in-australia/contents/cancer-incidence-by-age-visualisation" TargetMode="External"/><Relationship Id="rId5" Type="http://schemas.openxmlformats.org/officeDocument/2006/relationships/hyperlink" Target="https://tga.govcms.gov.au/resources/auspar/auspar-brukinsa-0" TargetMode="External"/><Relationship Id="rId4" Type="http://schemas.openxmlformats.org/officeDocument/2006/relationships/hyperlink" Target="https://www.tga.gov.au/auspar/auspar-acalabrutini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3569-3A0A-42B6-A2CC-8AFD1C85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10383</Words>
  <Characters>59189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Australian public assessment report for Brukinsa</vt:lpstr>
    </vt:vector>
  </TitlesOfParts>
  <Company>Department of Health and Aged care, Therapeutic Goods Administration</Company>
  <LinksUpToDate>false</LinksUpToDate>
  <CharactersWithSpaces>69434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Brukinsa</dc:title>
  <dc:subject>prescription medicines</dc:subject>
  <dc:creator>Therapeutic Goods Administration</dc:creator>
  <cp:keywords/>
  <cp:lastModifiedBy>LACK, Janet</cp:lastModifiedBy>
  <cp:revision>6</cp:revision>
  <cp:lastPrinted>2019-08-14T04:30:00Z</cp:lastPrinted>
  <dcterms:created xsi:type="dcterms:W3CDTF">2022-08-17T04:15:00Z</dcterms:created>
  <dcterms:modified xsi:type="dcterms:W3CDTF">2022-08-21T00:40:00Z</dcterms:modified>
  <cp:category/>
</cp:coreProperties>
</file>