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1B62FE" w14:paraId="6BE75833" w14:textId="77777777" w:rsidTr="002B29B2">
        <w:tc>
          <w:tcPr>
            <w:tcW w:w="8720" w:type="dxa"/>
          </w:tcPr>
          <w:p w14:paraId="0A37F047" w14:textId="165DB976" w:rsidR="00F02AEC" w:rsidRPr="001B62FE" w:rsidRDefault="007F537B" w:rsidP="002B29B2">
            <w:pPr>
              <w:pStyle w:val="Title"/>
              <w:rPr>
                <w:rFonts w:cs="Arial"/>
              </w:rPr>
            </w:pPr>
            <w:r w:rsidRPr="001B62FE">
              <w:rPr>
                <w:rFonts w:cs="Arial"/>
              </w:rPr>
              <w:t>Active medical devices</w:t>
            </w:r>
          </w:p>
          <w:p w14:paraId="43C4B1D7" w14:textId="7FE52EAE" w:rsidR="007F537B" w:rsidRPr="001B62FE" w:rsidRDefault="007F537B" w:rsidP="00F13AFD">
            <w:pPr>
              <w:pStyle w:val="Subtitle"/>
              <w:ind w:left="0"/>
              <w:rPr>
                <w:rFonts w:cs="Arial"/>
              </w:rPr>
            </w:pPr>
            <w:r w:rsidRPr="001B62FE">
              <w:rPr>
                <w:rFonts w:cs="Arial"/>
              </w:rPr>
              <w:t>Introduction and overview of requirements</w:t>
            </w:r>
          </w:p>
        </w:tc>
      </w:tr>
      <w:tr w:rsidR="00F02AEC" w:rsidRPr="001B62FE" w14:paraId="2B6388B9" w14:textId="77777777" w:rsidTr="002B29B2">
        <w:trPr>
          <w:trHeight w:val="1916"/>
        </w:trPr>
        <w:tc>
          <w:tcPr>
            <w:tcW w:w="8720" w:type="dxa"/>
          </w:tcPr>
          <w:p w14:paraId="252F873A" w14:textId="0A09A220" w:rsidR="00F02AEC" w:rsidRPr="001B62FE" w:rsidRDefault="00F02AEC" w:rsidP="002B29B2">
            <w:pPr>
              <w:pStyle w:val="Subtitle"/>
              <w:ind w:left="0"/>
              <w:rPr>
                <w:rFonts w:cs="Arial"/>
              </w:rPr>
            </w:pPr>
          </w:p>
        </w:tc>
      </w:tr>
      <w:tr w:rsidR="00F02AEC" w:rsidRPr="001B62FE" w14:paraId="02207910" w14:textId="77777777" w:rsidTr="002B29B2">
        <w:tc>
          <w:tcPr>
            <w:tcW w:w="8720" w:type="dxa"/>
          </w:tcPr>
          <w:p w14:paraId="2480F414" w14:textId="7E3E9F21" w:rsidR="00F02AEC" w:rsidRPr="001B62FE" w:rsidRDefault="00F02AEC" w:rsidP="00F54CA9">
            <w:pPr>
              <w:pStyle w:val="Date"/>
              <w:rPr>
                <w:rFonts w:cs="Arial"/>
              </w:rPr>
            </w:pPr>
            <w:r w:rsidRPr="001B62FE">
              <w:rPr>
                <w:rFonts w:cs="Arial"/>
              </w:rPr>
              <w:t xml:space="preserve">Version </w:t>
            </w:r>
            <w:r w:rsidR="007F537B" w:rsidRPr="001B62FE">
              <w:rPr>
                <w:rFonts w:cs="Arial"/>
              </w:rPr>
              <w:t>1</w:t>
            </w:r>
            <w:r w:rsidRPr="001B62FE">
              <w:rPr>
                <w:rFonts w:cs="Arial"/>
              </w:rPr>
              <w:t>.</w:t>
            </w:r>
            <w:r w:rsidR="001B62FE" w:rsidRPr="001B62FE">
              <w:rPr>
                <w:rFonts w:cs="Arial"/>
              </w:rPr>
              <w:t>1</w:t>
            </w:r>
            <w:r w:rsidRPr="001B62FE">
              <w:rPr>
                <w:rFonts w:cs="Arial"/>
              </w:rPr>
              <w:t xml:space="preserve">, </w:t>
            </w:r>
            <w:r w:rsidR="001B62FE" w:rsidRPr="001B62FE">
              <w:rPr>
                <w:rFonts w:cs="Arial"/>
              </w:rPr>
              <w:t>August 2023</w:t>
            </w:r>
          </w:p>
        </w:tc>
      </w:tr>
    </w:tbl>
    <w:p w14:paraId="32D10D77" w14:textId="77777777" w:rsidR="00F02AEC" w:rsidRPr="001B62FE" w:rsidRDefault="00F02AEC" w:rsidP="00B24FF5">
      <w:pPr>
        <w:pStyle w:val="ListBullet"/>
        <w:numPr>
          <w:ilvl w:val="0"/>
          <w:numId w:val="0"/>
        </w:numPr>
        <w:rPr>
          <w:rFonts w:cs="Arial"/>
        </w:rPr>
        <w:sectPr w:rsidR="00F02AEC" w:rsidRPr="001B62FE" w:rsidSect="00CB0550">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14:paraId="18FE5FFB" w14:textId="77777777" w:rsidR="00F02AEC" w:rsidRPr="001B62FE" w:rsidRDefault="00F02AEC" w:rsidP="00BA0DFC">
      <w:pPr>
        <w:pStyle w:val="LegalSubheading"/>
        <w:rPr>
          <w:rFonts w:cs="Arial"/>
        </w:rPr>
      </w:pPr>
      <w:r w:rsidRPr="001B62FE">
        <w:rPr>
          <w:rFonts w:cs="Arial"/>
        </w:rPr>
        <w:lastRenderedPageBreak/>
        <w:t>Copyright</w:t>
      </w:r>
    </w:p>
    <w:p w14:paraId="71B4F12E" w14:textId="1846A70D" w:rsidR="00930D58" w:rsidRPr="001B62FE" w:rsidRDefault="00F02AEC" w:rsidP="00FA49C3">
      <w:pPr>
        <w:pStyle w:val="LegalCopy"/>
        <w:rPr>
          <w:rFonts w:cs="Arial"/>
        </w:rPr>
      </w:pPr>
      <w:r w:rsidRPr="001B62FE">
        <w:rPr>
          <w:rFonts w:cs="Arial"/>
        </w:rPr>
        <w:t xml:space="preserve">© Commonwealth of Australia </w:t>
      </w:r>
      <w:r w:rsidR="0062593A" w:rsidRPr="001B62FE">
        <w:rPr>
          <w:rFonts w:cs="Arial"/>
        </w:rPr>
        <w:t>2023</w:t>
      </w:r>
      <w:r w:rsidRPr="001B62FE">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B62FE">
        <w:rPr>
          <w:rFonts w:cs="Arial"/>
          <w:i/>
        </w:rPr>
        <w:t>Copyright Act 1968</w:t>
      </w:r>
      <w:r w:rsidRPr="001B62FE">
        <w:rPr>
          <w:rFonts w:cs="Arial"/>
        </w:rPr>
        <w:t xml:space="preserve"> or allowed by this copyright notice, all other rights are </w:t>
      </w:r>
      <w:proofErr w:type="gramStart"/>
      <w:r w:rsidRPr="001B62FE">
        <w:rPr>
          <w:rFonts w:cs="Arial"/>
        </w:rPr>
        <w:t>reserved</w:t>
      </w:r>
      <w:proofErr w:type="gramEnd"/>
      <w:r w:rsidRPr="001B62FE">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B62FE">
          <w:rPr>
            <w:rStyle w:val="Hyperlink"/>
            <w:rFonts w:cs="Arial"/>
          </w:rPr>
          <w:t>tga.copyright@tga.gov.au</w:t>
        </w:r>
      </w:hyperlink>
      <w:r w:rsidRPr="001B62FE">
        <w:rPr>
          <w:rFonts w:cs="Arial"/>
        </w:rPr>
        <w:t>&gt;.</w:t>
      </w:r>
    </w:p>
    <w:p w14:paraId="4595591D" w14:textId="77777777" w:rsidR="00175CD8" w:rsidRPr="001B62FE" w:rsidRDefault="00175CD8" w:rsidP="00175CD8">
      <w:pPr>
        <w:rPr>
          <w:rFonts w:ascii="Arial" w:hAnsi="Arial" w:cs="Arial"/>
        </w:rPr>
      </w:pPr>
    </w:p>
    <w:sdt>
      <w:sdtPr>
        <w:rPr>
          <w:rFonts w:asciiTheme="minorHAnsi" w:eastAsiaTheme="minorHAnsi" w:hAnsiTheme="minorHAnsi" w:cs="Arial"/>
          <w:b w:val="0"/>
          <w:color w:val="auto"/>
          <w:sz w:val="22"/>
          <w:szCs w:val="22"/>
        </w:rPr>
        <w:id w:val="21514769"/>
        <w:docPartObj>
          <w:docPartGallery w:val="Table of Contents"/>
          <w:docPartUnique/>
        </w:docPartObj>
      </w:sdtPr>
      <w:sdtEndPr>
        <w:rPr>
          <w:sz w:val="20"/>
          <w:szCs w:val="20"/>
        </w:rPr>
      </w:sdtEndPr>
      <w:sdtContent>
        <w:p w14:paraId="0D887A7D" w14:textId="77777777" w:rsidR="00F02AEC" w:rsidRPr="001B62FE" w:rsidRDefault="00F02AEC" w:rsidP="00035110">
          <w:pPr>
            <w:pStyle w:val="NonTOCheading2"/>
            <w:rPr>
              <w:rFonts w:cs="Arial"/>
            </w:rPr>
          </w:pPr>
          <w:r w:rsidRPr="001B62FE">
            <w:rPr>
              <w:rFonts w:cs="Arial"/>
            </w:rPr>
            <w:t>Contents</w:t>
          </w:r>
        </w:p>
        <w:p w14:paraId="4F7F0B29" w14:textId="5908D394" w:rsidR="001B62FE" w:rsidRDefault="00F02AEC">
          <w:pPr>
            <w:pStyle w:val="TOC1"/>
            <w:rPr>
              <w:rFonts w:asciiTheme="minorHAnsi" w:eastAsiaTheme="minorEastAsia" w:hAnsiTheme="minorHAnsi" w:cstheme="minorBidi"/>
              <w:b w:val="0"/>
              <w:noProof/>
              <w:color w:val="auto"/>
              <w:sz w:val="22"/>
              <w:szCs w:val="22"/>
              <w:lang w:eastAsia="en-AU"/>
            </w:rPr>
          </w:pPr>
          <w:r w:rsidRPr="001B62FE">
            <w:rPr>
              <w:rFonts w:cs="Arial"/>
            </w:rPr>
            <w:fldChar w:fldCharType="begin"/>
          </w:r>
          <w:r w:rsidRPr="001B62FE">
            <w:rPr>
              <w:rFonts w:cs="Arial"/>
            </w:rPr>
            <w:instrText xml:space="preserve"> TOC \h \z \u \t "Heading 2,1,Heading 3,2,Heading 4,3" </w:instrText>
          </w:r>
          <w:r w:rsidRPr="001B62FE">
            <w:rPr>
              <w:rFonts w:cs="Arial"/>
            </w:rPr>
            <w:fldChar w:fldCharType="separate"/>
          </w:r>
          <w:hyperlink w:anchor="_Toc142057553" w:history="1">
            <w:r w:rsidR="001B62FE" w:rsidRPr="00E403F7">
              <w:rPr>
                <w:rStyle w:val="Hyperlink"/>
                <w:rFonts w:cs="Arial"/>
                <w:noProof/>
              </w:rPr>
              <w:t>About</w:t>
            </w:r>
            <w:r w:rsidR="001B62FE">
              <w:rPr>
                <w:noProof/>
                <w:webHidden/>
              </w:rPr>
              <w:tab/>
            </w:r>
            <w:r w:rsidR="001B62FE">
              <w:rPr>
                <w:noProof/>
                <w:webHidden/>
              </w:rPr>
              <w:fldChar w:fldCharType="begin"/>
            </w:r>
            <w:r w:rsidR="001B62FE">
              <w:rPr>
                <w:noProof/>
                <w:webHidden/>
              </w:rPr>
              <w:instrText xml:space="preserve"> PAGEREF _Toc142057553 \h </w:instrText>
            </w:r>
            <w:r w:rsidR="001B62FE">
              <w:rPr>
                <w:noProof/>
                <w:webHidden/>
              </w:rPr>
            </w:r>
            <w:r w:rsidR="001B62FE">
              <w:rPr>
                <w:noProof/>
                <w:webHidden/>
              </w:rPr>
              <w:fldChar w:fldCharType="separate"/>
            </w:r>
            <w:r w:rsidR="001B62FE">
              <w:rPr>
                <w:noProof/>
                <w:webHidden/>
              </w:rPr>
              <w:t>4</w:t>
            </w:r>
            <w:r w:rsidR="001B62FE">
              <w:rPr>
                <w:noProof/>
                <w:webHidden/>
              </w:rPr>
              <w:fldChar w:fldCharType="end"/>
            </w:r>
          </w:hyperlink>
        </w:p>
        <w:p w14:paraId="57DBF929" w14:textId="55B8126B" w:rsidR="001B62FE" w:rsidRDefault="00B74324">
          <w:pPr>
            <w:pStyle w:val="TOC1"/>
            <w:rPr>
              <w:rFonts w:asciiTheme="minorHAnsi" w:eastAsiaTheme="minorEastAsia" w:hAnsiTheme="minorHAnsi" w:cstheme="minorBidi"/>
              <w:b w:val="0"/>
              <w:noProof/>
              <w:color w:val="auto"/>
              <w:sz w:val="22"/>
              <w:szCs w:val="22"/>
              <w:lang w:eastAsia="en-AU"/>
            </w:rPr>
          </w:pPr>
          <w:hyperlink w:anchor="_Toc142057554" w:history="1">
            <w:r w:rsidR="001B62FE" w:rsidRPr="00E403F7">
              <w:rPr>
                <w:rStyle w:val="Hyperlink"/>
                <w:rFonts w:cs="Arial"/>
                <w:noProof/>
              </w:rPr>
              <w:t>Introduction</w:t>
            </w:r>
            <w:r w:rsidR="001B62FE">
              <w:rPr>
                <w:noProof/>
                <w:webHidden/>
              </w:rPr>
              <w:tab/>
            </w:r>
            <w:r w:rsidR="001B62FE">
              <w:rPr>
                <w:noProof/>
                <w:webHidden/>
              </w:rPr>
              <w:fldChar w:fldCharType="begin"/>
            </w:r>
            <w:r w:rsidR="001B62FE">
              <w:rPr>
                <w:noProof/>
                <w:webHidden/>
              </w:rPr>
              <w:instrText xml:space="preserve"> PAGEREF _Toc142057554 \h </w:instrText>
            </w:r>
            <w:r w:rsidR="001B62FE">
              <w:rPr>
                <w:noProof/>
                <w:webHidden/>
              </w:rPr>
            </w:r>
            <w:r w:rsidR="001B62FE">
              <w:rPr>
                <w:noProof/>
                <w:webHidden/>
              </w:rPr>
              <w:fldChar w:fldCharType="separate"/>
            </w:r>
            <w:r w:rsidR="001B62FE">
              <w:rPr>
                <w:noProof/>
                <w:webHidden/>
              </w:rPr>
              <w:t>4</w:t>
            </w:r>
            <w:r w:rsidR="001B62FE">
              <w:rPr>
                <w:noProof/>
                <w:webHidden/>
              </w:rPr>
              <w:fldChar w:fldCharType="end"/>
            </w:r>
          </w:hyperlink>
        </w:p>
        <w:p w14:paraId="2CF28EDC" w14:textId="64853666" w:rsidR="001B62FE" w:rsidRDefault="00B74324">
          <w:pPr>
            <w:pStyle w:val="TOC2"/>
            <w:rPr>
              <w:rFonts w:asciiTheme="minorHAnsi" w:eastAsiaTheme="minorEastAsia" w:hAnsiTheme="minorHAnsi" w:cstheme="minorBidi"/>
              <w:b w:val="0"/>
              <w:noProof/>
              <w:color w:val="auto"/>
              <w:sz w:val="22"/>
              <w:szCs w:val="22"/>
              <w:lang w:eastAsia="en-AU"/>
            </w:rPr>
          </w:pPr>
          <w:hyperlink w:anchor="_Toc142057555" w:history="1">
            <w:r w:rsidR="001B62FE" w:rsidRPr="00E403F7">
              <w:rPr>
                <w:rStyle w:val="Hyperlink"/>
                <w:rFonts w:cs="Arial"/>
                <w:noProof/>
              </w:rPr>
              <w:t>Active medical devices</w:t>
            </w:r>
            <w:r w:rsidR="001B62FE">
              <w:rPr>
                <w:noProof/>
                <w:webHidden/>
              </w:rPr>
              <w:tab/>
            </w:r>
            <w:r w:rsidR="001B62FE">
              <w:rPr>
                <w:noProof/>
                <w:webHidden/>
              </w:rPr>
              <w:fldChar w:fldCharType="begin"/>
            </w:r>
            <w:r w:rsidR="001B62FE">
              <w:rPr>
                <w:noProof/>
                <w:webHidden/>
              </w:rPr>
              <w:instrText xml:space="preserve"> PAGEREF _Toc142057555 \h </w:instrText>
            </w:r>
            <w:r w:rsidR="001B62FE">
              <w:rPr>
                <w:noProof/>
                <w:webHidden/>
              </w:rPr>
            </w:r>
            <w:r w:rsidR="001B62FE">
              <w:rPr>
                <w:noProof/>
                <w:webHidden/>
              </w:rPr>
              <w:fldChar w:fldCharType="separate"/>
            </w:r>
            <w:r w:rsidR="001B62FE">
              <w:rPr>
                <w:noProof/>
                <w:webHidden/>
              </w:rPr>
              <w:t>4</w:t>
            </w:r>
            <w:r w:rsidR="001B62FE">
              <w:rPr>
                <w:noProof/>
                <w:webHidden/>
              </w:rPr>
              <w:fldChar w:fldCharType="end"/>
            </w:r>
          </w:hyperlink>
        </w:p>
        <w:p w14:paraId="705F5626" w14:textId="5310E56B" w:rsidR="001B62FE" w:rsidRDefault="00B74324">
          <w:pPr>
            <w:pStyle w:val="TOC2"/>
            <w:rPr>
              <w:rFonts w:asciiTheme="minorHAnsi" w:eastAsiaTheme="minorEastAsia" w:hAnsiTheme="minorHAnsi" w:cstheme="minorBidi"/>
              <w:b w:val="0"/>
              <w:noProof/>
              <w:color w:val="auto"/>
              <w:sz w:val="22"/>
              <w:szCs w:val="22"/>
              <w:lang w:eastAsia="en-AU"/>
            </w:rPr>
          </w:pPr>
          <w:hyperlink w:anchor="_Toc142057556" w:history="1">
            <w:r w:rsidR="001B62FE" w:rsidRPr="00E403F7">
              <w:rPr>
                <w:rStyle w:val="Hyperlink"/>
                <w:rFonts w:cs="Arial"/>
                <w:noProof/>
              </w:rPr>
              <w:t>Energy-using devices that are not active</w:t>
            </w:r>
            <w:r w:rsidR="001B62FE">
              <w:rPr>
                <w:noProof/>
                <w:webHidden/>
              </w:rPr>
              <w:tab/>
            </w:r>
            <w:r w:rsidR="001B62FE">
              <w:rPr>
                <w:noProof/>
                <w:webHidden/>
              </w:rPr>
              <w:fldChar w:fldCharType="begin"/>
            </w:r>
            <w:r w:rsidR="001B62FE">
              <w:rPr>
                <w:noProof/>
                <w:webHidden/>
              </w:rPr>
              <w:instrText xml:space="preserve"> PAGEREF _Toc142057556 \h </w:instrText>
            </w:r>
            <w:r w:rsidR="001B62FE">
              <w:rPr>
                <w:noProof/>
                <w:webHidden/>
              </w:rPr>
            </w:r>
            <w:r w:rsidR="001B62FE">
              <w:rPr>
                <w:noProof/>
                <w:webHidden/>
              </w:rPr>
              <w:fldChar w:fldCharType="separate"/>
            </w:r>
            <w:r w:rsidR="001B62FE">
              <w:rPr>
                <w:noProof/>
                <w:webHidden/>
              </w:rPr>
              <w:t>5</w:t>
            </w:r>
            <w:r w:rsidR="001B62FE">
              <w:rPr>
                <w:noProof/>
                <w:webHidden/>
              </w:rPr>
              <w:fldChar w:fldCharType="end"/>
            </w:r>
          </w:hyperlink>
        </w:p>
        <w:p w14:paraId="1478F3E8" w14:textId="50F5CC69" w:rsidR="001B62FE" w:rsidRDefault="00B74324">
          <w:pPr>
            <w:pStyle w:val="TOC1"/>
            <w:rPr>
              <w:rFonts w:asciiTheme="minorHAnsi" w:eastAsiaTheme="minorEastAsia" w:hAnsiTheme="minorHAnsi" w:cstheme="minorBidi"/>
              <w:b w:val="0"/>
              <w:noProof/>
              <w:color w:val="auto"/>
              <w:sz w:val="22"/>
              <w:szCs w:val="22"/>
              <w:lang w:eastAsia="en-AU"/>
            </w:rPr>
          </w:pPr>
          <w:hyperlink w:anchor="_Toc142057557" w:history="1">
            <w:r w:rsidR="001B62FE" w:rsidRPr="00E403F7">
              <w:rPr>
                <w:rStyle w:val="Hyperlink"/>
                <w:rFonts w:cs="Arial"/>
                <w:noProof/>
              </w:rPr>
              <w:t>Summary of active medical device requirements</w:t>
            </w:r>
            <w:r w:rsidR="001B62FE">
              <w:rPr>
                <w:noProof/>
                <w:webHidden/>
              </w:rPr>
              <w:tab/>
            </w:r>
            <w:r w:rsidR="001B62FE">
              <w:rPr>
                <w:noProof/>
                <w:webHidden/>
              </w:rPr>
              <w:fldChar w:fldCharType="begin"/>
            </w:r>
            <w:r w:rsidR="001B62FE">
              <w:rPr>
                <w:noProof/>
                <w:webHidden/>
              </w:rPr>
              <w:instrText xml:space="preserve"> PAGEREF _Toc142057557 \h </w:instrText>
            </w:r>
            <w:r w:rsidR="001B62FE">
              <w:rPr>
                <w:noProof/>
                <w:webHidden/>
              </w:rPr>
            </w:r>
            <w:r w:rsidR="001B62FE">
              <w:rPr>
                <w:noProof/>
                <w:webHidden/>
              </w:rPr>
              <w:fldChar w:fldCharType="separate"/>
            </w:r>
            <w:r w:rsidR="001B62FE">
              <w:rPr>
                <w:noProof/>
                <w:webHidden/>
              </w:rPr>
              <w:t>5</w:t>
            </w:r>
            <w:r w:rsidR="001B62FE">
              <w:rPr>
                <w:noProof/>
                <w:webHidden/>
              </w:rPr>
              <w:fldChar w:fldCharType="end"/>
            </w:r>
          </w:hyperlink>
        </w:p>
        <w:p w14:paraId="7F31C7BF" w14:textId="7FD41337" w:rsidR="001B62FE" w:rsidRDefault="00B74324">
          <w:pPr>
            <w:pStyle w:val="TOC1"/>
            <w:rPr>
              <w:rFonts w:asciiTheme="minorHAnsi" w:eastAsiaTheme="minorEastAsia" w:hAnsiTheme="minorHAnsi" w:cstheme="minorBidi"/>
              <w:b w:val="0"/>
              <w:noProof/>
              <w:color w:val="auto"/>
              <w:sz w:val="22"/>
              <w:szCs w:val="22"/>
              <w:lang w:eastAsia="en-AU"/>
            </w:rPr>
          </w:pPr>
          <w:hyperlink w:anchor="_Toc142057558" w:history="1">
            <w:r w:rsidR="001B62FE" w:rsidRPr="00E403F7">
              <w:rPr>
                <w:rStyle w:val="Hyperlink"/>
                <w:rFonts w:cs="Arial"/>
                <w:noProof/>
              </w:rPr>
              <w:t>Different forms of energy</w:t>
            </w:r>
            <w:r w:rsidR="001B62FE">
              <w:rPr>
                <w:noProof/>
                <w:webHidden/>
              </w:rPr>
              <w:tab/>
            </w:r>
            <w:r w:rsidR="001B62FE">
              <w:rPr>
                <w:noProof/>
                <w:webHidden/>
              </w:rPr>
              <w:fldChar w:fldCharType="begin"/>
            </w:r>
            <w:r w:rsidR="001B62FE">
              <w:rPr>
                <w:noProof/>
                <w:webHidden/>
              </w:rPr>
              <w:instrText xml:space="preserve"> PAGEREF _Toc142057558 \h </w:instrText>
            </w:r>
            <w:r w:rsidR="001B62FE">
              <w:rPr>
                <w:noProof/>
                <w:webHidden/>
              </w:rPr>
            </w:r>
            <w:r w:rsidR="001B62FE">
              <w:rPr>
                <w:noProof/>
                <w:webHidden/>
              </w:rPr>
              <w:fldChar w:fldCharType="separate"/>
            </w:r>
            <w:r w:rsidR="001B62FE">
              <w:rPr>
                <w:noProof/>
                <w:webHidden/>
              </w:rPr>
              <w:t>6</w:t>
            </w:r>
            <w:r w:rsidR="001B62FE">
              <w:rPr>
                <w:noProof/>
                <w:webHidden/>
              </w:rPr>
              <w:fldChar w:fldCharType="end"/>
            </w:r>
          </w:hyperlink>
        </w:p>
        <w:p w14:paraId="33C8DAA1" w14:textId="3F599D3D" w:rsidR="001B62FE" w:rsidRDefault="00B74324">
          <w:pPr>
            <w:pStyle w:val="TOC1"/>
            <w:rPr>
              <w:rFonts w:asciiTheme="minorHAnsi" w:eastAsiaTheme="minorEastAsia" w:hAnsiTheme="minorHAnsi" w:cstheme="minorBidi"/>
              <w:b w:val="0"/>
              <w:noProof/>
              <w:color w:val="auto"/>
              <w:sz w:val="22"/>
              <w:szCs w:val="22"/>
              <w:lang w:eastAsia="en-AU"/>
            </w:rPr>
          </w:pPr>
          <w:hyperlink w:anchor="_Toc142057559" w:history="1">
            <w:r w:rsidR="001B62FE" w:rsidRPr="00E403F7">
              <w:rPr>
                <w:rStyle w:val="Hyperlink"/>
                <w:rFonts w:cs="Arial"/>
                <w:noProof/>
              </w:rPr>
              <w:t>Electromedical safety standards</w:t>
            </w:r>
            <w:r w:rsidR="001B62FE">
              <w:rPr>
                <w:noProof/>
                <w:webHidden/>
              </w:rPr>
              <w:tab/>
            </w:r>
            <w:r w:rsidR="001B62FE">
              <w:rPr>
                <w:noProof/>
                <w:webHidden/>
              </w:rPr>
              <w:fldChar w:fldCharType="begin"/>
            </w:r>
            <w:r w:rsidR="001B62FE">
              <w:rPr>
                <w:noProof/>
                <w:webHidden/>
              </w:rPr>
              <w:instrText xml:space="preserve"> PAGEREF _Toc142057559 \h </w:instrText>
            </w:r>
            <w:r w:rsidR="001B62FE">
              <w:rPr>
                <w:noProof/>
                <w:webHidden/>
              </w:rPr>
            </w:r>
            <w:r w:rsidR="001B62FE">
              <w:rPr>
                <w:noProof/>
                <w:webHidden/>
              </w:rPr>
              <w:fldChar w:fldCharType="separate"/>
            </w:r>
            <w:r w:rsidR="001B62FE">
              <w:rPr>
                <w:noProof/>
                <w:webHidden/>
              </w:rPr>
              <w:t>8</w:t>
            </w:r>
            <w:r w:rsidR="001B62FE">
              <w:rPr>
                <w:noProof/>
                <w:webHidden/>
              </w:rPr>
              <w:fldChar w:fldCharType="end"/>
            </w:r>
          </w:hyperlink>
        </w:p>
        <w:p w14:paraId="3B783039" w14:textId="161E3A35" w:rsidR="001B62FE" w:rsidRDefault="00B74324">
          <w:pPr>
            <w:pStyle w:val="TOC2"/>
            <w:rPr>
              <w:rFonts w:asciiTheme="minorHAnsi" w:eastAsiaTheme="minorEastAsia" w:hAnsiTheme="minorHAnsi" w:cstheme="minorBidi"/>
              <w:b w:val="0"/>
              <w:noProof/>
              <w:color w:val="auto"/>
              <w:sz w:val="22"/>
              <w:szCs w:val="22"/>
              <w:lang w:eastAsia="en-AU"/>
            </w:rPr>
          </w:pPr>
          <w:hyperlink w:anchor="_Toc142057560" w:history="1">
            <w:r w:rsidR="001B62FE" w:rsidRPr="00E403F7">
              <w:rPr>
                <w:rStyle w:val="Hyperlink"/>
                <w:rFonts w:cs="Arial"/>
                <w:noProof/>
              </w:rPr>
              <w:t>Guidance for manufacturers</w:t>
            </w:r>
            <w:r w:rsidR="001B62FE">
              <w:rPr>
                <w:noProof/>
                <w:webHidden/>
              </w:rPr>
              <w:tab/>
            </w:r>
            <w:r w:rsidR="001B62FE">
              <w:rPr>
                <w:noProof/>
                <w:webHidden/>
              </w:rPr>
              <w:fldChar w:fldCharType="begin"/>
            </w:r>
            <w:r w:rsidR="001B62FE">
              <w:rPr>
                <w:noProof/>
                <w:webHidden/>
              </w:rPr>
              <w:instrText xml:space="preserve"> PAGEREF _Toc142057560 \h </w:instrText>
            </w:r>
            <w:r w:rsidR="001B62FE">
              <w:rPr>
                <w:noProof/>
                <w:webHidden/>
              </w:rPr>
            </w:r>
            <w:r w:rsidR="001B62FE">
              <w:rPr>
                <w:noProof/>
                <w:webHidden/>
              </w:rPr>
              <w:fldChar w:fldCharType="separate"/>
            </w:r>
            <w:r w:rsidR="001B62FE">
              <w:rPr>
                <w:noProof/>
                <w:webHidden/>
              </w:rPr>
              <w:t>8</w:t>
            </w:r>
            <w:r w:rsidR="001B62FE">
              <w:rPr>
                <w:noProof/>
                <w:webHidden/>
              </w:rPr>
              <w:fldChar w:fldCharType="end"/>
            </w:r>
          </w:hyperlink>
        </w:p>
        <w:p w14:paraId="0CDEDD77" w14:textId="2771E848" w:rsidR="001B62FE" w:rsidRDefault="00B74324">
          <w:pPr>
            <w:pStyle w:val="TOC2"/>
            <w:rPr>
              <w:rFonts w:asciiTheme="minorHAnsi" w:eastAsiaTheme="minorEastAsia" w:hAnsiTheme="minorHAnsi" w:cstheme="minorBidi"/>
              <w:b w:val="0"/>
              <w:noProof/>
              <w:color w:val="auto"/>
              <w:sz w:val="22"/>
              <w:szCs w:val="22"/>
              <w:lang w:eastAsia="en-AU"/>
            </w:rPr>
          </w:pPr>
          <w:hyperlink w:anchor="_Toc142057561" w:history="1">
            <w:r w:rsidR="001B62FE" w:rsidRPr="00E403F7">
              <w:rPr>
                <w:rStyle w:val="Hyperlink"/>
                <w:rFonts w:cs="Arial"/>
                <w:noProof/>
              </w:rPr>
              <w:t>Medical devices that connect to the public mains electricity supply</w:t>
            </w:r>
            <w:r w:rsidR="001B62FE">
              <w:rPr>
                <w:noProof/>
                <w:webHidden/>
              </w:rPr>
              <w:tab/>
            </w:r>
            <w:r w:rsidR="001B62FE">
              <w:rPr>
                <w:noProof/>
                <w:webHidden/>
              </w:rPr>
              <w:fldChar w:fldCharType="begin"/>
            </w:r>
            <w:r w:rsidR="001B62FE">
              <w:rPr>
                <w:noProof/>
                <w:webHidden/>
              </w:rPr>
              <w:instrText xml:space="preserve"> PAGEREF _Toc142057561 \h </w:instrText>
            </w:r>
            <w:r w:rsidR="001B62FE">
              <w:rPr>
                <w:noProof/>
                <w:webHidden/>
              </w:rPr>
            </w:r>
            <w:r w:rsidR="001B62FE">
              <w:rPr>
                <w:noProof/>
                <w:webHidden/>
              </w:rPr>
              <w:fldChar w:fldCharType="separate"/>
            </w:r>
            <w:r w:rsidR="001B62FE">
              <w:rPr>
                <w:noProof/>
                <w:webHidden/>
              </w:rPr>
              <w:t>9</w:t>
            </w:r>
            <w:r w:rsidR="001B62FE">
              <w:rPr>
                <w:noProof/>
                <w:webHidden/>
              </w:rPr>
              <w:fldChar w:fldCharType="end"/>
            </w:r>
          </w:hyperlink>
        </w:p>
        <w:p w14:paraId="5CE2E124" w14:textId="6DE0B82A" w:rsidR="001B62FE" w:rsidRDefault="00B74324">
          <w:pPr>
            <w:pStyle w:val="TOC2"/>
            <w:rPr>
              <w:rFonts w:asciiTheme="minorHAnsi" w:eastAsiaTheme="minorEastAsia" w:hAnsiTheme="minorHAnsi" w:cstheme="minorBidi"/>
              <w:b w:val="0"/>
              <w:noProof/>
              <w:color w:val="auto"/>
              <w:sz w:val="22"/>
              <w:szCs w:val="22"/>
              <w:lang w:eastAsia="en-AU"/>
            </w:rPr>
          </w:pPr>
          <w:hyperlink w:anchor="_Toc142057562" w:history="1">
            <w:r w:rsidR="001B62FE" w:rsidRPr="00E403F7">
              <w:rPr>
                <w:rStyle w:val="Hyperlink"/>
                <w:rFonts w:eastAsiaTheme="majorEastAsia" w:cs="Arial"/>
                <w:noProof/>
              </w:rPr>
              <w:t>Electrical safety requirements</w:t>
            </w:r>
            <w:r w:rsidR="001B62FE">
              <w:rPr>
                <w:noProof/>
                <w:webHidden/>
              </w:rPr>
              <w:tab/>
            </w:r>
            <w:r w:rsidR="001B62FE">
              <w:rPr>
                <w:noProof/>
                <w:webHidden/>
              </w:rPr>
              <w:fldChar w:fldCharType="begin"/>
            </w:r>
            <w:r w:rsidR="001B62FE">
              <w:rPr>
                <w:noProof/>
                <w:webHidden/>
              </w:rPr>
              <w:instrText xml:space="preserve"> PAGEREF _Toc142057562 \h </w:instrText>
            </w:r>
            <w:r w:rsidR="001B62FE">
              <w:rPr>
                <w:noProof/>
                <w:webHidden/>
              </w:rPr>
            </w:r>
            <w:r w:rsidR="001B62FE">
              <w:rPr>
                <w:noProof/>
                <w:webHidden/>
              </w:rPr>
              <w:fldChar w:fldCharType="separate"/>
            </w:r>
            <w:r w:rsidR="001B62FE">
              <w:rPr>
                <w:noProof/>
                <w:webHidden/>
              </w:rPr>
              <w:t>9</w:t>
            </w:r>
            <w:r w:rsidR="001B62FE">
              <w:rPr>
                <w:noProof/>
                <w:webHidden/>
              </w:rPr>
              <w:fldChar w:fldCharType="end"/>
            </w:r>
          </w:hyperlink>
        </w:p>
        <w:p w14:paraId="06E403CA" w14:textId="1224EE97" w:rsidR="001B62FE" w:rsidRDefault="00B74324">
          <w:pPr>
            <w:pStyle w:val="TOC2"/>
            <w:rPr>
              <w:rFonts w:asciiTheme="minorHAnsi" w:eastAsiaTheme="minorEastAsia" w:hAnsiTheme="minorHAnsi" w:cstheme="minorBidi"/>
              <w:b w:val="0"/>
              <w:noProof/>
              <w:color w:val="auto"/>
              <w:sz w:val="22"/>
              <w:szCs w:val="22"/>
              <w:lang w:eastAsia="en-AU"/>
            </w:rPr>
          </w:pPr>
          <w:hyperlink w:anchor="_Toc142057563" w:history="1">
            <w:r w:rsidR="001B62FE" w:rsidRPr="00E403F7">
              <w:rPr>
                <w:rStyle w:val="Hyperlink"/>
                <w:rFonts w:cs="Arial"/>
                <w:noProof/>
              </w:rPr>
              <w:t>Electromagnetic Compatibility (EMC)</w:t>
            </w:r>
            <w:r w:rsidR="001B62FE">
              <w:rPr>
                <w:noProof/>
                <w:webHidden/>
              </w:rPr>
              <w:tab/>
            </w:r>
            <w:r w:rsidR="001B62FE">
              <w:rPr>
                <w:noProof/>
                <w:webHidden/>
              </w:rPr>
              <w:fldChar w:fldCharType="begin"/>
            </w:r>
            <w:r w:rsidR="001B62FE">
              <w:rPr>
                <w:noProof/>
                <w:webHidden/>
              </w:rPr>
              <w:instrText xml:space="preserve"> PAGEREF _Toc142057563 \h </w:instrText>
            </w:r>
            <w:r w:rsidR="001B62FE">
              <w:rPr>
                <w:noProof/>
                <w:webHidden/>
              </w:rPr>
            </w:r>
            <w:r w:rsidR="001B62FE">
              <w:rPr>
                <w:noProof/>
                <w:webHidden/>
              </w:rPr>
              <w:fldChar w:fldCharType="separate"/>
            </w:r>
            <w:r w:rsidR="001B62FE">
              <w:rPr>
                <w:noProof/>
                <w:webHidden/>
              </w:rPr>
              <w:t>9</w:t>
            </w:r>
            <w:r w:rsidR="001B62FE">
              <w:rPr>
                <w:noProof/>
                <w:webHidden/>
              </w:rPr>
              <w:fldChar w:fldCharType="end"/>
            </w:r>
          </w:hyperlink>
        </w:p>
        <w:p w14:paraId="74720A76" w14:textId="0BA898AB" w:rsidR="001B62FE" w:rsidRDefault="00B74324">
          <w:pPr>
            <w:pStyle w:val="TOC1"/>
            <w:rPr>
              <w:rFonts w:asciiTheme="minorHAnsi" w:eastAsiaTheme="minorEastAsia" w:hAnsiTheme="minorHAnsi" w:cstheme="minorBidi"/>
              <w:b w:val="0"/>
              <w:noProof/>
              <w:color w:val="auto"/>
              <w:sz w:val="22"/>
              <w:szCs w:val="22"/>
              <w:lang w:eastAsia="en-AU"/>
            </w:rPr>
          </w:pPr>
          <w:hyperlink w:anchor="_Toc142057564" w:history="1">
            <w:r w:rsidR="001B62FE" w:rsidRPr="00E403F7">
              <w:rPr>
                <w:rStyle w:val="Hyperlink"/>
                <w:rFonts w:cs="Arial"/>
                <w:noProof/>
              </w:rPr>
              <w:t>Telecommunications and Radio-Communications Transmitters</w:t>
            </w:r>
            <w:r w:rsidR="001B62FE">
              <w:rPr>
                <w:noProof/>
                <w:webHidden/>
              </w:rPr>
              <w:tab/>
            </w:r>
            <w:r w:rsidR="001B62FE">
              <w:rPr>
                <w:noProof/>
                <w:webHidden/>
              </w:rPr>
              <w:fldChar w:fldCharType="begin"/>
            </w:r>
            <w:r w:rsidR="001B62FE">
              <w:rPr>
                <w:noProof/>
                <w:webHidden/>
              </w:rPr>
              <w:instrText xml:space="preserve"> PAGEREF _Toc142057564 \h </w:instrText>
            </w:r>
            <w:r w:rsidR="001B62FE">
              <w:rPr>
                <w:noProof/>
                <w:webHidden/>
              </w:rPr>
            </w:r>
            <w:r w:rsidR="001B62FE">
              <w:rPr>
                <w:noProof/>
                <w:webHidden/>
              </w:rPr>
              <w:fldChar w:fldCharType="separate"/>
            </w:r>
            <w:r w:rsidR="001B62FE">
              <w:rPr>
                <w:noProof/>
                <w:webHidden/>
              </w:rPr>
              <w:t>10</w:t>
            </w:r>
            <w:r w:rsidR="001B62FE">
              <w:rPr>
                <w:noProof/>
                <w:webHidden/>
              </w:rPr>
              <w:fldChar w:fldCharType="end"/>
            </w:r>
          </w:hyperlink>
        </w:p>
        <w:p w14:paraId="560845E7" w14:textId="4BBAB9EE" w:rsidR="001B62FE" w:rsidRDefault="00B74324">
          <w:pPr>
            <w:pStyle w:val="TOC1"/>
            <w:rPr>
              <w:rFonts w:asciiTheme="minorHAnsi" w:eastAsiaTheme="minorEastAsia" w:hAnsiTheme="minorHAnsi" w:cstheme="minorBidi"/>
              <w:b w:val="0"/>
              <w:noProof/>
              <w:color w:val="auto"/>
              <w:sz w:val="22"/>
              <w:szCs w:val="22"/>
              <w:lang w:eastAsia="en-AU"/>
            </w:rPr>
          </w:pPr>
          <w:hyperlink w:anchor="_Toc142057565" w:history="1">
            <w:r w:rsidR="001B62FE" w:rsidRPr="00E403F7">
              <w:rPr>
                <w:rStyle w:val="Hyperlink"/>
                <w:rFonts w:cs="Arial"/>
                <w:noProof/>
              </w:rPr>
              <w:t>Radioactive medical devices</w:t>
            </w:r>
            <w:r w:rsidR="001B62FE">
              <w:rPr>
                <w:noProof/>
                <w:webHidden/>
              </w:rPr>
              <w:tab/>
            </w:r>
            <w:r w:rsidR="001B62FE">
              <w:rPr>
                <w:noProof/>
                <w:webHidden/>
              </w:rPr>
              <w:fldChar w:fldCharType="begin"/>
            </w:r>
            <w:r w:rsidR="001B62FE">
              <w:rPr>
                <w:noProof/>
                <w:webHidden/>
              </w:rPr>
              <w:instrText xml:space="preserve"> PAGEREF _Toc142057565 \h </w:instrText>
            </w:r>
            <w:r w:rsidR="001B62FE">
              <w:rPr>
                <w:noProof/>
                <w:webHidden/>
              </w:rPr>
            </w:r>
            <w:r w:rsidR="001B62FE">
              <w:rPr>
                <w:noProof/>
                <w:webHidden/>
              </w:rPr>
              <w:fldChar w:fldCharType="separate"/>
            </w:r>
            <w:r w:rsidR="001B62FE">
              <w:rPr>
                <w:noProof/>
                <w:webHidden/>
              </w:rPr>
              <w:t>11</w:t>
            </w:r>
            <w:r w:rsidR="001B62FE">
              <w:rPr>
                <w:noProof/>
                <w:webHidden/>
              </w:rPr>
              <w:fldChar w:fldCharType="end"/>
            </w:r>
          </w:hyperlink>
        </w:p>
        <w:p w14:paraId="166EA4A2" w14:textId="1181E391" w:rsidR="001B62FE" w:rsidRDefault="00B74324">
          <w:pPr>
            <w:pStyle w:val="TOC1"/>
            <w:rPr>
              <w:rFonts w:asciiTheme="minorHAnsi" w:eastAsiaTheme="minorEastAsia" w:hAnsiTheme="minorHAnsi" w:cstheme="minorBidi"/>
              <w:b w:val="0"/>
              <w:noProof/>
              <w:color w:val="auto"/>
              <w:sz w:val="22"/>
              <w:szCs w:val="22"/>
              <w:lang w:eastAsia="en-AU"/>
            </w:rPr>
          </w:pPr>
          <w:hyperlink w:anchor="_Toc142057566" w:history="1">
            <w:r w:rsidR="001B62FE" w:rsidRPr="00E403F7">
              <w:rPr>
                <w:rStyle w:val="Hyperlink"/>
                <w:rFonts w:cs="Arial"/>
                <w:noProof/>
              </w:rPr>
              <w:t>Radiating medical devices</w:t>
            </w:r>
            <w:r w:rsidR="001B62FE">
              <w:rPr>
                <w:noProof/>
                <w:webHidden/>
              </w:rPr>
              <w:tab/>
            </w:r>
            <w:r w:rsidR="001B62FE">
              <w:rPr>
                <w:noProof/>
                <w:webHidden/>
              </w:rPr>
              <w:fldChar w:fldCharType="begin"/>
            </w:r>
            <w:r w:rsidR="001B62FE">
              <w:rPr>
                <w:noProof/>
                <w:webHidden/>
              </w:rPr>
              <w:instrText xml:space="preserve"> PAGEREF _Toc142057566 \h </w:instrText>
            </w:r>
            <w:r w:rsidR="001B62FE">
              <w:rPr>
                <w:noProof/>
                <w:webHidden/>
              </w:rPr>
            </w:r>
            <w:r w:rsidR="001B62FE">
              <w:rPr>
                <w:noProof/>
                <w:webHidden/>
              </w:rPr>
              <w:fldChar w:fldCharType="separate"/>
            </w:r>
            <w:r w:rsidR="001B62FE">
              <w:rPr>
                <w:noProof/>
                <w:webHidden/>
              </w:rPr>
              <w:t>11</w:t>
            </w:r>
            <w:r w:rsidR="001B62FE">
              <w:rPr>
                <w:noProof/>
                <w:webHidden/>
              </w:rPr>
              <w:fldChar w:fldCharType="end"/>
            </w:r>
          </w:hyperlink>
        </w:p>
        <w:p w14:paraId="2DAE9C0A" w14:textId="282AE42D" w:rsidR="001B62FE" w:rsidRDefault="00B74324">
          <w:pPr>
            <w:pStyle w:val="TOC1"/>
            <w:rPr>
              <w:rFonts w:asciiTheme="minorHAnsi" w:eastAsiaTheme="minorEastAsia" w:hAnsiTheme="minorHAnsi" w:cstheme="minorBidi"/>
              <w:b w:val="0"/>
              <w:noProof/>
              <w:color w:val="auto"/>
              <w:sz w:val="22"/>
              <w:szCs w:val="22"/>
              <w:lang w:eastAsia="en-AU"/>
            </w:rPr>
          </w:pPr>
          <w:hyperlink w:anchor="_Toc142057567" w:history="1">
            <w:r w:rsidR="001B62FE" w:rsidRPr="00E403F7">
              <w:rPr>
                <w:rStyle w:val="Hyperlink"/>
                <w:rFonts w:cs="Arial"/>
                <w:noProof/>
              </w:rPr>
              <w:t>Programmed and programmable medical devices</w:t>
            </w:r>
            <w:r w:rsidR="001B62FE">
              <w:rPr>
                <w:noProof/>
                <w:webHidden/>
              </w:rPr>
              <w:tab/>
            </w:r>
            <w:r w:rsidR="001B62FE">
              <w:rPr>
                <w:noProof/>
                <w:webHidden/>
              </w:rPr>
              <w:fldChar w:fldCharType="begin"/>
            </w:r>
            <w:r w:rsidR="001B62FE">
              <w:rPr>
                <w:noProof/>
                <w:webHidden/>
              </w:rPr>
              <w:instrText xml:space="preserve"> PAGEREF _Toc142057567 \h </w:instrText>
            </w:r>
            <w:r w:rsidR="001B62FE">
              <w:rPr>
                <w:noProof/>
                <w:webHidden/>
              </w:rPr>
            </w:r>
            <w:r w:rsidR="001B62FE">
              <w:rPr>
                <w:noProof/>
                <w:webHidden/>
              </w:rPr>
              <w:fldChar w:fldCharType="separate"/>
            </w:r>
            <w:r w:rsidR="001B62FE">
              <w:rPr>
                <w:noProof/>
                <w:webHidden/>
              </w:rPr>
              <w:t>12</w:t>
            </w:r>
            <w:r w:rsidR="001B62FE">
              <w:rPr>
                <w:noProof/>
                <w:webHidden/>
              </w:rPr>
              <w:fldChar w:fldCharType="end"/>
            </w:r>
          </w:hyperlink>
        </w:p>
        <w:p w14:paraId="1EA50686" w14:textId="7194D948" w:rsidR="001B62FE" w:rsidRDefault="00B74324">
          <w:pPr>
            <w:pStyle w:val="TOC2"/>
            <w:rPr>
              <w:rFonts w:asciiTheme="minorHAnsi" w:eastAsiaTheme="minorEastAsia" w:hAnsiTheme="minorHAnsi" w:cstheme="minorBidi"/>
              <w:b w:val="0"/>
              <w:noProof/>
              <w:color w:val="auto"/>
              <w:sz w:val="22"/>
              <w:szCs w:val="22"/>
              <w:lang w:eastAsia="en-AU"/>
            </w:rPr>
          </w:pPr>
          <w:hyperlink w:anchor="_Toc142057568" w:history="1">
            <w:r w:rsidR="001B62FE" w:rsidRPr="00E403F7">
              <w:rPr>
                <w:rStyle w:val="Hyperlink"/>
                <w:rFonts w:cs="Arial"/>
                <w:noProof/>
              </w:rPr>
              <w:t>Specific requirements</w:t>
            </w:r>
            <w:r w:rsidR="001B62FE">
              <w:rPr>
                <w:noProof/>
                <w:webHidden/>
              </w:rPr>
              <w:tab/>
            </w:r>
            <w:r w:rsidR="001B62FE">
              <w:rPr>
                <w:noProof/>
                <w:webHidden/>
              </w:rPr>
              <w:fldChar w:fldCharType="begin"/>
            </w:r>
            <w:r w:rsidR="001B62FE">
              <w:rPr>
                <w:noProof/>
                <w:webHidden/>
              </w:rPr>
              <w:instrText xml:space="preserve"> PAGEREF _Toc142057568 \h </w:instrText>
            </w:r>
            <w:r w:rsidR="001B62FE">
              <w:rPr>
                <w:noProof/>
                <w:webHidden/>
              </w:rPr>
            </w:r>
            <w:r w:rsidR="001B62FE">
              <w:rPr>
                <w:noProof/>
                <w:webHidden/>
              </w:rPr>
              <w:fldChar w:fldCharType="separate"/>
            </w:r>
            <w:r w:rsidR="001B62FE">
              <w:rPr>
                <w:noProof/>
                <w:webHidden/>
              </w:rPr>
              <w:t>12</w:t>
            </w:r>
            <w:r w:rsidR="001B62FE">
              <w:rPr>
                <w:noProof/>
                <w:webHidden/>
              </w:rPr>
              <w:fldChar w:fldCharType="end"/>
            </w:r>
          </w:hyperlink>
        </w:p>
        <w:p w14:paraId="3BF802D2" w14:textId="365774B3" w:rsidR="001B62FE" w:rsidRDefault="00B74324">
          <w:pPr>
            <w:pStyle w:val="TOC2"/>
            <w:rPr>
              <w:rFonts w:asciiTheme="minorHAnsi" w:eastAsiaTheme="minorEastAsia" w:hAnsiTheme="minorHAnsi" w:cstheme="minorBidi"/>
              <w:b w:val="0"/>
              <w:noProof/>
              <w:color w:val="auto"/>
              <w:sz w:val="22"/>
              <w:szCs w:val="22"/>
              <w:lang w:eastAsia="en-AU"/>
            </w:rPr>
          </w:pPr>
          <w:hyperlink w:anchor="_Toc142057569" w:history="1">
            <w:r w:rsidR="001B62FE" w:rsidRPr="00E403F7">
              <w:rPr>
                <w:rStyle w:val="Hyperlink"/>
                <w:rFonts w:cs="Arial"/>
                <w:noProof/>
              </w:rPr>
              <w:t>Software</w:t>
            </w:r>
            <w:r w:rsidR="001B62FE">
              <w:rPr>
                <w:noProof/>
                <w:webHidden/>
              </w:rPr>
              <w:tab/>
            </w:r>
            <w:r w:rsidR="001B62FE">
              <w:rPr>
                <w:noProof/>
                <w:webHidden/>
              </w:rPr>
              <w:fldChar w:fldCharType="begin"/>
            </w:r>
            <w:r w:rsidR="001B62FE">
              <w:rPr>
                <w:noProof/>
                <w:webHidden/>
              </w:rPr>
              <w:instrText xml:space="preserve"> PAGEREF _Toc142057569 \h </w:instrText>
            </w:r>
            <w:r w:rsidR="001B62FE">
              <w:rPr>
                <w:noProof/>
                <w:webHidden/>
              </w:rPr>
            </w:r>
            <w:r w:rsidR="001B62FE">
              <w:rPr>
                <w:noProof/>
                <w:webHidden/>
              </w:rPr>
              <w:fldChar w:fldCharType="separate"/>
            </w:r>
            <w:r w:rsidR="001B62FE">
              <w:rPr>
                <w:noProof/>
                <w:webHidden/>
              </w:rPr>
              <w:t>13</w:t>
            </w:r>
            <w:r w:rsidR="001B62FE">
              <w:rPr>
                <w:noProof/>
                <w:webHidden/>
              </w:rPr>
              <w:fldChar w:fldCharType="end"/>
            </w:r>
          </w:hyperlink>
        </w:p>
        <w:p w14:paraId="0F15260F" w14:textId="3490F859" w:rsidR="00F02AEC" w:rsidRPr="001B62FE" w:rsidRDefault="00F02AEC" w:rsidP="00F401EF">
          <w:pPr>
            <w:rPr>
              <w:rFonts w:ascii="Arial" w:hAnsi="Arial" w:cs="Arial"/>
            </w:rPr>
          </w:pPr>
          <w:r w:rsidRPr="001B62FE">
            <w:rPr>
              <w:rFonts w:ascii="Arial" w:hAnsi="Arial" w:cs="Arial"/>
            </w:rPr>
            <w:fldChar w:fldCharType="end"/>
          </w:r>
        </w:p>
      </w:sdtContent>
    </w:sdt>
    <w:p w14:paraId="3961B982" w14:textId="77777777" w:rsidR="00F02AEC" w:rsidRPr="001B62FE" w:rsidRDefault="00F02AEC" w:rsidP="0055653F">
      <w:pPr>
        <w:rPr>
          <w:rFonts w:ascii="Arial" w:hAnsi="Arial" w:cs="Arial"/>
        </w:rPr>
      </w:pPr>
      <w:r w:rsidRPr="001B62FE">
        <w:rPr>
          <w:rFonts w:ascii="Arial" w:hAnsi="Arial" w:cs="Arial"/>
        </w:rPr>
        <w:br w:type="page"/>
      </w:r>
    </w:p>
    <w:p w14:paraId="526B761B" w14:textId="56780CB3" w:rsidR="007F537B" w:rsidRPr="001B62FE" w:rsidRDefault="007F537B" w:rsidP="00C366AF">
      <w:pPr>
        <w:pStyle w:val="Heading2"/>
        <w:rPr>
          <w:rFonts w:cs="Arial"/>
        </w:rPr>
      </w:pPr>
      <w:bookmarkStart w:id="0" w:name="_Toc142057553"/>
      <w:bookmarkStart w:id="1" w:name="_Toc67055706"/>
      <w:r w:rsidRPr="001B62FE">
        <w:rPr>
          <w:rFonts w:cs="Arial"/>
        </w:rPr>
        <w:lastRenderedPageBreak/>
        <w:t>About</w:t>
      </w:r>
      <w:bookmarkEnd w:id="0"/>
    </w:p>
    <w:p w14:paraId="5525FF5B" w14:textId="77777777" w:rsidR="007F537B" w:rsidRPr="001B62FE" w:rsidRDefault="007F537B" w:rsidP="00142024">
      <w:pPr>
        <w:rPr>
          <w:rFonts w:ascii="Arial" w:hAnsi="Arial" w:cs="Arial"/>
        </w:rPr>
      </w:pPr>
      <w:r w:rsidRPr="001B62FE">
        <w:rPr>
          <w:rFonts w:ascii="Arial" w:hAnsi="Arial" w:cs="Arial"/>
        </w:rPr>
        <w:t>Active medical devices are a subset of devices that use energy to operate.  This document includes guidance on the requirements that specifically apply to these devices.</w:t>
      </w:r>
    </w:p>
    <w:p w14:paraId="4DBCA9DF" w14:textId="77777777" w:rsidR="007F537B" w:rsidRPr="001B62FE" w:rsidRDefault="00C366AF" w:rsidP="007F537B">
      <w:pPr>
        <w:pStyle w:val="Heading2"/>
        <w:rPr>
          <w:rFonts w:cs="Arial"/>
        </w:rPr>
      </w:pPr>
      <w:bookmarkStart w:id="2" w:name="_Toc142057554"/>
      <w:r w:rsidRPr="001B62FE">
        <w:rPr>
          <w:rFonts w:cs="Arial"/>
        </w:rPr>
        <w:t>Introduction</w:t>
      </w:r>
      <w:bookmarkEnd w:id="1"/>
      <w:bookmarkEnd w:id="2"/>
    </w:p>
    <w:p w14:paraId="72174C7A" w14:textId="6B869E82" w:rsidR="007F537B" w:rsidRPr="001B62FE" w:rsidRDefault="007F537B" w:rsidP="007F537B">
      <w:pPr>
        <w:pStyle w:val="Heading3"/>
        <w:rPr>
          <w:rFonts w:cs="Arial"/>
        </w:rPr>
      </w:pPr>
      <w:bookmarkStart w:id="3" w:name="_Toc142057555"/>
      <w:r w:rsidRPr="001B62FE">
        <w:rPr>
          <w:rFonts w:cs="Arial"/>
        </w:rPr>
        <w:t>Active medical devices</w:t>
      </w:r>
      <w:bookmarkEnd w:id="3"/>
    </w:p>
    <w:p w14:paraId="792DCE96" w14:textId="339AB68A" w:rsidR="007F537B" w:rsidRDefault="007F537B" w:rsidP="007F537B">
      <w:pPr>
        <w:rPr>
          <w:rFonts w:ascii="Arial" w:hAnsi="Arial" w:cs="Arial"/>
        </w:rPr>
      </w:pPr>
      <w:r w:rsidRPr="001B62FE">
        <w:rPr>
          <w:rFonts w:ascii="Arial" w:hAnsi="Arial" w:cs="Arial"/>
        </w:rPr>
        <w:t>An active</w:t>
      </w:r>
      <w:r w:rsidRPr="001B62FE">
        <w:rPr>
          <w:rFonts w:ascii="Arial" w:hAnsi="Arial" w:cs="Arial"/>
          <w:smallCaps/>
        </w:rPr>
        <w:t xml:space="preserve"> </w:t>
      </w:r>
      <w:r w:rsidRPr="001B62FE">
        <w:rPr>
          <w:rFonts w:ascii="Arial" w:hAnsi="Arial" w:cs="Arial"/>
        </w:rPr>
        <w:t xml:space="preserve">medical device is a device that—to operate—uses and converts energy in a significant way.  For a device to be an active device, the form of energy does not include gravitational or directly provided human energies. </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76"/>
        <w:gridCol w:w="7762"/>
      </w:tblGrid>
      <w:tr w:rsidR="007F537B" w:rsidRPr="001B62FE" w14:paraId="285A3FC6" w14:textId="77777777" w:rsidTr="009D08B6">
        <w:trPr>
          <w:trHeight w:val="1206"/>
        </w:trPr>
        <w:tc>
          <w:tcPr>
            <w:tcW w:w="1276" w:type="dxa"/>
            <w:vAlign w:val="center"/>
          </w:tcPr>
          <w:p w14:paraId="6D5B3964" w14:textId="77777777" w:rsidR="007F537B" w:rsidRPr="001B62FE" w:rsidRDefault="007F537B" w:rsidP="009D08B6">
            <w:pPr>
              <w:rPr>
                <w:rFonts w:ascii="Arial" w:hAnsi="Arial" w:cs="Arial"/>
                <w:szCs w:val="20"/>
              </w:rPr>
            </w:pPr>
            <w:r w:rsidRPr="001B62FE">
              <w:rPr>
                <w:rFonts w:ascii="Arial" w:hAnsi="Arial" w:cs="Arial"/>
                <w:noProof/>
              </w:rPr>
              <w:drawing>
                <wp:inline distT="0" distB="0" distL="0" distR="0" wp14:anchorId="6AB51EEA" wp14:editId="416FDBDD">
                  <wp:extent cx="487681" cy="487681"/>
                  <wp:effectExtent l="19050" t="0" r="7619" b="0"/>
                  <wp:docPr id="30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14:paraId="4C236584" w14:textId="77777777" w:rsidR="00F61FED" w:rsidRDefault="00F61FED" w:rsidP="00F61FED">
            <w:pPr>
              <w:rPr>
                <w:rStyle w:val="Hyperlink"/>
                <w:rFonts w:cs="Arial"/>
                <w:b/>
                <w:i/>
              </w:rPr>
            </w:pPr>
            <w:r w:rsidRPr="001B62FE">
              <w:rPr>
                <w:rFonts w:ascii="Arial" w:hAnsi="Arial" w:cs="Arial"/>
                <w:b/>
              </w:rPr>
              <w:t xml:space="preserve">From the </w:t>
            </w:r>
            <w:hyperlink r:id="rId13" w:history="1">
              <w:r w:rsidRPr="001B62FE">
                <w:rPr>
                  <w:rStyle w:val="Hyperlink"/>
                  <w:rFonts w:cs="Arial"/>
                  <w:b/>
                  <w:i/>
                </w:rPr>
                <w:t>Therapeutic Goods (Medical Devices) Regulations 2002</w:t>
              </w:r>
            </w:hyperlink>
          </w:p>
          <w:p w14:paraId="04FA4D07" w14:textId="77777777" w:rsidR="00F61FED" w:rsidRPr="001B62FE" w:rsidRDefault="00F61FED" w:rsidP="00F61FED">
            <w:pPr>
              <w:rPr>
                <w:rFonts w:ascii="Arial" w:hAnsi="Arial" w:cs="Arial"/>
              </w:rPr>
            </w:pPr>
            <w:r w:rsidRPr="001B62FE">
              <w:rPr>
                <w:rFonts w:ascii="Arial" w:hAnsi="Arial" w:cs="Arial"/>
                <w:b/>
                <w:bCs/>
                <w:i/>
                <w:iCs/>
              </w:rPr>
              <w:t>active medical device</w:t>
            </w:r>
            <w:r w:rsidRPr="001B62FE">
              <w:rPr>
                <w:rFonts w:ascii="Arial" w:hAnsi="Arial" w:cs="Arial"/>
              </w:rPr>
              <w:t>:</w:t>
            </w:r>
          </w:p>
          <w:p w14:paraId="1169B161" w14:textId="77777777" w:rsidR="00F61FED" w:rsidRPr="001B62FE" w:rsidRDefault="00F61FED" w:rsidP="00F61FED">
            <w:pPr>
              <w:pStyle w:val="Numberbullet0"/>
              <w:numPr>
                <w:ilvl w:val="0"/>
                <w:numId w:val="23"/>
              </w:numPr>
              <w:rPr>
                <w:rFonts w:cs="Arial"/>
              </w:rPr>
            </w:pPr>
            <w:r w:rsidRPr="001B62FE">
              <w:rPr>
                <w:rFonts w:cs="Arial"/>
              </w:rPr>
              <w:t>means a medical device that is intended by the manufacturer:</w:t>
            </w:r>
          </w:p>
          <w:p w14:paraId="1EC693AF" w14:textId="77777777" w:rsidR="00F61FED" w:rsidRPr="001B62FE" w:rsidRDefault="00F61FED" w:rsidP="00F61FED">
            <w:pPr>
              <w:numPr>
                <w:ilvl w:val="0"/>
                <w:numId w:val="4"/>
              </w:numPr>
              <w:spacing w:before="120" w:after="180" w:line="240" w:lineRule="atLeast"/>
              <w:rPr>
                <w:rFonts w:ascii="Arial" w:hAnsi="Arial" w:cs="Arial"/>
              </w:rPr>
            </w:pPr>
            <w:r w:rsidRPr="001B62FE">
              <w:rPr>
                <w:rFonts w:ascii="Arial" w:hAnsi="Arial" w:cs="Arial"/>
              </w:rPr>
              <w:t>to depend for its operation on a source of electrical energy or other source of energy (other than a source of energy generated directly by a human being or gravity); and</w:t>
            </w:r>
          </w:p>
          <w:p w14:paraId="431C51F4" w14:textId="77777777" w:rsidR="00F61FED" w:rsidRPr="001B62FE" w:rsidRDefault="00F61FED" w:rsidP="00F61FED">
            <w:pPr>
              <w:numPr>
                <w:ilvl w:val="0"/>
                <w:numId w:val="4"/>
              </w:numPr>
              <w:spacing w:before="120" w:after="180" w:line="240" w:lineRule="atLeast"/>
              <w:rPr>
                <w:rFonts w:ascii="Arial" w:hAnsi="Arial" w:cs="Arial"/>
              </w:rPr>
            </w:pPr>
            <w:r w:rsidRPr="001B62FE">
              <w:rPr>
                <w:rFonts w:ascii="Arial" w:hAnsi="Arial" w:cs="Arial"/>
              </w:rPr>
              <w:t>to act by converting this energy; but</w:t>
            </w:r>
          </w:p>
          <w:p w14:paraId="3080CC04" w14:textId="77777777" w:rsidR="00F61FED" w:rsidRPr="001B62FE" w:rsidRDefault="00F61FED" w:rsidP="00F61FED">
            <w:pPr>
              <w:pStyle w:val="Numberbullet0"/>
              <w:numPr>
                <w:ilvl w:val="0"/>
                <w:numId w:val="23"/>
              </w:numPr>
              <w:rPr>
                <w:rFonts w:cs="Arial"/>
              </w:rPr>
            </w:pPr>
            <w:r w:rsidRPr="001B62FE">
              <w:rPr>
                <w:rFonts w:cs="Arial"/>
              </w:rPr>
              <w:t>does not include a medical device that is intended by the manufacturer to transmit energy, a substance, or any other element, between an active medical device and a human being without any significant change in the energy, substance or other element being transmitted.</w:t>
            </w:r>
          </w:p>
          <w:p w14:paraId="055EFE9B" w14:textId="0E9433D5" w:rsidR="007F537B" w:rsidRPr="001B62FE" w:rsidRDefault="00F61FED" w:rsidP="00F61FED">
            <w:pPr>
              <w:rPr>
                <w:rFonts w:ascii="Arial" w:hAnsi="Arial" w:cs="Arial"/>
                <w:b/>
                <w:szCs w:val="20"/>
              </w:rPr>
            </w:pPr>
            <w:r w:rsidRPr="001B62FE">
              <w:rPr>
                <w:rFonts w:ascii="Arial" w:hAnsi="Arial" w:cs="Arial"/>
              </w:rPr>
              <w:t>Software that is a medical device is an active medical device.</w:t>
            </w:r>
          </w:p>
        </w:tc>
      </w:tr>
    </w:tbl>
    <w:p w14:paraId="294D6300" w14:textId="77777777" w:rsidR="007F537B" w:rsidRPr="001B62FE" w:rsidRDefault="007F537B" w:rsidP="007F537B">
      <w:pPr>
        <w:rPr>
          <w:rFonts w:ascii="Arial" w:hAnsi="Arial" w:cs="Arial"/>
        </w:rPr>
      </w:pPr>
    </w:p>
    <w:p w14:paraId="18DBC933" w14:textId="77777777" w:rsidR="007F537B" w:rsidRPr="001B62FE" w:rsidRDefault="007F537B" w:rsidP="007F537B">
      <w:pPr>
        <w:rPr>
          <w:rFonts w:ascii="Arial" w:hAnsi="Arial" w:cs="Arial"/>
        </w:rPr>
      </w:pPr>
      <w:r w:rsidRPr="001B62FE">
        <w:rPr>
          <w:rFonts w:ascii="Arial" w:hAnsi="Arial" w:cs="Arial"/>
        </w:rPr>
        <w:t>Active devices can run from internal or external power sources.</w:t>
      </w:r>
    </w:p>
    <w:p w14:paraId="42C266F8" w14:textId="77777777" w:rsidR="007F537B" w:rsidRPr="001B62FE" w:rsidRDefault="007F537B" w:rsidP="007F537B">
      <w:pPr>
        <w:rPr>
          <w:rFonts w:ascii="Arial" w:hAnsi="Arial" w:cs="Arial"/>
        </w:rPr>
      </w:pPr>
      <w:r w:rsidRPr="001B62FE">
        <w:rPr>
          <w:rFonts w:ascii="Arial" w:hAnsi="Arial" w:cs="Arial"/>
        </w:rPr>
        <w:t>Some example active devices include:</w:t>
      </w:r>
    </w:p>
    <w:p w14:paraId="36F50FD6" w14:textId="77777777" w:rsidR="007F537B" w:rsidRPr="001B62FE" w:rsidRDefault="007F537B" w:rsidP="007F537B">
      <w:pPr>
        <w:pStyle w:val="ListBullet"/>
        <w:tabs>
          <w:tab w:val="num" w:pos="1080"/>
        </w:tabs>
        <w:spacing w:before="0" w:after="160"/>
        <w:rPr>
          <w:rFonts w:cs="Arial"/>
        </w:rPr>
      </w:pPr>
      <w:r w:rsidRPr="001B62FE">
        <w:rPr>
          <w:rFonts w:cs="Arial"/>
        </w:rPr>
        <w:t>pacemakers (electrical energy),</w:t>
      </w:r>
    </w:p>
    <w:p w14:paraId="726D531D" w14:textId="77777777" w:rsidR="007F537B" w:rsidRPr="001B62FE" w:rsidRDefault="007F537B" w:rsidP="007F537B">
      <w:pPr>
        <w:pStyle w:val="ListBullet"/>
        <w:tabs>
          <w:tab w:val="num" w:pos="720"/>
        </w:tabs>
        <w:spacing w:before="0" w:after="160"/>
        <w:rPr>
          <w:rFonts w:cs="Arial"/>
        </w:rPr>
      </w:pPr>
      <w:r w:rsidRPr="001B62FE">
        <w:rPr>
          <w:rFonts w:cs="Arial"/>
        </w:rPr>
        <w:t>electric hospital beds (electrical energy),</w:t>
      </w:r>
    </w:p>
    <w:p w14:paraId="671A7F96" w14:textId="77777777" w:rsidR="007F537B" w:rsidRPr="001B62FE" w:rsidRDefault="007F537B" w:rsidP="007F537B">
      <w:pPr>
        <w:pStyle w:val="ListBullet"/>
        <w:tabs>
          <w:tab w:val="num" w:pos="720"/>
        </w:tabs>
        <w:spacing w:before="0" w:after="160"/>
        <w:rPr>
          <w:rFonts w:cs="Arial"/>
        </w:rPr>
      </w:pPr>
      <w:r w:rsidRPr="001B62FE">
        <w:rPr>
          <w:rFonts w:cs="Arial"/>
        </w:rPr>
        <w:t>gas-powered suction pumps (pressure energy),</w:t>
      </w:r>
    </w:p>
    <w:p w14:paraId="7E9D87A9" w14:textId="77777777" w:rsidR="007F537B" w:rsidRPr="001B62FE" w:rsidRDefault="007F537B" w:rsidP="007F537B">
      <w:pPr>
        <w:pStyle w:val="ListBullet"/>
        <w:tabs>
          <w:tab w:val="num" w:pos="720"/>
        </w:tabs>
        <w:spacing w:before="0" w:after="160"/>
        <w:rPr>
          <w:rFonts w:cs="Arial"/>
        </w:rPr>
      </w:pPr>
      <w:r w:rsidRPr="001B62FE">
        <w:rPr>
          <w:rFonts w:cs="Arial"/>
        </w:rPr>
        <w:t>software (electrical energy—software is a controlling agent for an electrical device),</w:t>
      </w:r>
    </w:p>
    <w:p w14:paraId="7C6A6D5B" w14:textId="77777777" w:rsidR="007F537B" w:rsidRPr="001B62FE" w:rsidRDefault="007F537B" w:rsidP="007F537B">
      <w:pPr>
        <w:pStyle w:val="ListBullet"/>
        <w:tabs>
          <w:tab w:val="num" w:pos="720"/>
        </w:tabs>
        <w:spacing w:before="0" w:after="160"/>
        <w:rPr>
          <w:rFonts w:cs="Arial"/>
        </w:rPr>
      </w:pPr>
      <w:r w:rsidRPr="001B62FE">
        <w:rPr>
          <w:rFonts w:cs="Arial"/>
        </w:rPr>
        <w:t>active warming blankets (electrical and thermal energies),</w:t>
      </w:r>
    </w:p>
    <w:p w14:paraId="19F22BC8" w14:textId="77777777" w:rsidR="007F537B" w:rsidRPr="001B62FE" w:rsidRDefault="007F537B" w:rsidP="007F537B">
      <w:pPr>
        <w:pStyle w:val="ListBullet"/>
        <w:tabs>
          <w:tab w:val="num" w:pos="720"/>
        </w:tabs>
        <w:spacing w:before="0" w:after="160"/>
        <w:rPr>
          <w:rFonts w:cs="Arial"/>
        </w:rPr>
      </w:pPr>
      <w:r w:rsidRPr="001B62FE">
        <w:rPr>
          <w:rFonts w:cs="Arial"/>
        </w:rPr>
        <w:t>X-ray machines (electrical and ionising electromagnetic radiation energies),</w:t>
      </w:r>
    </w:p>
    <w:p w14:paraId="7A864489" w14:textId="77777777" w:rsidR="007F537B" w:rsidRPr="001B62FE" w:rsidRDefault="007F537B" w:rsidP="007F537B">
      <w:pPr>
        <w:pStyle w:val="ListBullet"/>
        <w:tabs>
          <w:tab w:val="num" w:pos="720"/>
        </w:tabs>
        <w:spacing w:before="0" w:after="160"/>
        <w:rPr>
          <w:rFonts w:cs="Arial"/>
        </w:rPr>
      </w:pPr>
      <w:r w:rsidRPr="001B62FE">
        <w:rPr>
          <w:rFonts w:cs="Arial"/>
        </w:rPr>
        <w:t>surgical lasers (electrical and electromagnetic radiation energies),</w:t>
      </w:r>
    </w:p>
    <w:p w14:paraId="0C003468" w14:textId="77777777" w:rsidR="007F537B" w:rsidRPr="001B62FE" w:rsidRDefault="007F537B" w:rsidP="007F537B">
      <w:pPr>
        <w:pStyle w:val="ListBullet"/>
        <w:tabs>
          <w:tab w:val="num" w:pos="720"/>
        </w:tabs>
        <w:spacing w:before="0" w:after="160"/>
        <w:rPr>
          <w:rFonts w:cs="Arial"/>
        </w:rPr>
      </w:pPr>
      <w:r w:rsidRPr="001B62FE">
        <w:rPr>
          <w:rFonts w:cs="Arial"/>
        </w:rPr>
        <w:t>lung ventilators (electrical and pressure energies),</w:t>
      </w:r>
    </w:p>
    <w:p w14:paraId="7EE73E56" w14:textId="77777777" w:rsidR="007F537B" w:rsidRPr="001B62FE" w:rsidRDefault="007F537B" w:rsidP="007F537B">
      <w:pPr>
        <w:pStyle w:val="ListBullet"/>
        <w:tabs>
          <w:tab w:val="num" w:pos="720"/>
        </w:tabs>
        <w:spacing w:before="0" w:after="160"/>
        <w:rPr>
          <w:rFonts w:cs="Arial"/>
        </w:rPr>
      </w:pPr>
      <w:r w:rsidRPr="001B62FE">
        <w:rPr>
          <w:rFonts w:cs="Arial"/>
        </w:rPr>
        <w:t>ultrasound machines (electrical and acoustic energies); and</w:t>
      </w:r>
    </w:p>
    <w:p w14:paraId="084F712A" w14:textId="77777777" w:rsidR="007F537B" w:rsidRPr="001B62FE" w:rsidRDefault="007F537B" w:rsidP="007F537B">
      <w:pPr>
        <w:pStyle w:val="ListBullet"/>
        <w:tabs>
          <w:tab w:val="num" w:pos="720"/>
        </w:tabs>
        <w:spacing w:before="0" w:after="160"/>
        <w:rPr>
          <w:rFonts w:cs="Arial"/>
        </w:rPr>
      </w:pPr>
      <w:r w:rsidRPr="001B62FE">
        <w:rPr>
          <w:rFonts w:cs="Arial"/>
        </w:rPr>
        <w:t>implanted diagnostic and monitoring devices (for example, to monitor the movement of a knee joint) that use energy scavenged from a human biological system (electrical, chemical, thermal, and mechanical energies).</w:t>
      </w:r>
    </w:p>
    <w:p w14:paraId="706C2452" w14:textId="77777777" w:rsidR="007F537B" w:rsidRPr="001B62FE" w:rsidRDefault="007F537B" w:rsidP="007F537B">
      <w:pPr>
        <w:pStyle w:val="Heading3"/>
        <w:rPr>
          <w:rFonts w:cs="Arial"/>
        </w:rPr>
      </w:pPr>
      <w:bookmarkStart w:id="4" w:name="_Toc81409966"/>
      <w:bookmarkStart w:id="5" w:name="_Toc142057556"/>
      <w:r w:rsidRPr="001B62FE">
        <w:rPr>
          <w:rFonts w:cs="Arial"/>
        </w:rPr>
        <w:lastRenderedPageBreak/>
        <w:t>Energy-using devices that are not active</w:t>
      </w:r>
      <w:bookmarkEnd w:id="4"/>
      <w:bookmarkEnd w:id="5"/>
    </w:p>
    <w:p w14:paraId="7FBA55E5" w14:textId="77777777" w:rsidR="007F537B" w:rsidRPr="001B62FE" w:rsidRDefault="007F537B" w:rsidP="007F537B">
      <w:pPr>
        <w:rPr>
          <w:rFonts w:ascii="Arial" w:hAnsi="Arial" w:cs="Arial"/>
        </w:rPr>
      </w:pPr>
      <w:r w:rsidRPr="001B62FE">
        <w:rPr>
          <w:rFonts w:ascii="Arial" w:hAnsi="Arial" w:cs="Arial"/>
        </w:rPr>
        <w:t>Devices that are powered solely by gravity or directly by a human being are not active devices. Examples of these devices include:</w:t>
      </w:r>
    </w:p>
    <w:p w14:paraId="2A7E38FD" w14:textId="77777777" w:rsidR="007F537B" w:rsidRPr="001B62FE" w:rsidRDefault="007F537B" w:rsidP="007F537B">
      <w:pPr>
        <w:pStyle w:val="ListBullet"/>
        <w:tabs>
          <w:tab w:val="num" w:pos="1080"/>
        </w:tabs>
        <w:spacing w:before="0" w:after="160"/>
        <w:rPr>
          <w:rFonts w:cs="Arial"/>
        </w:rPr>
      </w:pPr>
      <w:r w:rsidRPr="001B62FE">
        <w:rPr>
          <w:rFonts w:cs="Arial"/>
        </w:rPr>
        <w:t xml:space="preserve">gravity fed intravenous infusion sets, </w:t>
      </w:r>
    </w:p>
    <w:p w14:paraId="475D130F" w14:textId="77777777" w:rsidR="007F537B" w:rsidRPr="001B62FE" w:rsidRDefault="007F537B" w:rsidP="007F537B">
      <w:pPr>
        <w:pStyle w:val="ListBullet"/>
        <w:tabs>
          <w:tab w:val="num" w:pos="720"/>
        </w:tabs>
        <w:spacing w:before="0" w:after="160"/>
        <w:rPr>
          <w:rFonts w:cs="Arial"/>
        </w:rPr>
      </w:pPr>
      <w:r w:rsidRPr="001B62FE">
        <w:rPr>
          <w:rFonts w:cs="Arial"/>
        </w:rPr>
        <w:t>non-powered traction systems,</w:t>
      </w:r>
    </w:p>
    <w:p w14:paraId="58B0F56C" w14:textId="77777777" w:rsidR="007F537B" w:rsidRPr="001B62FE" w:rsidRDefault="007F537B" w:rsidP="007F537B">
      <w:pPr>
        <w:pStyle w:val="ListBullet"/>
        <w:tabs>
          <w:tab w:val="num" w:pos="720"/>
        </w:tabs>
        <w:spacing w:before="0" w:after="160"/>
        <w:rPr>
          <w:rFonts w:cs="Arial"/>
        </w:rPr>
      </w:pPr>
      <w:r w:rsidRPr="001B62FE">
        <w:rPr>
          <w:rFonts w:cs="Arial"/>
        </w:rPr>
        <w:t xml:space="preserve">hand-operated bag/valve/mask respirators/resuscitators; and </w:t>
      </w:r>
    </w:p>
    <w:p w14:paraId="17C41B4F" w14:textId="77777777" w:rsidR="007F537B" w:rsidRPr="001B62FE" w:rsidRDefault="007F537B" w:rsidP="007F537B">
      <w:pPr>
        <w:pStyle w:val="ListBullet"/>
        <w:tabs>
          <w:tab w:val="num" w:pos="720"/>
        </w:tabs>
        <w:spacing w:before="0" w:after="160"/>
        <w:rPr>
          <w:rFonts w:cs="Arial"/>
        </w:rPr>
      </w:pPr>
      <w:r w:rsidRPr="001B62FE">
        <w:rPr>
          <w:rFonts w:cs="Arial"/>
        </w:rPr>
        <w:t>hand-powered drills.</w:t>
      </w:r>
    </w:p>
    <w:p w14:paraId="59586ED4" w14:textId="77777777" w:rsidR="007F537B" w:rsidRPr="001B62FE" w:rsidRDefault="007F537B" w:rsidP="007F537B">
      <w:pPr>
        <w:rPr>
          <w:rFonts w:ascii="Arial" w:hAnsi="Arial" w:cs="Arial"/>
        </w:rPr>
      </w:pPr>
      <w:r w:rsidRPr="001B62FE">
        <w:rPr>
          <w:rFonts w:ascii="Arial" w:hAnsi="Arial" w:cs="Arial"/>
        </w:rPr>
        <w:t>Some devices are intended by their manufacturer to transmit energy, a substance, or another element between an active</w:t>
      </w:r>
      <w:r w:rsidRPr="001B62FE">
        <w:rPr>
          <w:rFonts w:ascii="Arial" w:hAnsi="Arial" w:cs="Arial"/>
          <w:smallCaps/>
        </w:rPr>
        <w:t xml:space="preserve"> </w:t>
      </w:r>
      <w:r w:rsidRPr="001B62FE">
        <w:rPr>
          <w:rFonts w:ascii="Arial" w:hAnsi="Arial" w:cs="Arial"/>
        </w:rPr>
        <w:t xml:space="preserve">medical device and a human being without any significant change occurring to the element being transmitted. These devices are not active. For example: </w:t>
      </w:r>
    </w:p>
    <w:p w14:paraId="30A09FA5" w14:textId="77777777" w:rsidR="007F537B" w:rsidRPr="001B62FE" w:rsidRDefault="007F537B" w:rsidP="007F537B">
      <w:pPr>
        <w:pStyle w:val="ListBullet"/>
        <w:tabs>
          <w:tab w:val="num" w:pos="720"/>
        </w:tabs>
        <w:spacing w:before="0" w:after="160"/>
        <w:rPr>
          <w:rFonts w:cs="Arial"/>
        </w:rPr>
      </w:pPr>
      <w:r w:rsidRPr="001B62FE">
        <w:rPr>
          <w:rFonts w:cs="Arial"/>
        </w:rPr>
        <w:t>electroencephalograph (EEG) leads (purely passive reduction in electrical signal); and</w:t>
      </w:r>
    </w:p>
    <w:p w14:paraId="1D19549C" w14:textId="77777777" w:rsidR="007F537B" w:rsidRPr="001B62FE" w:rsidRDefault="007F537B" w:rsidP="007F537B">
      <w:pPr>
        <w:pStyle w:val="ListBullet"/>
        <w:tabs>
          <w:tab w:val="num" w:pos="720"/>
        </w:tabs>
        <w:spacing w:before="0" w:after="160"/>
        <w:rPr>
          <w:rFonts w:cs="Arial"/>
        </w:rPr>
      </w:pPr>
      <w:r w:rsidRPr="001B62FE">
        <w:rPr>
          <w:rFonts w:cs="Arial"/>
        </w:rPr>
        <w:t xml:space="preserve">tubing sets (reduction in transferred pressure along the tubing). </w:t>
      </w:r>
    </w:p>
    <w:p w14:paraId="23B72337" w14:textId="77777777" w:rsidR="007F537B" w:rsidRPr="001B62FE" w:rsidRDefault="007F537B" w:rsidP="007F537B">
      <w:pPr>
        <w:pStyle w:val="Heading2"/>
        <w:rPr>
          <w:rFonts w:cs="Arial"/>
        </w:rPr>
      </w:pPr>
      <w:bookmarkStart w:id="6" w:name="_Toc81409967"/>
      <w:bookmarkStart w:id="7" w:name="_Toc142057557"/>
      <w:r w:rsidRPr="001B62FE">
        <w:rPr>
          <w:rFonts w:cs="Arial"/>
        </w:rPr>
        <w:t>Summary of active medical device requirements</w:t>
      </w:r>
      <w:bookmarkEnd w:id="6"/>
      <w:bookmarkEnd w:id="7"/>
    </w:p>
    <w:p w14:paraId="43CEACE1" w14:textId="77777777" w:rsidR="007F537B" w:rsidRPr="001B62FE" w:rsidRDefault="007F537B" w:rsidP="007F537B">
      <w:pPr>
        <w:rPr>
          <w:rFonts w:ascii="Arial" w:hAnsi="Arial" w:cs="Arial"/>
        </w:rPr>
      </w:pPr>
      <w:r w:rsidRPr="001B62FE">
        <w:rPr>
          <w:rFonts w:ascii="Arial" w:hAnsi="Arial" w:cs="Arial"/>
        </w:rPr>
        <w:t>Manufacturers of active</w:t>
      </w:r>
      <w:r w:rsidRPr="001B62FE">
        <w:rPr>
          <w:rFonts w:ascii="Arial" w:hAnsi="Arial" w:cs="Arial"/>
          <w:smallCaps/>
        </w:rPr>
        <w:t xml:space="preserve"> </w:t>
      </w:r>
      <w:r w:rsidRPr="001B62FE">
        <w:rPr>
          <w:rFonts w:ascii="Arial" w:hAnsi="Arial" w:cs="Arial"/>
        </w:rPr>
        <w:t xml:space="preserve">medical devices must consider all classification rules and must meet all of the relevant Essential Principles. The following Essential Principles and classification rules within the </w:t>
      </w:r>
      <w:hyperlink r:id="rId14" w:history="1">
        <w:r w:rsidRPr="001B62FE">
          <w:rPr>
            <w:rStyle w:val="Hyperlink"/>
            <w:rFonts w:cs="Arial"/>
            <w:bCs/>
            <w:i/>
          </w:rPr>
          <w:t>Therapeutic Goods (Medical Devices) Regulations 2002</w:t>
        </w:r>
      </w:hyperlink>
      <w:r w:rsidRPr="001B62FE">
        <w:rPr>
          <w:rFonts w:ascii="Arial" w:hAnsi="Arial" w:cs="Arial"/>
        </w:rPr>
        <w:t xml:space="preserve"> are specific to active</w:t>
      </w:r>
      <w:r w:rsidRPr="001B62FE">
        <w:rPr>
          <w:rFonts w:ascii="Arial" w:hAnsi="Arial" w:cs="Arial"/>
          <w:smallCaps/>
        </w:rPr>
        <w:t xml:space="preserve"> </w:t>
      </w:r>
      <w:r w:rsidRPr="001B62FE">
        <w:rPr>
          <w:rFonts w:ascii="Arial" w:hAnsi="Arial" w:cs="Arial"/>
        </w:rPr>
        <w:t>medical devices:</w:t>
      </w:r>
    </w:p>
    <w:tbl>
      <w:tblPr>
        <w:tblStyle w:val="TableTGAblue2023"/>
        <w:tblW w:w="0" w:type="auto"/>
        <w:tblLook w:val="01E0" w:firstRow="1" w:lastRow="1" w:firstColumn="1" w:lastColumn="1" w:noHBand="0" w:noVBand="0"/>
      </w:tblPr>
      <w:tblGrid>
        <w:gridCol w:w="3256"/>
        <w:gridCol w:w="2781"/>
        <w:gridCol w:w="3023"/>
      </w:tblGrid>
      <w:tr w:rsidR="007F537B" w:rsidRPr="001B62FE" w14:paraId="6A048BFC" w14:textId="77777777" w:rsidTr="00F61FED">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256" w:type="dxa"/>
          </w:tcPr>
          <w:p w14:paraId="6ACAFA8B" w14:textId="77777777" w:rsidR="007F537B" w:rsidRPr="001B62FE" w:rsidRDefault="007F537B" w:rsidP="00B74324">
            <w:pPr>
              <w:keepNext w:val="0"/>
              <w:rPr>
                <w:rFonts w:cs="Arial"/>
                <w:b w:val="0"/>
                <w:sz w:val="20"/>
                <w:szCs w:val="20"/>
              </w:rPr>
            </w:pPr>
            <w:r w:rsidRPr="001B62FE">
              <w:rPr>
                <w:rFonts w:cs="Arial"/>
                <w:b w:val="0"/>
                <w:sz w:val="20"/>
                <w:szCs w:val="20"/>
              </w:rPr>
              <w:t>The requirements are outlined in</w:t>
            </w:r>
          </w:p>
        </w:tc>
        <w:tc>
          <w:tcPr>
            <w:tcW w:w="2781" w:type="dxa"/>
          </w:tcPr>
          <w:p w14:paraId="07FA994A" w14:textId="77777777" w:rsidR="007F537B" w:rsidRPr="001B62FE" w:rsidRDefault="007F537B" w:rsidP="009D08B6">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B62FE">
              <w:rPr>
                <w:rFonts w:cs="Arial"/>
                <w:b w:val="0"/>
                <w:sz w:val="20"/>
                <w:szCs w:val="20"/>
              </w:rPr>
              <w:t xml:space="preserve">which is located in the </w:t>
            </w:r>
          </w:p>
        </w:tc>
        <w:tc>
          <w:tcPr>
            <w:tcW w:w="3023" w:type="dxa"/>
          </w:tcPr>
          <w:p w14:paraId="33D769D9" w14:textId="77777777" w:rsidR="007F537B" w:rsidRPr="001B62FE" w:rsidRDefault="007F537B" w:rsidP="009D08B6">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B62FE">
              <w:rPr>
                <w:rFonts w:cs="Arial"/>
                <w:b w:val="0"/>
                <w:sz w:val="20"/>
                <w:szCs w:val="20"/>
              </w:rPr>
              <w:t xml:space="preserve">and </w:t>
            </w:r>
          </w:p>
        </w:tc>
      </w:tr>
      <w:tr w:rsidR="007F537B" w:rsidRPr="001B62FE" w14:paraId="4A3B6414" w14:textId="77777777" w:rsidTr="00F61FED">
        <w:tc>
          <w:tcPr>
            <w:cnfStyle w:val="001000000000" w:firstRow="0" w:lastRow="0" w:firstColumn="1" w:lastColumn="0" w:oddVBand="0" w:evenVBand="0" w:oddHBand="0" w:evenHBand="0" w:firstRowFirstColumn="0" w:firstRowLastColumn="0" w:lastRowFirstColumn="0" w:lastRowLastColumn="0"/>
            <w:tcW w:w="3256" w:type="dxa"/>
          </w:tcPr>
          <w:p w14:paraId="4B7B40CD" w14:textId="77777777" w:rsidR="007F537B" w:rsidRPr="001B62FE" w:rsidRDefault="007F537B" w:rsidP="009D08B6">
            <w:pPr>
              <w:rPr>
                <w:rFonts w:cs="Arial"/>
                <w:sz w:val="20"/>
                <w:szCs w:val="20"/>
              </w:rPr>
            </w:pPr>
            <w:r w:rsidRPr="001B62FE">
              <w:rPr>
                <w:rFonts w:cs="Arial"/>
                <w:sz w:val="20"/>
                <w:szCs w:val="20"/>
              </w:rPr>
              <w:t>Essential Principle 9.2—Minimisation of risks associated with use of medical devices</w:t>
            </w:r>
          </w:p>
        </w:tc>
        <w:tc>
          <w:tcPr>
            <w:tcW w:w="2781" w:type="dxa"/>
          </w:tcPr>
          <w:p w14:paraId="5271D4C9"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Essential Principles, Schedule 1, </w:t>
            </w:r>
            <w:r w:rsidRPr="001B62FE">
              <w:rPr>
                <w:rFonts w:cs="Arial"/>
                <w:i/>
                <w:sz w:val="20"/>
                <w:szCs w:val="20"/>
              </w:rPr>
              <w:t>Therapeutic Goods (Medical Devices) Regulations 2002</w:t>
            </w:r>
          </w:p>
        </w:tc>
        <w:tc>
          <w:tcPr>
            <w:tcW w:w="3023" w:type="dxa"/>
          </w:tcPr>
          <w:p w14:paraId="73FCF477"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outlines requirements for the risk of reciprocal interference involving other devices </w:t>
            </w:r>
          </w:p>
        </w:tc>
      </w:tr>
      <w:tr w:rsidR="007F537B" w:rsidRPr="001B62FE" w14:paraId="1BA6F790" w14:textId="77777777" w:rsidTr="00F61FED">
        <w:tc>
          <w:tcPr>
            <w:cnfStyle w:val="001000000000" w:firstRow="0" w:lastRow="0" w:firstColumn="1" w:lastColumn="0" w:oddVBand="0" w:evenVBand="0" w:oddHBand="0" w:evenHBand="0" w:firstRowFirstColumn="0" w:firstRowLastColumn="0" w:lastRowFirstColumn="0" w:lastRowLastColumn="0"/>
            <w:tcW w:w="3256" w:type="dxa"/>
          </w:tcPr>
          <w:p w14:paraId="637B2E00" w14:textId="77777777" w:rsidR="007F537B" w:rsidRPr="001B62FE" w:rsidRDefault="007F537B" w:rsidP="009D08B6">
            <w:pPr>
              <w:rPr>
                <w:rFonts w:cs="Arial"/>
                <w:sz w:val="20"/>
                <w:szCs w:val="20"/>
              </w:rPr>
            </w:pPr>
            <w:r w:rsidRPr="001B62FE">
              <w:rPr>
                <w:rFonts w:cs="Arial"/>
                <w:sz w:val="20"/>
                <w:szCs w:val="20"/>
              </w:rPr>
              <w:t>Essential Principle 12—Medical devices connected to or equipped with an energy source</w:t>
            </w:r>
          </w:p>
        </w:tc>
        <w:tc>
          <w:tcPr>
            <w:tcW w:w="2781" w:type="dxa"/>
          </w:tcPr>
          <w:p w14:paraId="07A0B4EF"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Essential Principles, Schedule 1, </w:t>
            </w:r>
            <w:r w:rsidRPr="001B62FE">
              <w:rPr>
                <w:rFonts w:cs="Arial"/>
                <w:i/>
                <w:sz w:val="20"/>
                <w:szCs w:val="20"/>
              </w:rPr>
              <w:t>Therapeutic Goods (Medical Devices) Regulations 2002</w:t>
            </w:r>
          </w:p>
        </w:tc>
        <w:tc>
          <w:tcPr>
            <w:tcW w:w="3023" w:type="dxa"/>
          </w:tcPr>
          <w:p w14:paraId="3B49DCC3"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outlines requirements for the safety and performance of active devices.</w:t>
            </w:r>
          </w:p>
        </w:tc>
      </w:tr>
      <w:tr w:rsidR="007F537B" w:rsidRPr="001B62FE" w14:paraId="6B381070" w14:textId="77777777" w:rsidTr="00F61FED">
        <w:tc>
          <w:tcPr>
            <w:cnfStyle w:val="001000000000" w:firstRow="0" w:lastRow="0" w:firstColumn="1" w:lastColumn="0" w:oddVBand="0" w:evenVBand="0" w:oddHBand="0" w:evenHBand="0" w:firstRowFirstColumn="0" w:firstRowLastColumn="0" w:lastRowFirstColumn="0" w:lastRowLastColumn="0"/>
            <w:tcW w:w="3256" w:type="dxa"/>
          </w:tcPr>
          <w:p w14:paraId="6F74172B" w14:textId="77777777" w:rsidR="007F537B" w:rsidRPr="001B62FE" w:rsidRDefault="007F537B" w:rsidP="009D08B6">
            <w:pPr>
              <w:rPr>
                <w:rFonts w:cs="Arial"/>
                <w:sz w:val="20"/>
                <w:szCs w:val="20"/>
              </w:rPr>
            </w:pPr>
            <w:r w:rsidRPr="001B62FE">
              <w:rPr>
                <w:rFonts w:cs="Arial"/>
                <w:sz w:val="20"/>
                <w:szCs w:val="20"/>
              </w:rPr>
              <w:t>Part 4—Special rules for active</w:t>
            </w:r>
            <w:r w:rsidRPr="001B62FE">
              <w:rPr>
                <w:rFonts w:cs="Arial"/>
                <w:smallCaps/>
                <w:sz w:val="20"/>
                <w:szCs w:val="20"/>
              </w:rPr>
              <w:t xml:space="preserve"> </w:t>
            </w:r>
            <w:r w:rsidRPr="001B62FE">
              <w:rPr>
                <w:rFonts w:cs="Arial"/>
                <w:sz w:val="20"/>
                <w:szCs w:val="20"/>
              </w:rPr>
              <w:t>medical devices</w:t>
            </w:r>
          </w:p>
        </w:tc>
        <w:tc>
          <w:tcPr>
            <w:tcW w:w="2781" w:type="dxa"/>
          </w:tcPr>
          <w:p w14:paraId="53A9ADE1"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Classification rules, Schedule 2, </w:t>
            </w:r>
            <w:r w:rsidRPr="001B62FE">
              <w:rPr>
                <w:rFonts w:cs="Arial"/>
                <w:i/>
                <w:sz w:val="20"/>
                <w:szCs w:val="20"/>
              </w:rPr>
              <w:t>Therapeutic Goods (Medical Devices) Regulations 2002</w:t>
            </w:r>
          </w:p>
        </w:tc>
        <w:tc>
          <w:tcPr>
            <w:tcW w:w="3023" w:type="dxa"/>
          </w:tcPr>
          <w:p w14:paraId="2F8061E3"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provides information for determining the classification of an active device.</w:t>
            </w:r>
          </w:p>
        </w:tc>
      </w:tr>
      <w:tr w:rsidR="007F537B" w:rsidRPr="001B62FE" w14:paraId="5F7CCDDC" w14:textId="77777777" w:rsidTr="00F61FED">
        <w:tc>
          <w:tcPr>
            <w:cnfStyle w:val="001000000000" w:firstRow="0" w:lastRow="0" w:firstColumn="1" w:lastColumn="0" w:oddVBand="0" w:evenVBand="0" w:oddHBand="0" w:evenHBand="0" w:firstRowFirstColumn="0" w:firstRowLastColumn="0" w:lastRowFirstColumn="0" w:lastRowLastColumn="0"/>
            <w:tcW w:w="3256" w:type="dxa"/>
          </w:tcPr>
          <w:p w14:paraId="60DB83C2" w14:textId="77777777" w:rsidR="007F537B" w:rsidRPr="001B62FE" w:rsidRDefault="007F537B" w:rsidP="009D08B6">
            <w:pPr>
              <w:rPr>
                <w:rFonts w:cs="Arial"/>
                <w:sz w:val="20"/>
                <w:szCs w:val="20"/>
              </w:rPr>
            </w:pPr>
            <w:r w:rsidRPr="001B62FE">
              <w:rPr>
                <w:rFonts w:cs="Arial"/>
                <w:sz w:val="20"/>
                <w:szCs w:val="20"/>
              </w:rPr>
              <w:t>Part 5.4—Medical devices that record patient images or that are anatomical models, etc.</w:t>
            </w:r>
          </w:p>
        </w:tc>
        <w:tc>
          <w:tcPr>
            <w:tcW w:w="2781" w:type="dxa"/>
          </w:tcPr>
          <w:p w14:paraId="605A990B"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Classification rules, Schedule 2, </w:t>
            </w:r>
            <w:r w:rsidRPr="001B62FE">
              <w:rPr>
                <w:rFonts w:cs="Arial"/>
                <w:i/>
                <w:sz w:val="20"/>
                <w:szCs w:val="20"/>
              </w:rPr>
              <w:t>Therapeutic Goods (Medical Devices) Regulations 2002</w:t>
            </w:r>
          </w:p>
        </w:tc>
        <w:tc>
          <w:tcPr>
            <w:tcW w:w="3023" w:type="dxa"/>
          </w:tcPr>
          <w:p w14:paraId="0EAE2699"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provides information for determining the classification of active devices that are:</w:t>
            </w:r>
          </w:p>
          <w:p w14:paraId="4A0B68C3"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used to record patient images, </w:t>
            </w:r>
          </w:p>
          <w:p w14:paraId="32BEEEFC"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that are anatomical models (e.g., virtual 3D-models), or </w:t>
            </w:r>
          </w:p>
          <w:p w14:paraId="61E313D5"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that are used to generate virtual 3D-models.</w:t>
            </w:r>
          </w:p>
        </w:tc>
      </w:tr>
      <w:tr w:rsidR="007F537B" w:rsidRPr="001B62FE" w14:paraId="41812D19" w14:textId="77777777" w:rsidTr="00F61FED">
        <w:tc>
          <w:tcPr>
            <w:cnfStyle w:val="001000000000" w:firstRow="0" w:lastRow="0" w:firstColumn="1" w:lastColumn="0" w:oddVBand="0" w:evenVBand="0" w:oddHBand="0" w:evenHBand="0" w:firstRowFirstColumn="0" w:firstRowLastColumn="0" w:lastRowFirstColumn="0" w:lastRowLastColumn="0"/>
            <w:tcW w:w="3256" w:type="dxa"/>
          </w:tcPr>
          <w:p w14:paraId="51F257F3" w14:textId="77777777" w:rsidR="007F537B" w:rsidRPr="001B62FE" w:rsidRDefault="007F537B" w:rsidP="009D08B6">
            <w:pPr>
              <w:rPr>
                <w:rFonts w:cs="Arial"/>
                <w:sz w:val="20"/>
                <w:szCs w:val="20"/>
              </w:rPr>
            </w:pPr>
            <w:r w:rsidRPr="001B62FE">
              <w:rPr>
                <w:rFonts w:cs="Arial"/>
                <w:sz w:val="20"/>
                <w:szCs w:val="20"/>
              </w:rPr>
              <w:t>Part 5.7 Special rules relating to active</w:t>
            </w:r>
            <w:r w:rsidRPr="001B62FE">
              <w:rPr>
                <w:rFonts w:cs="Arial"/>
                <w:smallCaps/>
                <w:sz w:val="20"/>
                <w:szCs w:val="20"/>
              </w:rPr>
              <w:t xml:space="preserve"> </w:t>
            </w:r>
            <w:r w:rsidRPr="001B62FE">
              <w:rPr>
                <w:rFonts w:cs="Arial"/>
                <w:sz w:val="20"/>
                <w:szCs w:val="20"/>
              </w:rPr>
              <w:t>implantable</w:t>
            </w:r>
            <w:r w:rsidRPr="001B62FE">
              <w:rPr>
                <w:rFonts w:cs="Arial"/>
                <w:smallCaps/>
                <w:sz w:val="20"/>
                <w:szCs w:val="20"/>
              </w:rPr>
              <w:t xml:space="preserve"> </w:t>
            </w:r>
            <w:r w:rsidRPr="001B62FE">
              <w:rPr>
                <w:rFonts w:cs="Arial"/>
                <w:sz w:val="20"/>
                <w:szCs w:val="20"/>
              </w:rPr>
              <w:t>medical devices</w:t>
            </w:r>
          </w:p>
        </w:tc>
        <w:tc>
          <w:tcPr>
            <w:tcW w:w="2781" w:type="dxa"/>
          </w:tcPr>
          <w:p w14:paraId="5924D5C0"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Classification rules, Schedule 2, </w:t>
            </w:r>
            <w:r w:rsidRPr="001B62FE">
              <w:rPr>
                <w:rFonts w:cs="Arial"/>
                <w:i/>
                <w:sz w:val="20"/>
                <w:szCs w:val="20"/>
              </w:rPr>
              <w:t>Therapeutic Goods (Medical Devices) Regulations 2002</w:t>
            </w:r>
          </w:p>
        </w:tc>
        <w:tc>
          <w:tcPr>
            <w:tcW w:w="3023" w:type="dxa"/>
          </w:tcPr>
          <w:p w14:paraId="752903BC"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provides information for determining the classification of active</w:t>
            </w:r>
            <w:r w:rsidRPr="001B62FE">
              <w:rPr>
                <w:rFonts w:cs="Arial"/>
                <w:smallCaps/>
                <w:sz w:val="20"/>
                <w:szCs w:val="20"/>
              </w:rPr>
              <w:t xml:space="preserve"> </w:t>
            </w:r>
            <w:r w:rsidRPr="001B62FE">
              <w:rPr>
                <w:rFonts w:cs="Arial"/>
                <w:sz w:val="20"/>
                <w:szCs w:val="20"/>
              </w:rPr>
              <w:t>implantable</w:t>
            </w:r>
            <w:r w:rsidRPr="001B62FE">
              <w:rPr>
                <w:rFonts w:cs="Arial"/>
                <w:smallCaps/>
                <w:sz w:val="20"/>
                <w:szCs w:val="20"/>
              </w:rPr>
              <w:t xml:space="preserve"> </w:t>
            </w:r>
            <w:r w:rsidRPr="001B62FE">
              <w:rPr>
                <w:rFonts w:cs="Arial"/>
                <w:sz w:val="20"/>
                <w:szCs w:val="20"/>
              </w:rPr>
              <w:t>medical devices and associated medical devices.</w:t>
            </w:r>
          </w:p>
        </w:tc>
      </w:tr>
    </w:tbl>
    <w:p w14:paraId="13ABDDD8" w14:textId="50C389DC" w:rsidR="007F537B" w:rsidRPr="001B62FE" w:rsidRDefault="007F537B" w:rsidP="007F537B">
      <w:pPr>
        <w:rPr>
          <w:rFonts w:ascii="Arial" w:hAnsi="Arial" w:cs="Arial"/>
        </w:rPr>
      </w:pPr>
      <w:r w:rsidRPr="001B62FE">
        <w:rPr>
          <w:rFonts w:ascii="Arial" w:hAnsi="Arial" w:cs="Arial"/>
        </w:rPr>
        <w:lastRenderedPageBreak/>
        <w:t>Further information on the classification of active medical devices is available</w:t>
      </w:r>
      <w:r w:rsidR="00CF1E78" w:rsidRPr="001B62FE">
        <w:rPr>
          <w:rFonts w:ascii="Arial" w:hAnsi="Arial" w:cs="Arial"/>
        </w:rPr>
        <w:t xml:space="preserve"> </w:t>
      </w:r>
      <w:hyperlink r:id="rId15" w:history="1">
        <w:r w:rsidR="00CF1E78" w:rsidRPr="001B62FE">
          <w:rPr>
            <w:rStyle w:val="Hyperlink"/>
            <w:rFonts w:cs="Arial"/>
          </w:rPr>
          <w:t>at Classification of active medical devices (including software-based medical devices)</w:t>
        </w:r>
      </w:hyperlink>
      <w:r w:rsidR="00CF1E78" w:rsidRPr="001B62FE">
        <w:rPr>
          <w:rFonts w:ascii="Arial" w:hAnsi="Arial" w:cs="Arial"/>
        </w:rPr>
        <w:t>.</w:t>
      </w:r>
      <w:r w:rsidRPr="001B62FE">
        <w:rPr>
          <w:rFonts w:ascii="Arial" w:hAnsi="Arial" w:cs="Arial"/>
        </w:rPr>
        <w:t xml:space="preserve"> </w:t>
      </w:r>
      <w:bookmarkStart w:id="8" w:name="_Toc248898218"/>
      <w:bookmarkStart w:id="9" w:name="_Toc280874317"/>
      <w:bookmarkStart w:id="10" w:name="_Toc293043347"/>
    </w:p>
    <w:p w14:paraId="436A5F11" w14:textId="77777777" w:rsidR="007F537B" w:rsidRPr="001B62FE" w:rsidRDefault="007F537B" w:rsidP="007F537B">
      <w:pPr>
        <w:pStyle w:val="Heading2"/>
        <w:rPr>
          <w:rFonts w:cs="Arial"/>
          <w:sz w:val="20"/>
          <w:szCs w:val="20"/>
        </w:rPr>
      </w:pPr>
      <w:bookmarkStart w:id="11" w:name="_Toc81409968"/>
      <w:bookmarkStart w:id="12" w:name="_Toc142057558"/>
      <w:r w:rsidRPr="001B62FE">
        <w:rPr>
          <w:rFonts w:cs="Arial"/>
          <w:sz w:val="20"/>
          <w:szCs w:val="20"/>
        </w:rPr>
        <w:t>Different forms of energy</w:t>
      </w:r>
      <w:bookmarkEnd w:id="8"/>
      <w:bookmarkEnd w:id="9"/>
      <w:bookmarkEnd w:id="10"/>
      <w:bookmarkEnd w:id="11"/>
      <w:bookmarkEnd w:id="12"/>
    </w:p>
    <w:p w14:paraId="62CDE079" w14:textId="77777777" w:rsidR="007F537B" w:rsidRPr="001B62FE" w:rsidRDefault="007F537B" w:rsidP="007F537B">
      <w:pPr>
        <w:rPr>
          <w:rFonts w:ascii="Arial" w:hAnsi="Arial" w:cs="Arial"/>
        </w:rPr>
      </w:pPr>
      <w:r w:rsidRPr="001B62FE">
        <w:rPr>
          <w:rFonts w:ascii="Arial" w:hAnsi="Arial" w:cs="Arial"/>
        </w:rPr>
        <w:t xml:space="preserve">The following table describes different forms of energy to help manufacturers that fall within the definition of active medical device. </w:t>
      </w:r>
    </w:p>
    <w:tbl>
      <w:tblPr>
        <w:tblStyle w:val="TableTGAblue2023"/>
        <w:tblW w:w="0" w:type="auto"/>
        <w:tblLook w:val="01E0" w:firstRow="1" w:lastRow="1" w:firstColumn="1" w:lastColumn="1" w:noHBand="0" w:noVBand="0"/>
      </w:tblPr>
      <w:tblGrid>
        <w:gridCol w:w="1790"/>
        <w:gridCol w:w="2335"/>
        <w:gridCol w:w="2402"/>
        <w:gridCol w:w="2533"/>
      </w:tblGrid>
      <w:tr w:rsidR="007F537B" w:rsidRPr="001B62FE" w14:paraId="3449D260" w14:textId="77777777" w:rsidTr="001B62FE">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Pr>
          <w:p w14:paraId="0F295EDF" w14:textId="77777777" w:rsidR="007F537B" w:rsidRPr="001B62FE" w:rsidRDefault="007F537B" w:rsidP="00CF1E78">
            <w:pPr>
              <w:rPr>
                <w:rFonts w:cs="Arial"/>
                <w:bCs/>
                <w:sz w:val="20"/>
                <w:szCs w:val="20"/>
              </w:rPr>
            </w:pPr>
            <w:r w:rsidRPr="001B62FE">
              <w:rPr>
                <w:rFonts w:cs="Arial"/>
                <w:bCs/>
                <w:sz w:val="20"/>
                <w:szCs w:val="20"/>
              </w:rPr>
              <w:t>Form</w:t>
            </w:r>
          </w:p>
        </w:tc>
        <w:tc>
          <w:tcPr>
            <w:tcW w:w="0" w:type="auto"/>
          </w:tcPr>
          <w:p w14:paraId="41294D7B" w14:textId="77777777" w:rsidR="007F537B" w:rsidRPr="001B62FE" w:rsidRDefault="007F537B" w:rsidP="00CF1E78">
            <w:pP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1B62FE">
              <w:rPr>
                <w:rFonts w:cs="Arial"/>
                <w:bCs/>
                <w:sz w:val="20"/>
                <w:szCs w:val="20"/>
              </w:rPr>
              <w:t>Description</w:t>
            </w:r>
          </w:p>
        </w:tc>
        <w:tc>
          <w:tcPr>
            <w:tcW w:w="0" w:type="auto"/>
          </w:tcPr>
          <w:p w14:paraId="688E3190" w14:textId="66CA1DB5" w:rsidR="007F537B" w:rsidRPr="001B62FE" w:rsidRDefault="007F537B" w:rsidP="00CF1E78">
            <w:pP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1B62FE">
              <w:rPr>
                <w:rFonts w:cs="Arial"/>
                <w:bCs/>
                <w:sz w:val="20"/>
                <w:szCs w:val="20"/>
              </w:rPr>
              <w:t>Comments</w:t>
            </w:r>
          </w:p>
        </w:tc>
        <w:tc>
          <w:tcPr>
            <w:tcW w:w="0" w:type="auto"/>
          </w:tcPr>
          <w:p w14:paraId="32103EE6" w14:textId="77777777" w:rsidR="007F537B" w:rsidRPr="001B62FE" w:rsidRDefault="007F537B" w:rsidP="00CF1E78">
            <w:pPr>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1B62FE">
              <w:rPr>
                <w:rFonts w:cs="Arial"/>
                <w:bCs/>
                <w:sz w:val="20"/>
                <w:szCs w:val="20"/>
              </w:rPr>
              <w:t>Medical Device Examples</w:t>
            </w:r>
          </w:p>
        </w:tc>
      </w:tr>
      <w:tr w:rsidR="007F537B" w:rsidRPr="001B62FE" w14:paraId="18C906C8" w14:textId="77777777" w:rsidTr="001B62FE">
        <w:tc>
          <w:tcPr>
            <w:cnfStyle w:val="001000000000" w:firstRow="0" w:lastRow="0" w:firstColumn="1" w:lastColumn="0" w:oddVBand="0" w:evenVBand="0" w:oddHBand="0" w:evenHBand="0" w:firstRowFirstColumn="0" w:firstRowLastColumn="0" w:lastRowFirstColumn="0" w:lastRowLastColumn="0"/>
            <w:tcW w:w="0" w:type="auto"/>
          </w:tcPr>
          <w:p w14:paraId="0F187808" w14:textId="77777777" w:rsidR="007F537B" w:rsidRPr="001B62FE" w:rsidRDefault="007F537B" w:rsidP="009D08B6">
            <w:pPr>
              <w:rPr>
                <w:rFonts w:cs="Arial"/>
                <w:sz w:val="20"/>
                <w:szCs w:val="20"/>
              </w:rPr>
            </w:pPr>
            <w:r w:rsidRPr="001B62FE">
              <w:rPr>
                <w:rFonts w:cs="Arial"/>
                <w:sz w:val="20"/>
                <w:szCs w:val="20"/>
              </w:rPr>
              <w:t>Chemical energy</w:t>
            </w:r>
          </w:p>
        </w:tc>
        <w:tc>
          <w:tcPr>
            <w:tcW w:w="0" w:type="auto"/>
          </w:tcPr>
          <w:p w14:paraId="38C18580"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Stored in batteries, liquids, gases, fuel, etc. </w:t>
            </w:r>
          </w:p>
        </w:tc>
        <w:tc>
          <w:tcPr>
            <w:tcW w:w="0" w:type="auto"/>
          </w:tcPr>
          <w:p w14:paraId="732B5AFC"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tcPr>
          <w:p w14:paraId="614E6D6E"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Chemical hot/cold packs</w:t>
            </w:r>
          </w:p>
        </w:tc>
      </w:tr>
      <w:tr w:rsidR="007F537B" w:rsidRPr="001B62FE" w14:paraId="68547A0B" w14:textId="77777777" w:rsidTr="001B62FE">
        <w:tc>
          <w:tcPr>
            <w:cnfStyle w:val="001000000000" w:firstRow="0" w:lastRow="0" w:firstColumn="1" w:lastColumn="0" w:oddVBand="0" w:evenVBand="0" w:oddHBand="0" w:evenHBand="0" w:firstRowFirstColumn="0" w:firstRowLastColumn="0" w:lastRowFirstColumn="0" w:lastRowLastColumn="0"/>
            <w:tcW w:w="0" w:type="auto"/>
          </w:tcPr>
          <w:p w14:paraId="7315D6C2" w14:textId="77777777" w:rsidR="007F537B" w:rsidRPr="001B62FE" w:rsidRDefault="007F537B" w:rsidP="009D08B6">
            <w:pPr>
              <w:rPr>
                <w:rFonts w:cs="Arial"/>
                <w:sz w:val="20"/>
                <w:szCs w:val="20"/>
              </w:rPr>
            </w:pPr>
            <w:r w:rsidRPr="001B62FE">
              <w:rPr>
                <w:rFonts w:cs="Arial"/>
                <w:sz w:val="20"/>
                <w:szCs w:val="20"/>
              </w:rPr>
              <w:t>Elastic energy</w:t>
            </w:r>
          </w:p>
        </w:tc>
        <w:tc>
          <w:tcPr>
            <w:tcW w:w="0" w:type="auto"/>
          </w:tcPr>
          <w:p w14:paraId="5B054E90" w14:textId="7BFDCF10" w:rsidR="007F537B" w:rsidRPr="001B62FE" w:rsidRDefault="007F537B" w:rsidP="001B62F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Energy is stored when something is stretched, squashed, etc.</w:t>
            </w:r>
          </w:p>
        </w:tc>
        <w:tc>
          <w:tcPr>
            <w:tcW w:w="0" w:type="auto"/>
          </w:tcPr>
          <w:p w14:paraId="75A3D502"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Includes clockwork-powered devices, spring-powered devices, </w:t>
            </w:r>
            <w:proofErr w:type="gramStart"/>
            <w:r w:rsidRPr="001B62FE">
              <w:rPr>
                <w:rFonts w:cs="Arial"/>
                <w:sz w:val="20"/>
                <w:szCs w:val="20"/>
              </w:rPr>
              <w:t>elastically-powered</w:t>
            </w:r>
            <w:proofErr w:type="gramEnd"/>
            <w:r w:rsidRPr="001B62FE">
              <w:rPr>
                <w:rFonts w:cs="Arial"/>
                <w:sz w:val="20"/>
                <w:szCs w:val="20"/>
              </w:rPr>
              <w:t xml:space="preserve"> devices, etc.</w:t>
            </w:r>
          </w:p>
          <w:p w14:paraId="292FA0BE"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Although human power is often applied to these devices in order to elastically deform, compress, or stretch them, the energy of operation is a transformation of the stored potential energy into kinetic energy.</w:t>
            </w:r>
          </w:p>
        </w:tc>
        <w:tc>
          <w:tcPr>
            <w:tcW w:w="0" w:type="auto"/>
          </w:tcPr>
          <w:p w14:paraId="23366BF9"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Spring-loaded syringe drivers</w:t>
            </w:r>
          </w:p>
          <w:p w14:paraId="68B44F56" w14:textId="31D27C77" w:rsidR="007F537B" w:rsidRPr="001B62FE" w:rsidRDefault="007F537B" w:rsidP="001B62FE">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Bellows drains</w:t>
            </w:r>
          </w:p>
        </w:tc>
      </w:tr>
      <w:tr w:rsidR="007F537B" w:rsidRPr="001B62FE" w14:paraId="3ACE7058" w14:textId="77777777" w:rsidTr="001B62FE">
        <w:tc>
          <w:tcPr>
            <w:cnfStyle w:val="001000000000" w:firstRow="0" w:lastRow="0" w:firstColumn="1" w:lastColumn="0" w:oddVBand="0" w:evenVBand="0" w:oddHBand="0" w:evenHBand="0" w:firstRowFirstColumn="0" w:firstRowLastColumn="0" w:lastRowFirstColumn="0" w:lastRowLastColumn="0"/>
            <w:tcW w:w="0" w:type="auto"/>
          </w:tcPr>
          <w:p w14:paraId="6A2011D1" w14:textId="55E1CA3A" w:rsidR="007F537B" w:rsidRPr="001B62FE" w:rsidRDefault="007F537B" w:rsidP="001B62FE">
            <w:pPr>
              <w:rPr>
                <w:rFonts w:cs="Arial"/>
                <w:sz w:val="20"/>
                <w:szCs w:val="20"/>
              </w:rPr>
            </w:pPr>
            <w:r w:rsidRPr="001B62FE">
              <w:rPr>
                <w:rFonts w:cs="Arial"/>
                <w:sz w:val="20"/>
                <w:szCs w:val="20"/>
              </w:rPr>
              <w:t>Electrical energy</w:t>
            </w:r>
          </w:p>
        </w:tc>
        <w:tc>
          <w:tcPr>
            <w:tcW w:w="0" w:type="auto"/>
          </w:tcPr>
          <w:p w14:paraId="3D0C26EB" w14:textId="09B3E216" w:rsidR="007F537B" w:rsidRPr="001B62FE" w:rsidRDefault="007F537B" w:rsidP="001B62F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Electrical energy is used to drive the action of the device, for example, turn a motor, emit heat, emit light, or emit electrical signals.</w:t>
            </w:r>
          </w:p>
        </w:tc>
        <w:tc>
          <w:tcPr>
            <w:tcW w:w="0" w:type="auto"/>
          </w:tcPr>
          <w:p w14:paraId="163DE701"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Mains (230V grid) power and batteries are the primary sources of electrical energy, although there are other methods of generating electric energy.</w:t>
            </w:r>
          </w:p>
        </w:tc>
        <w:tc>
          <w:tcPr>
            <w:tcW w:w="0" w:type="auto"/>
          </w:tcPr>
          <w:p w14:paraId="5FD3DED6"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Blood gas analysers (which measure electric potential relating to concentrations of gases in blood)</w:t>
            </w:r>
          </w:p>
          <w:p w14:paraId="5E18B0E6"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Electric devices such as drills</w:t>
            </w:r>
          </w:p>
          <w:p w14:paraId="74475CBD"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All electronic devices and computers</w:t>
            </w:r>
          </w:p>
          <w:p w14:paraId="70BDC228"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Software (used to control a computer)</w:t>
            </w:r>
          </w:p>
        </w:tc>
      </w:tr>
      <w:tr w:rsidR="007F537B" w:rsidRPr="001B62FE" w14:paraId="135A2E1B" w14:textId="77777777" w:rsidTr="001B62FE">
        <w:tc>
          <w:tcPr>
            <w:cnfStyle w:val="001000000000" w:firstRow="0" w:lastRow="0" w:firstColumn="1" w:lastColumn="0" w:oddVBand="0" w:evenVBand="0" w:oddHBand="0" w:evenHBand="0" w:firstRowFirstColumn="0" w:firstRowLastColumn="0" w:lastRowFirstColumn="0" w:lastRowLastColumn="0"/>
            <w:tcW w:w="0" w:type="auto"/>
          </w:tcPr>
          <w:p w14:paraId="728CB099" w14:textId="54F526A8" w:rsidR="007F537B" w:rsidRPr="001B62FE" w:rsidRDefault="007F537B" w:rsidP="001B62FE">
            <w:pPr>
              <w:rPr>
                <w:rFonts w:cs="Arial"/>
                <w:sz w:val="20"/>
                <w:szCs w:val="20"/>
              </w:rPr>
            </w:pPr>
            <w:r w:rsidRPr="001B62FE">
              <w:rPr>
                <w:rFonts w:cs="Arial"/>
                <w:sz w:val="20"/>
                <w:szCs w:val="20"/>
              </w:rPr>
              <w:t>Radioactivity</w:t>
            </w:r>
          </w:p>
        </w:tc>
        <w:tc>
          <w:tcPr>
            <w:tcW w:w="0" w:type="auto"/>
          </w:tcPr>
          <w:p w14:paraId="1A5FCA75"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Stored in the nuclei of atoms where energy is released from bonds in the nucleus rather than via the release of the electrons (see Electric energy above).</w:t>
            </w:r>
          </w:p>
        </w:tc>
        <w:tc>
          <w:tcPr>
            <w:tcW w:w="0" w:type="auto"/>
          </w:tcPr>
          <w:p w14:paraId="67E69B21"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The decay of isotopes is used for medical imaging and for cancer treatments (radiation oncology).</w:t>
            </w:r>
          </w:p>
        </w:tc>
        <w:tc>
          <w:tcPr>
            <w:tcW w:w="0" w:type="auto"/>
          </w:tcPr>
          <w:p w14:paraId="14DA3CC6"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Radioactive seeds/beads</w:t>
            </w:r>
          </w:p>
        </w:tc>
      </w:tr>
      <w:tr w:rsidR="007F537B" w:rsidRPr="001B62FE" w14:paraId="494C0792" w14:textId="77777777" w:rsidTr="001B62FE">
        <w:tc>
          <w:tcPr>
            <w:cnfStyle w:val="001000000000" w:firstRow="0" w:lastRow="0" w:firstColumn="1" w:lastColumn="0" w:oddVBand="0" w:evenVBand="0" w:oddHBand="0" w:evenHBand="0" w:firstRowFirstColumn="0" w:firstRowLastColumn="0" w:lastRowFirstColumn="0" w:lastRowLastColumn="0"/>
            <w:tcW w:w="0" w:type="auto"/>
          </w:tcPr>
          <w:p w14:paraId="464C9BEE" w14:textId="2703F0DA" w:rsidR="007F537B" w:rsidRPr="001B62FE" w:rsidRDefault="007F537B" w:rsidP="001B62FE">
            <w:pPr>
              <w:rPr>
                <w:rFonts w:cs="Arial"/>
                <w:sz w:val="20"/>
                <w:szCs w:val="20"/>
              </w:rPr>
            </w:pPr>
            <w:r w:rsidRPr="001B62FE">
              <w:rPr>
                <w:rFonts w:cs="Arial"/>
                <w:sz w:val="20"/>
                <w:szCs w:val="20"/>
              </w:rPr>
              <w:lastRenderedPageBreak/>
              <w:t>Magnetic energy</w:t>
            </w:r>
          </w:p>
        </w:tc>
        <w:tc>
          <w:tcPr>
            <w:tcW w:w="0" w:type="auto"/>
          </w:tcPr>
          <w:p w14:paraId="16C7ECEC" w14:textId="5D3B9EA1" w:rsidR="007F537B" w:rsidRPr="001B62FE" w:rsidRDefault="007F537B" w:rsidP="001B62FE">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Magnetic potential energy is closely related to electric potential energy (see above). A magnetic field can also impart energy to a particle within it.</w:t>
            </w:r>
          </w:p>
        </w:tc>
        <w:tc>
          <w:tcPr>
            <w:tcW w:w="0" w:type="auto"/>
          </w:tcPr>
          <w:p w14:paraId="0ED8CAF7"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Electric motors operate from magnetic fields interacting with electric currents </w:t>
            </w:r>
            <w:proofErr w:type="gramStart"/>
            <w:r w:rsidRPr="001B62FE">
              <w:rPr>
                <w:rFonts w:cs="Arial"/>
                <w:sz w:val="20"/>
                <w:szCs w:val="20"/>
              </w:rPr>
              <w:t>in order to</w:t>
            </w:r>
            <w:proofErr w:type="gramEnd"/>
            <w:r w:rsidRPr="001B62FE">
              <w:rPr>
                <w:rFonts w:cs="Arial"/>
                <w:sz w:val="20"/>
                <w:szCs w:val="20"/>
              </w:rPr>
              <w:t xml:space="preserve"> rotate. An alternator or electric generator works in the reverse: a (motor) generator is externally rotated, resulting in the generation of an electrical current.</w:t>
            </w:r>
          </w:p>
        </w:tc>
        <w:tc>
          <w:tcPr>
            <w:tcW w:w="0" w:type="auto"/>
          </w:tcPr>
          <w:p w14:paraId="2DEF262C"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Magnetic Resonance Imaging (MRI) machines use a magnetic field (and also radio waves) to excite particles within biological tissues</w:t>
            </w:r>
          </w:p>
          <w:p w14:paraId="4A98218D"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Electric dentist drills</w:t>
            </w:r>
          </w:p>
        </w:tc>
      </w:tr>
      <w:tr w:rsidR="007F537B" w:rsidRPr="001B62FE" w14:paraId="75AC20EE" w14:textId="77777777" w:rsidTr="001B62FE">
        <w:tc>
          <w:tcPr>
            <w:cnfStyle w:val="001000000000" w:firstRow="0" w:lastRow="0" w:firstColumn="1" w:lastColumn="0" w:oddVBand="0" w:evenVBand="0" w:oddHBand="0" w:evenHBand="0" w:firstRowFirstColumn="0" w:firstRowLastColumn="0" w:lastRowFirstColumn="0" w:lastRowLastColumn="0"/>
            <w:tcW w:w="0" w:type="auto"/>
          </w:tcPr>
          <w:p w14:paraId="077DC0CF" w14:textId="5341729C" w:rsidR="007F537B" w:rsidRPr="001B62FE" w:rsidRDefault="007F537B" w:rsidP="001B62FE">
            <w:pPr>
              <w:rPr>
                <w:rFonts w:cs="Arial"/>
                <w:sz w:val="20"/>
                <w:szCs w:val="20"/>
              </w:rPr>
            </w:pPr>
            <w:r w:rsidRPr="001B62FE">
              <w:rPr>
                <w:rFonts w:cs="Arial"/>
                <w:sz w:val="20"/>
                <w:szCs w:val="20"/>
              </w:rPr>
              <w:t>Electromagnetic radiation</w:t>
            </w:r>
          </w:p>
        </w:tc>
        <w:tc>
          <w:tcPr>
            <w:tcW w:w="0" w:type="auto"/>
          </w:tcPr>
          <w:p w14:paraId="7E5A6DE2"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Electromagnetic radiation is a flow of electromagnetic energy waves ranging from very long-wavelength radio waves to microwave, infrared, visible, ultraviolet, and X-rays, through to very short-wavelength gamma rays. </w:t>
            </w:r>
          </w:p>
        </w:tc>
        <w:tc>
          <w:tcPr>
            <w:tcW w:w="0" w:type="auto"/>
          </w:tcPr>
          <w:p w14:paraId="6E366924"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Electromagnetic radiation is microscopic kinetic (movement) energy.</w:t>
            </w:r>
          </w:p>
        </w:tc>
        <w:tc>
          <w:tcPr>
            <w:tcW w:w="0" w:type="auto"/>
          </w:tcPr>
          <w:p w14:paraId="386C759A"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UV phototherapy cabinets (for treating psoriasis); and </w:t>
            </w:r>
          </w:p>
          <w:p w14:paraId="33E86199"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X-ray imaging and therapy devices</w:t>
            </w:r>
          </w:p>
          <w:p w14:paraId="74F4FD73"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7F537B" w:rsidRPr="001B62FE" w14:paraId="1150C247" w14:textId="77777777" w:rsidTr="001B62FE">
        <w:tc>
          <w:tcPr>
            <w:cnfStyle w:val="001000000000" w:firstRow="0" w:lastRow="0" w:firstColumn="1" w:lastColumn="0" w:oddVBand="0" w:evenVBand="0" w:oddHBand="0" w:evenHBand="0" w:firstRowFirstColumn="0" w:firstRowLastColumn="0" w:lastRowFirstColumn="0" w:lastRowLastColumn="0"/>
            <w:tcW w:w="0" w:type="auto"/>
          </w:tcPr>
          <w:p w14:paraId="0CB86ECD" w14:textId="10D6A8A3" w:rsidR="007F537B" w:rsidRPr="001B62FE" w:rsidRDefault="007F537B" w:rsidP="001B62FE">
            <w:pPr>
              <w:rPr>
                <w:rFonts w:cs="Arial"/>
                <w:sz w:val="20"/>
                <w:szCs w:val="20"/>
              </w:rPr>
            </w:pPr>
            <w:r w:rsidRPr="001B62FE">
              <w:rPr>
                <w:rFonts w:cs="Arial"/>
                <w:sz w:val="20"/>
                <w:szCs w:val="20"/>
              </w:rPr>
              <w:t>Thermal energy</w:t>
            </w:r>
          </w:p>
        </w:tc>
        <w:tc>
          <w:tcPr>
            <w:tcW w:w="0" w:type="auto"/>
          </w:tcPr>
          <w:p w14:paraId="1A7F6B51"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Thermal (or heat) energy is microscopic movement energy. It is often realised as infrared waves. </w:t>
            </w:r>
          </w:p>
        </w:tc>
        <w:tc>
          <w:tcPr>
            <w:tcW w:w="0" w:type="auto"/>
          </w:tcPr>
          <w:p w14:paraId="2544C8C9"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Hot water packs are not active devices as there is no change in the form of energy.</w:t>
            </w:r>
          </w:p>
        </w:tc>
        <w:tc>
          <w:tcPr>
            <w:tcW w:w="0" w:type="auto"/>
          </w:tcPr>
          <w:p w14:paraId="5AD79000"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Electric warming blankets</w:t>
            </w:r>
          </w:p>
          <w:p w14:paraId="1ABC26B2"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Respiratory humidifiers</w:t>
            </w:r>
          </w:p>
          <w:p w14:paraId="3F253436"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Chemical heat packs</w:t>
            </w:r>
          </w:p>
        </w:tc>
      </w:tr>
      <w:tr w:rsidR="007F537B" w:rsidRPr="001B62FE" w14:paraId="0D8A4895" w14:textId="77777777" w:rsidTr="001B62FE">
        <w:tc>
          <w:tcPr>
            <w:cnfStyle w:val="001000000000" w:firstRow="0" w:lastRow="0" w:firstColumn="1" w:lastColumn="0" w:oddVBand="0" w:evenVBand="0" w:oddHBand="0" w:evenHBand="0" w:firstRowFirstColumn="0" w:firstRowLastColumn="0" w:lastRowFirstColumn="0" w:lastRowLastColumn="0"/>
            <w:tcW w:w="0" w:type="auto"/>
          </w:tcPr>
          <w:p w14:paraId="72A39AF9" w14:textId="03AE2EB8" w:rsidR="007F537B" w:rsidRPr="001B62FE" w:rsidRDefault="007F537B" w:rsidP="001B62FE">
            <w:pPr>
              <w:rPr>
                <w:rFonts w:cs="Arial"/>
                <w:sz w:val="20"/>
                <w:szCs w:val="20"/>
              </w:rPr>
            </w:pPr>
            <w:r w:rsidRPr="001B62FE">
              <w:rPr>
                <w:rFonts w:cs="Arial"/>
                <w:sz w:val="20"/>
                <w:szCs w:val="20"/>
              </w:rPr>
              <w:t>Pressure energy</w:t>
            </w:r>
          </w:p>
        </w:tc>
        <w:tc>
          <w:tcPr>
            <w:tcW w:w="0" w:type="auto"/>
          </w:tcPr>
          <w:p w14:paraId="097D47C2"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Pressure is stored as potential energy and is often converted to kinetic (movement energy) via conversion of a high-pressure source to a low pressure one. </w:t>
            </w:r>
          </w:p>
        </w:tc>
        <w:tc>
          <w:tcPr>
            <w:tcW w:w="0" w:type="auto"/>
          </w:tcPr>
          <w:p w14:paraId="26369659"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The conversion is then from an amount of potential energy to an amount of kinetic energy and a smaller remaining amount of potential energy.</w:t>
            </w:r>
          </w:p>
        </w:tc>
        <w:tc>
          <w:tcPr>
            <w:tcW w:w="0" w:type="auto"/>
          </w:tcPr>
          <w:p w14:paraId="1732A901"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Air turbine- powered dentist drill — a flow of released compressed air (potential pressure energy) pushes on the blades of the turbine (this is a conversion of potential to kinetic energy) and transfers some of this airflow into rotation of the turbine shaft</w:t>
            </w:r>
          </w:p>
        </w:tc>
      </w:tr>
      <w:tr w:rsidR="007F537B" w:rsidRPr="001B62FE" w14:paraId="1004A906" w14:textId="77777777" w:rsidTr="001B62FE">
        <w:tc>
          <w:tcPr>
            <w:cnfStyle w:val="001000000000" w:firstRow="0" w:lastRow="0" w:firstColumn="1" w:lastColumn="0" w:oddVBand="0" w:evenVBand="0" w:oddHBand="0" w:evenHBand="0" w:firstRowFirstColumn="0" w:firstRowLastColumn="0" w:lastRowFirstColumn="0" w:lastRowLastColumn="0"/>
            <w:tcW w:w="0" w:type="auto"/>
          </w:tcPr>
          <w:p w14:paraId="0D0F3EF8" w14:textId="77777777" w:rsidR="007F537B" w:rsidRPr="001B62FE" w:rsidRDefault="007F537B" w:rsidP="009D08B6">
            <w:pPr>
              <w:rPr>
                <w:rFonts w:cs="Arial"/>
                <w:sz w:val="20"/>
                <w:szCs w:val="20"/>
              </w:rPr>
            </w:pPr>
            <w:r w:rsidRPr="001B62FE">
              <w:rPr>
                <w:rFonts w:cs="Arial"/>
                <w:sz w:val="20"/>
                <w:szCs w:val="20"/>
              </w:rPr>
              <w:t>Sound/acoustic/</w:t>
            </w:r>
          </w:p>
          <w:p w14:paraId="1CEF6479" w14:textId="77777777" w:rsidR="007F537B" w:rsidRPr="001B62FE" w:rsidRDefault="007F537B" w:rsidP="009D08B6">
            <w:pPr>
              <w:rPr>
                <w:rFonts w:cs="Arial"/>
                <w:sz w:val="20"/>
                <w:szCs w:val="20"/>
              </w:rPr>
            </w:pPr>
            <w:r w:rsidRPr="001B62FE">
              <w:rPr>
                <w:rFonts w:cs="Arial"/>
                <w:sz w:val="20"/>
                <w:szCs w:val="20"/>
              </w:rPr>
              <w:t>Sonic</w:t>
            </w:r>
          </w:p>
        </w:tc>
        <w:tc>
          <w:tcPr>
            <w:tcW w:w="0" w:type="auto"/>
          </w:tcPr>
          <w:p w14:paraId="26EE2829"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Sound or acoustic energy is a form of kinetic energy, realised as sound/air-pressure waves.</w:t>
            </w:r>
          </w:p>
        </w:tc>
        <w:tc>
          <w:tcPr>
            <w:tcW w:w="0" w:type="auto"/>
          </w:tcPr>
          <w:p w14:paraId="19877B33"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Many of these devices derive their primary power from an electrical source.</w:t>
            </w:r>
          </w:p>
        </w:tc>
        <w:tc>
          <w:tcPr>
            <w:tcW w:w="0" w:type="auto"/>
          </w:tcPr>
          <w:p w14:paraId="7D8DFFE2"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Ultrasound imagers</w:t>
            </w:r>
          </w:p>
          <w:p w14:paraId="4B9E6F52"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Hearing aids</w:t>
            </w:r>
          </w:p>
          <w:p w14:paraId="18217E20"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Ultrasonic nebulisers</w:t>
            </w:r>
          </w:p>
          <w:p w14:paraId="57F0433A"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 xml:space="preserve">Tinnitus maskers </w:t>
            </w:r>
          </w:p>
          <w:p w14:paraId="374FEB5A" w14:textId="77777777" w:rsidR="007F537B" w:rsidRPr="001B62FE" w:rsidRDefault="007F537B" w:rsidP="009D08B6">
            <w:pPr>
              <w:pStyle w:val="ListBullet"/>
              <w:tabs>
                <w:tab w:val="num" w:pos="360"/>
              </w:tabs>
              <w:spacing w:before="0" w:after="160"/>
              <w:cnfStyle w:val="000000000000" w:firstRow="0" w:lastRow="0" w:firstColumn="0" w:lastColumn="0" w:oddVBand="0" w:evenVBand="0" w:oddHBand="0" w:evenHBand="0" w:firstRowFirstColumn="0" w:firstRowLastColumn="0" w:lastRowFirstColumn="0" w:lastRowLastColumn="0"/>
              <w:rPr>
                <w:rFonts w:cs="Arial"/>
                <w:sz w:val="20"/>
                <w:szCs w:val="20"/>
              </w:rPr>
            </w:pPr>
            <w:r w:rsidRPr="001B62FE">
              <w:rPr>
                <w:rFonts w:cs="Arial"/>
                <w:sz w:val="20"/>
                <w:szCs w:val="20"/>
              </w:rPr>
              <w:t>Lithotripters</w:t>
            </w:r>
          </w:p>
        </w:tc>
      </w:tr>
    </w:tbl>
    <w:p w14:paraId="1FAE0417" w14:textId="77777777" w:rsidR="007F537B" w:rsidRPr="001B62FE" w:rsidRDefault="007F537B" w:rsidP="007F537B">
      <w:pPr>
        <w:pStyle w:val="Heading2"/>
        <w:rPr>
          <w:rFonts w:cs="Arial"/>
        </w:rPr>
      </w:pPr>
      <w:bookmarkStart w:id="13" w:name="_Toc81409969"/>
      <w:bookmarkStart w:id="14" w:name="_Toc142057559"/>
      <w:r w:rsidRPr="001B62FE">
        <w:rPr>
          <w:rFonts w:cs="Arial"/>
        </w:rPr>
        <w:lastRenderedPageBreak/>
        <w:t>Electromedical safety standards</w:t>
      </w:r>
      <w:bookmarkEnd w:id="13"/>
      <w:bookmarkEnd w:id="14"/>
    </w:p>
    <w:p w14:paraId="71DFA2E3" w14:textId="77777777" w:rsidR="007F537B" w:rsidRPr="001B62FE" w:rsidRDefault="007F537B" w:rsidP="007F537B">
      <w:pPr>
        <w:rPr>
          <w:rFonts w:ascii="Arial" w:hAnsi="Arial" w:cs="Arial"/>
        </w:rPr>
      </w:pPr>
      <w:r w:rsidRPr="001B62FE">
        <w:rPr>
          <w:rFonts w:ascii="Arial" w:hAnsi="Arial" w:cs="Arial"/>
        </w:rPr>
        <w:t>Electromedical devices are powered by electricity—mains, battery and low-powered devices.  Examples are pacemakers, pulse oximeters, and blood-pressure monitors.</w:t>
      </w:r>
    </w:p>
    <w:p w14:paraId="2B78C66E" w14:textId="77777777" w:rsidR="007F537B" w:rsidRPr="001B62FE" w:rsidRDefault="007F537B" w:rsidP="007F537B">
      <w:pPr>
        <w:rPr>
          <w:rFonts w:ascii="Arial" w:hAnsi="Arial" w:cs="Arial"/>
        </w:rPr>
      </w:pPr>
      <w:r w:rsidRPr="001B62FE">
        <w:rPr>
          <w:rFonts w:ascii="Arial" w:hAnsi="Arial" w:cs="Arial"/>
        </w:rPr>
        <w:t>There are potential safety risks to the patient and/or user if the medical device:</w:t>
      </w:r>
    </w:p>
    <w:p w14:paraId="536131AB" w14:textId="77777777" w:rsidR="007F537B" w:rsidRPr="001B62FE" w:rsidRDefault="007F537B" w:rsidP="007F537B">
      <w:pPr>
        <w:pStyle w:val="ListBullet"/>
        <w:rPr>
          <w:rFonts w:cs="Arial"/>
        </w:rPr>
      </w:pPr>
      <w:r w:rsidRPr="001B62FE">
        <w:rPr>
          <w:rFonts w:cs="Arial"/>
        </w:rPr>
        <w:t>causes the patient and/or user unintended exposure to electrical currents; and</w:t>
      </w:r>
    </w:p>
    <w:p w14:paraId="52BB4071" w14:textId="77777777" w:rsidR="007F537B" w:rsidRPr="001B62FE" w:rsidRDefault="007F537B" w:rsidP="007F537B">
      <w:pPr>
        <w:pStyle w:val="ListBullet"/>
        <w:rPr>
          <w:rFonts w:cs="Arial"/>
        </w:rPr>
      </w:pPr>
      <w:r w:rsidRPr="001B62FE">
        <w:rPr>
          <w:rFonts w:cs="Arial"/>
        </w:rPr>
        <w:t>interferes with or affects another electromedical device—Electromagnetic Compatibility (EMC).</w:t>
      </w:r>
    </w:p>
    <w:p w14:paraId="74A4084A" w14:textId="77777777" w:rsidR="007F537B" w:rsidRPr="001B62FE" w:rsidRDefault="007F537B" w:rsidP="007F537B">
      <w:pPr>
        <w:pStyle w:val="Heading3"/>
        <w:rPr>
          <w:rFonts w:cs="Arial"/>
        </w:rPr>
      </w:pPr>
      <w:bookmarkStart w:id="15" w:name="_Toc142057560"/>
      <w:r w:rsidRPr="001B62FE">
        <w:rPr>
          <w:rFonts w:cs="Arial"/>
        </w:rPr>
        <w:t>Guidance for manufacturers</w:t>
      </w:r>
      <w:bookmarkEnd w:id="15"/>
    </w:p>
    <w:p w14:paraId="53DEE589" w14:textId="77777777" w:rsidR="007F537B" w:rsidRPr="001B62FE" w:rsidRDefault="007F537B" w:rsidP="007F537B">
      <w:pPr>
        <w:rPr>
          <w:rFonts w:ascii="Arial" w:hAnsi="Arial" w:cs="Arial"/>
        </w:rPr>
      </w:pPr>
      <w:r w:rsidRPr="001B62FE">
        <w:rPr>
          <w:rFonts w:ascii="Arial" w:hAnsi="Arial" w:cs="Arial"/>
        </w:rPr>
        <w:t>If you are a manufacturer of an electromedical device, you must demonstrate compliance with:</w:t>
      </w:r>
    </w:p>
    <w:p w14:paraId="29188CEA" w14:textId="77777777" w:rsidR="007F537B" w:rsidRPr="001B62FE" w:rsidRDefault="007F537B" w:rsidP="007F537B">
      <w:pPr>
        <w:pStyle w:val="ListBullet"/>
        <w:rPr>
          <w:rFonts w:cs="Arial"/>
        </w:rPr>
      </w:pPr>
      <w:r w:rsidRPr="001B62FE">
        <w:rPr>
          <w:rFonts w:cs="Arial"/>
        </w:rPr>
        <w:t>Essential Principle 9.2: Minimisation of risks associated with use of medical devices; and</w:t>
      </w:r>
    </w:p>
    <w:p w14:paraId="2DE2C62D" w14:textId="77777777" w:rsidR="007F537B" w:rsidRPr="001B62FE" w:rsidRDefault="007F537B" w:rsidP="007F537B">
      <w:pPr>
        <w:pStyle w:val="ListBullet"/>
        <w:rPr>
          <w:rFonts w:cs="Arial"/>
        </w:rPr>
      </w:pPr>
      <w:r w:rsidRPr="001B62FE">
        <w:rPr>
          <w:rFonts w:cs="Arial"/>
        </w:rPr>
        <w:t>Essential Principle 12: Medical devices connected to or equipped with an energy source.</w:t>
      </w:r>
    </w:p>
    <w:p w14:paraId="6FD965AA" w14:textId="77777777" w:rsidR="007F537B" w:rsidRPr="001B62FE" w:rsidRDefault="007F537B" w:rsidP="007F537B">
      <w:pPr>
        <w:rPr>
          <w:rFonts w:ascii="Arial" w:hAnsi="Arial" w:cs="Arial"/>
        </w:rPr>
      </w:pPr>
      <w:r w:rsidRPr="001B62FE">
        <w:rPr>
          <w:rFonts w:ascii="Arial" w:hAnsi="Arial" w:cs="Arial"/>
        </w:rPr>
        <w:t>The most common way to demonstrate compliance is to meet a standard published by an Australian or international standards agency, or a similar standard.  If you choose to use other voluntary standards or methods, you must hold evidence that your chosen approach is applicable to your device and that its application satisfies the requirements of the Regulations.  The use of standards is not mandatory.</w:t>
      </w:r>
    </w:p>
    <w:p w14:paraId="021E293E" w14:textId="77777777" w:rsidR="007F537B" w:rsidRPr="001B62FE" w:rsidRDefault="007F537B" w:rsidP="007F537B">
      <w:pPr>
        <w:rPr>
          <w:rFonts w:ascii="Arial" w:hAnsi="Arial" w:cs="Arial"/>
        </w:rPr>
      </w:pPr>
      <w:r w:rsidRPr="001B62FE">
        <w:rPr>
          <w:rFonts w:ascii="Arial" w:hAnsi="Arial" w:cs="Arial"/>
        </w:rPr>
        <w:t>Standards that are commonly used to demonstrate compliance are detailed in the table below:</w:t>
      </w:r>
    </w:p>
    <w:tbl>
      <w:tblPr>
        <w:tblStyle w:val="TableTGAblue2023"/>
        <w:tblW w:w="0" w:type="auto"/>
        <w:tblLook w:val="01E0" w:firstRow="1" w:lastRow="1" w:firstColumn="1" w:lastColumn="1" w:noHBand="0" w:noVBand="0"/>
      </w:tblPr>
      <w:tblGrid>
        <w:gridCol w:w="4538"/>
        <w:gridCol w:w="4522"/>
      </w:tblGrid>
      <w:tr w:rsidR="007F537B" w:rsidRPr="001B62FE" w14:paraId="173B24BF" w14:textId="77777777" w:rsidTr="001B62FE">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763" w:type="dxa"/>
          </w:tcPr>
          <w:p w14:paraId="5A20D403" w14:textId="77777777" w:rsidR="007F537B" w:rsidRPr="001B62FE" w:rsidRDefault="007F537B" w:rsidP="009D08B6">
            <w:pPr>
              <w:rPr>
                <w:rFonts w:cs="Arial"/>
                <w:bCs/>
              </w:rPr>
            </w:pPr>
            <w:r w:rsidRPr="001B62FE">
              <w:rPr>
                <w:rFonts w:cs="Arial"/>
                <w:bCs/>
              </w:rPr>
              <w:t xml:space="preserve">Standard </w:t>
            </w:r>
          </w:p>
        </w:tc>
        <w:tc>
          <w:tcPr>
            <w:tcW w:w="4753" w:type="dxa"/>
          </w:tcPr>
          <w:p w14:paraId="3872628A" w14:textId="77777777" w:rsidR="007F537B" w:rsidRPr="001B62FE" w:rsidRDefault="007F537B" w:rsidP="009D08B6">
            <w:pPr>
              <w:cnfStyle w:val="100000000000" w:firstRow="1" w:lastRow="0" w:firstColumn="0" w:lastColumn="0" w:oddVBand="0" w:evenVBand="0" w:oddHBand="0" w:evenHBand="0" w:firstRowFirstColumn="0" w:firstRowLastColumn="0" w:lastRowFirstColumn="0" w:lastRowLastColumn="0"/>
              <w:rPr>
                <w:rFonts w:cs="Arial"/>
                <w:bCs/>
              </w:rPr>
            </w:pPr>
            <w:r w:rsidRPr="001B62FE">
              <w:rPr>
                <w:rFonts w:cs="Arial"/>
                <w:bCs/>
              </w:rPr>
              <w:t>Description</w:t>
            </w:r>
          </w:p>
        </w:tc>
      </w:tr>
      <w:tr w:rsidR="007F537B" w:rsidRPr="001B62FE" w14:paraId="232204F8" w14:textId="77777777" w:rsidTr="001B62FE">
        <w:tc>
          <w:tcPr>
            <w:cnfStyle w:val="001000000000" w:firstRow="0" w:lastRow="0" w:firstColumn="1" w:lastColumn="0" w:oddVBand="0" w:evenVBand="0" w:oddHBand="0" w:evenHBand="0" w:firstRowFirstColumn="0" w:firstRowLastColumn="0" w:lastRowFirstColumn="0" w:lastRowLastColumn="0"/>
            <w:tcW w:w="4763" w:type="dxa"/>
          </w:tcPr>
          <w:p w14:paraId="52FD7A58" w14:textId="77777777" w:rsidR="007F537B" w:rsidRPr="001B62FE" w:rsidRDefault="007F537B" w:rsidP="009D08B6">
            <w:pPr>
              <w:rPr>
                <w:rFonts w:cs="Arial"/>
              </w:rPr>
            </w:pPr>
            <w:r w:rsidRPr="001B62FE">
              <w:rPr>
                <w:rFonts w:cs="Arial"/>
              </w:rPr>
              <w:t xml:space="preserve">IEC 60601-1: Medical electrical equipment—Part 1: General requirements for basic safety and essential performance </w:t>
            </w:r>
          </w:p>
        </w:tc>
        <w:tc>
          <w:tcPr>
            <w:tcW w:w="4753" w:type="dxa"/>
          </w:tcPr>
          <w:p w14:paraId="614B5C55"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rPr>
            </w:pPr>
            <w:r w:rsidRPr="001B62FE">
              <w:rPr>
                <w:rFonts w:cs="Arial"/>
              </w:rPr>
              <w:t xml:space="preserve">Applies to the basic safety and essential performance of all general medical electrical equipment such as defibrillators, electrical beds, ECG monitors </w:t>
            </w:r>
          </w:p>
        </w:tc>
      </w:tr>
      <w:tr w:rsidR="007F537B" w:rsidRPr="001B62FE" w14:paraId="58906F5A" w14:textId="77777777" w:rsidTr="001B62FE">
        <w:tc>
          <w:tcPr>
            <w:cnfStyle w:val="001000000000" w:firstRow="0" w:lastRow="0" w:firstColumn="1" w:lastColumn="0" w:oddVBand="0" w:evenVBand="0" w:oddHBand="0" w:evenHBand="0" w:firstRowFirstColumn="0" w:firstRowLastColumn="0" w:lastRowFirstColumn="0" w:lastRowLastColumn="0"/>
            <w:tcW w:w="4763" w:type="dxa"/>
          </w:tcPr>
          <w:p w14:paraId="6B255AA2" w14:textId="77777777" w:rsidR="007F537B" w:rsidRPr="001B62FE" w:rsidRDefault="007F537B" w:rsidP="009D08B6">
            <w:pPr>
              <w:rPr>
                <w:rFonts w:cs="Arial"/>
              </w:rPr>
            </w:pPr>
            <w:r w:rsidRPr="001B62FE">
              <w:rPr>
                <w:rFonts w:cs="Arial"/>
              </w:rPr>
              <w:t>IEC 60601-1-2: Medical electrical equipment—Part 1-2: General requirements for basic safety and essential performance—Collateral standard: Electromagnetic disturbances – Requirements and tests</w:t>
            </w:r>
          </w:p>
        </w:tc>
        <w:tc>
          <w:tcPr>
            <w:tcW w:w="4753" w:type="dxa"/>
          </w:tcPr>
          <w:p w14:paraId="1312F011"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rPr>
            </w:pPr>
            <w:r w:rsidRPr="001B62FE">
              <w:rPr>
                <w:rFonts w:cs="Arial"/>
              </w:rPr>
              <w:t xml:space="preserve">Specifies general requirements and tests for EMC of medical equipment. Collateral standards serve as the basis for specific standards by applying additional requirements to those prescribed in the associated general standard(s). </w:t>
            </w:r>
          </w:p>
        </w:tc>
      </w:tr>
      <w:tr w:rsidR="007F537B" w:rsidRPr="001B62FE" w14:paraId="35ADA10D" w14:textId="77777777" w:rsidTr="001B62FE">
        <w:tc>
          <w:tcPr>
            <w:cnfStyle w:val="001000000000" w:firstRow="0" w:lastRow="0" w:firstColumn="1" w:lastColumn="0" w:oddVBand="0" w:evenVBand="0" w:oddHBand="0" w:evenHBand="0" w:firstRowFirstColumn="0" w:firstRowLastColumn="0" w:lastRowFirstColumn="0" w:lastRowLastColumn="0"/>
            <w:tcW w:w="4763" w:type="dxa"/>
          </w:tcPr>
          <w:p w14:paraId="380CABDC" w14:textId="77777777" w:rsidR="007F537B" w:rsidRPr="001B62FE" w:rsidRDefault="007F537B" w:rsidP="009D08B6">
            <w:pPr>
              <w:rPr>
                <w:rFonts w:cs="Arial"/>
              </w:rPr>
            </w:pPr>
            <w:r w:rsidRPr="001B62FE">
              <w:rPr>
                <w:rFonts w:cs="Arial"/>
              </w:rPr>
              <w:t xml:space="preserve">IEC 61010-1: Safety requirements for measurement, control, and laboratory use - General requirements </w:t>
            </w:r>
          </w:p>
        </w:tc>
        <w:tc>
          <w:tcPr>
            <w:tcW w:w="4753" w:type="dxa"/>
          </w:tcPr>
          <w:p w14:paraId="5929DA6E" w14:textId="77777777" w:rsidR="007F537B" w:rsidRPr="001B62FE" w:rsidRDefault="007F537B" w:rsidP="009D08B6">
            <w:pPr>
              <w:cnfStyle w:val="000000000000" w:firstRow="0" w:lastRow="0" w:firstColumn="0" w:lastColumn="0" w:oddVBand="0" w:evenVBand="0" w:oddHBand="0" w:evenHBand="0" w:firstRowFirstColumn="0" w:firstRowLastColumn="0" w:lastRowFirstColumn="0" w:lastRowLastColumn="0"/>
              <w:rPr>
                <w:rFonts w:cs="Arial"/>
              </w:rPr>
            </w:pPr>
            <w:r w:rsidRPr="001B62FE">
              <w:rPr>
                <w:rFonts w:cs="Arial"/>
              </w:rPr>
              <w:t xml:space="preserve">This international standard is applicable for some medical devices that are not in direct contact with patients. </w:t>
            </w:r>
            <w:proofErr w:type="gramStart"/>
            <w:r w:rsidRPr="001B62FE">
              <w:rPr>
                <w:rFonts w:cs="Arial"/>
              </w:rPr>
              <w:t>Example</w:t>
            </w:r>
            <w:proofErr w:type="gramEnd"/>
            <w:r w:rsidRPr="001B62FE">
              <w:rPr>
                <w:rFonts w:cs="Arial"/>
              </w:rPr>
              <w:t xml:space="preserve"> include bench-top sterilisers and ex vivo tissue-processing equipment</w:t>
            </w:r>
          </w:p>
        </w:tc>
      </w:tr>
    </w:tbl>
    <w:p w14:paraId="6108498F" w14:textId="77777777" w:rsidR="007F537B" w:rsidRPr="001B62FE" w:rsidRDefault="007F537B" w:rsidP="007F537B">
      <w:pPr>
        <w:pStyle w:val="Heading3"/>
        <w:rPr>
          <w:rFonts w:cs="Arial"/>
        </w:rPr>
      </w:pPr>
      <w:bookmarkStart w:id="16" w:name="_Toc81409970"/>
      <w:bookmarkStart w:id="17" w:name="_Toc142057561"/>
      <w:r w:rsidRPr="001B62FE">
        <w:rPr>
          <w:rFonts w:cs="Arial"/>
        </w:rPr>
        <w:t>Medical devices that connect to the public mains electricity supply</w:t>
      </w:r>
      <w:bookmarkEnd w:id="16"/>
      <w:bookmarkEnd w:id="17"/>
    </w:p>
    <w:p w14:paraId="15FAEAFD" w14:textId="65244F4B" w:rsidR="007F537B" w:rsidRPr="001B62FE" w:rsidRDefault="007F537B" w:rsidP="007F537B">
      <w:pPr>
        <w:rPr>
          <w:rFonts w:ascii="Arial" w:hAnsi="Arial" w:cs="Arial"/>
        </w:rPr>
      </w:pPr>
      <w:r w:rsidRPr="001B62FE">
        <w:rPr>
          <w:rFonts w:ascii="Arial" w:hAnsi="Arial" w:cs="Arial"/>
        </w:rPr>
        <w:t xml:space="preserve">In Australia, the public mains electricity supply is 230 volts, 50 Hz. In accordance with </w:t>
      </w:r>
      <w:r w:rsidRPr="001B62FE">
        <w:rPr>
          <w:rFonts w:ascii="Arial" w:hAnsi="Arial" w:cs="Arial"/>
          <w:i/>
          <w:iCs/>
        </w:rPr>
        <w:t>AS/NZS 3112—Approval and test specification—Plugs and socket-outlets</w:t>
      </w:r>
      <w:r w:rsidRPr="001B62FE">
        <w:rPr>
          <w:rFonts w:ascii="Arial" w:hAnsi="Arial" w:cs="Arial"/>
        </w:rPr>
        <w:t>, electrical equipment must be connected to a mains electricity supply using a plug with active and neutral pins partially insulated and with Australian-specific pin configuration.</w:t>
      </w:r>
    </w:p>
    <w:p w14:paraId="56159EEF" w14:textId="7926B281" w:rsidR="007F537B" w:rsidRPr="001B62FE" w:rsidRDefault="007F537B" w:rsidP="007F537B">
      <w:pPr>
        <w:rPr>
          <w:rFonts w:ascii="Arial" w:hAnsi="Arial" w:cs="Arial"/>
        </w:rPr>
      </w:pPr>
      <w:r w:rsidRPr="001B62FE">
        <w:rPr>
          <w:rFonts w:ascii="Arial" w:hAnsi="Arial" w:cs="Arial"/>
        </w:rPr>
        <w:t>In addition, AS/NZS 3551—Technical management programs for medical devices requires that a transparent plug cover should be used if the plugs are re-</w:t>
      </w:r>
      <w:proofErr w:type="spellStart"/>
      <w:r w:rsidRPr="001B62FE">
        <w:rPr>
          <w:rFonts w:ascii="Arial" w:hAnsi="Arial" w:cs="Arial"/>
        </w:rPr>
        <w:t>wireable</w:t>
      </w:r>
      <w:proofErr w:type="spellEnd"/>
      <w:r w:rsidRPr="001B62FE">
        <w:rPr>
          <w:rFonts w:ascii="Arial" w:hAnsi="Arial" w:cs="Arial"/>
        </w:rPr>
        <w:t xml:space="preserve">. For moulded plugs, it is preferable that the plug cover is </w:t>
      </w:r>
      <w:proofErr w:type="gramStart"/>
      <w:r w:rsidRPr="001B62FE">
        <w:rPr>
          <w:rFonts w:ascii="Arial" w:hAnsi="Arial" w:cs="Arial"/>
        </w:rPr>
        <w:t>transparent</w:t>
      </w:r>
      <w:proofErr w:type="gramEnd"/>
      <w:r w:rsidRPr="001B62FE">
        <w:rPr>
          <w:rFonts w:ascii="Arial" w:hAnsi="Arial" w:cs="Arial"/>
        </w:rPr>
        <w:t xml:space="preserve"> but this requirement is not mandatory.</w:t>
      </w:r>
    </w:p>
    <w:p w14:paraId="167F2B6A" w14:textId="39F42B94" w:rsidR="007F537B" w:rsidRPr="001B62FE" w:rsidRDefault="007F537B" w:rsidP="007F537B">
      <w:pPr>
        <w:rPr>
          <w:rFonts w:ascii="Arial" w:hAnsi="Arial" w:cs="Arial"/>
        </w:rPr>
      </w:pPr>
      <w:r w:rsidRPr="001B62FE">
        <w:rPr>
          <w:rFonts w:ascii="Arial" w:hAnsi="Arial" w:cs="Arial"/>
        </w:rPr>
        <w:t>More information is available at</w:t>
      </w:r>
      <w:r w:rsidR="00CF1E78" w:rsidRPr="001B62FE">
        <w:rPr>
          <w:rFonts w:ascii="Arial" w:hAnsi="Arial" w:cs="Arial"/>
        </w:rPr>
        <w:t xml:space="preserve"> </w:t>
      </w:r>
      <w:hyperlink r:id="rId16" w:history="1">
        <w:r w:rsidR="00CF1E78" w:rsidRPr="001B62FE">
          <w:rPr>
            <w:rStyle w:val="Hyperlink"/>
            <w:rFonts w:cs="Arial"/>
          </w:rPr>
          <w:t>ERAC Standards</w:t>
        </w:r>
      </w:hyperlink>
      <w:r w:rsidR="00CF1E78" w:rsidRPr="001B62FE">
        <w:rPr>
          <w:rFonts w:ascii="Arial" w:hAnsi="Arial" w:cs="Arial"/>
        </w:rPr>
        <w:t>.</w:t>
      </w:r>
      <w:r w:rsidRPr="001B62FE">
        <w:rPr>
          <w:rFonts w:ascii="Arial" w:hAnsi="Arial" w:cs="Arial"/>
        </w:rPr>
        <w:t xml:space="preserve"> </w:t>
      </w:r>
    </w:p>
    <w:p w14:paraId="27B14D43" w14:textId="77777777" w:rsidR="007F537B" w:rsidRPr="001B62FE" w:rsidRDefault="007F537B" w:rsidP="00B4060B">
      <w:pPr>
        <w:pStyle w:val="Heading3"/>
        <w:rPr>
          <w:rStyle w:val="ParagraphChar"/>
          <w:rFonts w:ascii="Arial" w:eastAsiaTheme="majorEastAsia" w:hAnsi="Arial" w:cs="Arial"/>
          <w:lang w:eastAsia="en-US"/>
        </w:rPr>
      </w:pPr>
      <w:bookmarkStart w:id="18" w:name="_Toc81409971"/>
      <w:bookmarkStart w:id="19" w:name="_Toc142057562"/>
      <w:r w:rsidRPr="001B62FE">
        <w:rPr>
          <w:rStyle w:val="ParagraphChar"/>
          <w:rFonts w:ascii="Arial" w:eastAsiaTheme="majorEastAsia" w:hAnsi="Arial" w:cs="Arial"/>
          <w:lang w:eastAsia="en-US"/>
        </w:rPr>
        <w:lastRenderedPageBreak/>
        <w:t>Electrical safety requirements</w:t>
      </w:r>
      <w:bookmarkEnd w:id="18"/>
      <w:bookmarkEnd w:id="19"/>
    </w:p>
    <w:p w14:paraId="57EDCF51" w14:textId="239A3B96" w:rsidR="007F537B" w:rsidRPr="001B62FE" w:rsidRDefault="007F537B" w:rsidP="00B4060B">
      <w:pPr>
        <w:rPr>
          <w:rStyle w:val="ParagraphChar"/>
          <w:rFonts w:ascii="Arial" w:eastAsiaTheme="majorEastAsia" w:hAnsi="Arial" w:cs="Arial"/>
          <w:b/>
          <w:bCs/>
        </w:rPr>
      </w:pPr>
      <w:r w:rsidRPr="001B62FE">
        <w:rPr>
          <w:rStyle w:val="ParagraphChar"/>
          <w:rFonts w:ascii="Arial" w:eastAsiaTheme="majorEastAsia" w:hAnsi="Arial" w:cs="Arial"/>
          <w:i/>
        </w:rPr>
        <w:t>AS/NZS 3820—Essential safety requirements for electrical equipment</w:t>
      </w:r>
      <w:r w:rsidRPr="001B62FE">
        <w:rPr>
          <w:rStyle w:val="ParagraphChar"/>
          <w:rFonts w:ascii="Arial" w:eastAsiaTheme="majorEastAsia" w:hAnsi="Arial" w:cs="Arial"/>
        </w:rPr>
        <w:t xml:space="preserve"> is listed by </w:t>
      </w:r>
      <w:r w:rsidRPr="001B62FE">
        <w:rPr>
          <w:rFonts w:ascii="Arial" w:hAnsi="Arial" w:cs="Arial"/>
          <w:shd w:val="clear" w:color="auto" w:fill="FFFFFF"/>
        </w:rPr>
        <w:t>Electrical Safety Regulatory Authorities as one part of the safety requirements that apply to suppliers of electrical equipment in Australia.  Other requirements also apply depending on the laws of the specific state(s) and territory(</w:t>
      </w:r>
      <w:proofErr w:type="spellStart"/>
      <w:r w:rsidRPr="001B62FE">
        <w:rPr>
          <w:rFonts w:ascii="Arial" w:hAnsi="Arial" w:cs="Arial"/>
          <w:shd w:val="clear" w:color="auto" w:fill="FFFFFF"/>
        </w:rPr>
        <w:t>ies</w:t>
      </w:r>
      <w:proofErr w:type="spellEnd"/>
      <w:r w:rsidRPr="001B62FE">
        <w:rPr>
          <w:rFonts w:ascii="Arial" w:hAnsi="Arial" w:cs="Arial"/>
          <w:shd w:val="clear" w:color="auto" w:fill="FFFFFF"/>
        </w:rPr>
        <w:t>) in which you intend to supply your device.  More information is available at</w:t>
      </w:r>
      <w:r w:rsidR="009D6897" w:rsidRPr="001B62FE">
        <w:rPr>
          <w:rFonts w:ascii="Arial" w:hAnsi="Arial" w:cs="Arial"/>
          <w:shd w:val="clear" w:color="auto" w:fill="FFFFFF"/>
        </w:rPr>
        <w:t xml:space="preserve"> </w:t>
      </w:r>
      <w:hyperlink r:id="rId17" w:history="1">
        <w:r w:rsidR="009D6897" w:rsidRPr="001B62FE">
          <w:rPr>
            <w:rStyle w:val="Hyperlink"/>
            <w:rFonts w:cs="Arial"/>
            <w:shd w:val="clear" w:color="auto" w:fill="FFFFFF"/>
          </w:rPr>
          <w:t>EESS – Essential Safety Criteria</w:t>
        </w:r>
      </w:hyperlink>
      <w:r w:rsidR="00CF1E78" w:rsidRPr="001B62FE">
        <w:rPr>
          <w:rFonts w:ascii="Arial" w:hAnsi="Arial" w:cs="Arial"/>
          <w:shd w:val="clear" w:color="auto" w:fill="FFFFFF"/>
        </w:rPr>
        <w:t>.</w:t>
      </w:r>
      <w:r w:rsidRPr="001B62FE">
        <w:rPr>
          <w:rFonts w:ascii="Arial" w:hAnsi="Arial" w:cs="Arial"/>
          <w:shd w:val="clear" w:color="auto" w:fill="FFFFFF"/>
        </w:rPr>
        <w:t xml:space="preserve"> </w:t>
      </w:r>
    </w:p>
    <w:p w14:paraId="5937374F" w14:textId="77777777" w:rsidR="007F537B" w:rsidRPr="001B62FE" w:rsidRDefault="007F537B" w:rsidP="007F537B">
      <w:pPr>
        <w:pStyle w:val="Heading3"/>
        <w:rPr>
          <w:rFonts w:cs="Arial"/>
        </w:rPr>
      </w:pPr>
      <w:bookmarkStart w:id="20" w:name="_Electromagnetic_Compatibility_(EMC)"/>
      <w:bookmarkStart w:id="21" w:name="_Toc81409972"/>
      <w:bookmarkStart w:id="22" w:name="_Toc142057563"/>
      <w:bookmarkEnd w:id="20"/>
      <w:r w:rsidRPr="001B62FE">
        <w:rPr>
          <w:rFonts w:cs="Arial"/>
        </w:rPr>
        <w:t>Electromagnetic Compatibility (EMC)</w:t>
      </w:r>
      <w:bookmarkEnd w:id="21"/>
      <w:bookmarkEnd w:id="22"/>
    </w:p>
    <w:p w14:paraId="3651A638" w14:textId="1B74A680" w:rsidR="007F537B" w:rsidRPr="001B62FE" w:rsidRDefault="007F537B" w:rsidP="007F537B">
      <w:pPr>
        <w:rPr>
          <w:rFonts w:ascii="Arial" w:hAnsi="Arial" w:cs="Arial"/>
        </w:rPr>
      </w:pPr>
      <w:r w:rsidRPr="001B62FE">
        <w:rPr>
          <w:rFonts w:ascii="Arial" w:hAnsi="Arial" w:cs="Arial"/>
        </w:rPr>
        <w:t>EMC and the influence of the expected environment should be considered when determining the risks associated with the use of your device.  Environments include domestic, clinical, and critical-care areas. EMC requirements also apply to battery-powered devices.</w:t>
      </w:r>
    </w:p>
    <w:p w14:paraId="756287FC" w14:textId="77777777" w:rsidR="007F537B" w:rsidRPr="001B62FE" w:rsidRDefault="007F537B" w:rsidP="007F537B">
      <w:pPr>
        <w:rPr>
          <w:rFonts w:ascii="Arial" w:hAnsi="Arial" w:cs="Arial"/>
        </w:rPr>
      </w:pPr>
      <w:r w:rsidRPr="001B62FE">
        <w:rPr>
          <w:rFonts w:ascii="Arial" w:hAnsi="Arial" w:cs="Arial"/>
        </w:rPr>
        <w:t xml:space="preserve">The first step in determining compliance with EMC requirements is to perform a thorough risk analysis.  Ideally, your analysis should be undertaken as part of your overall risk management process. The risk analysis must form the basis for specifying EMC test requirements. </w:t>
      </w:r>
    </w:p>
    <w:p w14:paraId="6007BFFD" w14:textId="77777777" w:rsidR="007F537B" w:rsidRPr="001B62FE" w:rsidRDefault="007F537B" w:rsidP="007F537B">
      <w:pPr>
        <w:rPr>
          <w:rFonts w:ascii="Arial" w:hAnsi="Arial" w:cs="Arial"/>
        </w:rPr>
      </w:pPr>
      <w:r w:rsidRPr="001B62FE">
        <w:rPr>
          <w:rFonts w:ascii="Arial" w:hAnsi="Arial" w:cs="Arial"/>
        </w:rPr>
        <w:t xml:space="preserve">You should consider the highest potential-risk environment to determine the amount and type of testing required; the aforementioned standards provide guidance on these aspects.  You may also need to consider specialised aspects not covered by a standard.  It is generally expected that EMC testing be conducted by an accredited test laboratory due to the highly specialised nature of the testing. </w:t>
      </w:r>
    </w:p>
    <w:p w14:paraId="245D270D" w14:textId="77777777" w:rsidR="007F537B" w:rsidRPr="001B62FE" w:rsidRDefault="007F537B" w:rsidP="007F537B">
      <w:pPr>
        <w:rPr>
          <w:rFonts w:ascii="Arial" w:hAnsi="Arial" w:cs="Arial"/>
        </w:rPr>
      </w:pPr>
      <w:r w:rsidRPr="001B62FE">
        <w:rPr>
          <w:rFonts w:ascii="Arial" w:hAnsi="Arial" w:cs="Arial"/>
        </w:rPr>
        <w:t>You should include testing for:</w:t>
      </w:r>
    </w:p>
    <w:p w14:paraId="24AFE4E8" w14:textId="77777777" w:rsidR="007F537B" w:rsidRPr="001B62FE" w:rsidRDefault="007F537B" w:rsidP="007F537B">
      <w:pPr>
        <w:pStyle w:val="ListBullet"/>
        <w:rPr>
          <w:rFonts w:cs="Arial"/>
        </w:rPr>
      </w:pPr>
      <w:r w:rsidRPr="001B62FE">
        <w:rPr>
          <w:rFonts w:cs="Arial"/>
        </w:rPr>
        <w:t>emissions—IEC 60601-1-2, clause 7 that covers:</w:t>
      </w:r>
    </w:p>
    <w:p w14:paraId="0AED6131" w14:textId="77777777" w:rsidR="007F537B" w:rsidRPr="001B62FE" w:rsidRDefault="007F537B" w:rsidP="007F537B">
      <w:pPr>
        <w:pStyle w:val="ListBullet2"/>
        <w:rPr>
          <w:rFonts w:cs="Arial"/>
        </w:rPr>
      </w:pPr>
      <w:r w:rsidRPr="001B62FE">
        <w:rPr>
          <w:rFonts w:cs="Arial"/>
        </w:rPr>
        <w:t xml:space="preserve">the protection of radio services and other equipment Clause 7.1; and </w:t>
      </w:r>
    </w:p>
    <w:p w14:paraId="4FB63E29" w14:textId="77777777" w:rsidR="007F537B" w:rsidRPr="001B62FE" w:rsidRDefault="007F537B" w:rsidP="007F537B">
      <w:pPr>
        <w:pStyle w:val="ListBullet2"/>
        <w:rPr>
          <w:rFonts w:cs="Arial"/>
        </w:rPr>
      </w:pPr>
      <w:r w:rsidRPr="001B62FE">
        <w:rPr>
          <w:rFonts w:cs="Arial"/>
        </w:rPr>
        <w:t>the protection of the public mains network clause 7.2.  Mains network testing is not applicable to battery-powered devices unless a battery charger forms part of the device</w:t>
      </w:r>
    </w:p>
    <w:p w14:paraId="1D7B8EED" w14:textId="77777777" w:rsidR="007F537B" w:rsidRPr="001B62FE" w:rsidRDefault="007F537B" w:rsidP="007F537B">
      <w:pPr>
        <w:pStyle w:val="ListBullet"/>
        <w:rPr>
          <w:rFonts w:cs="Arial"/>
        </w:rPr>
      </w:pPr>
      <w:r w:rsidRPr="001B62FE">
        <w:rPr>
          <w:rFonts w:cs="Arial"/>
        </w:rPr>
        <w:t>immunity—IEC 60601-1-2, clause 8</w:t>
      </w:r>
    </w:p>
    <w:p w14:paraId="2826E062" w14:textId="77777777" w:rsidR="007F537B" w:rsidRPr="001B62FE" w:rsidRDefault="007F537B" w:rsidP="007F537B">
      <w:pPr>
        <w:pStyle w:val="ListBullet2"/>
        <w:rPr>
          <w:rFonts w:cs="Arial"/>
        </w:rPr>
      </w:pPr>
      <w:r w:rsidRPr="001B62FE">
        <w:rPr>
          <w:rFonts w:cs="Arial"/>
        </w:rPr>
        <w:t>IEC 60601-1-2 has differing specification of immunity test levels according to the environments of intended use:</w:t>
      </w:r>
    </w:p>
    <w:p w14:paraId="767AD19C" w14:textId="77777777" w:rsidR="007F537B" w:rsidRPr="001B62FE" w:rsidRDefault="007F537B" w:rsidP="007F537B">
      <w:pPr>
        <w:pStyle w:val="ListBullet2"/>
        <w:rPr>
          <w:rFonts w:cs="Arial"/>
        </w:rPr>
      </w:pPr>
      <w:r w:rsidRPr="001B62FE">
        <w:rPr>
          <w:rFonts w:cs="Arial"/>
        </w:rPr>
        <w:t>professional healthcare environments</w:t>
      </w:r>
    </w:p>
    <w:p w14:paraId="60C84ED9" w14:textId="77777777" w:rsidR="007F537B" w:rsidRPr="001B62FE" w:rsidRDefault="007F537B" w:rsidP="007F537B">
      <w:pPr>
        <w:pStyle w:val="ListBullet2"/>
        <w:rPr>
          <w:rFonts w:cs="Arial"/>
        </w:rPr>
      </w:pPr>
      <w:r w:rsidRPr="001B62FE">
        <w:rPr>
          <w:rFonts w:cs="Arial"/>
        </w:rPr>
        <w:t>home healthcare environments</w:t>
      </w:r>
    </w:p>
    <w:p w14:paraId="7F85BA5D" w14:textId="77777777" w:rsidR="007F537B" w:rsidRPr="001B62FE" w:rsidRDefault="007F537B" w:rsidP="007F537B">
      <w:pPr>
        <w:pStyle w:val="ListBullet2"/>
        <w:rPr>
          <w:rFonts w:cs="Arial"/>
        </w:rPr>
      </w:pPr>
      <w:r w:rsidRPr="001B62FE">
        <w:rPr>
          <w:rFonts w:cs="Arial"/>
        </w:rPr>
        <w:t>special environments</w:t>
      </w:r>
    </w:p>
    <w:p w14:paraId="484B7254" w14:textId="77777777" w:rsidR="007F537B" w:rsidRPr="001B62FE" w:rsidRDefault="007F537B" w:rsidP="007F537B">
      <w:pPr>
        <w:rPr>
          <w:rFonts w:ascii="Arial" w:hAnsi="Arial" w:cs="Arial"/>
        </w:rPr>
      </w:pPr>
      <w:r w:rsidRPr="001B62FE">
        <w:rPr>
          <w:rFonts w:ascii="Arial" w:hAnsi="Arial" w:cs="Arial"/>
        </w:rPr>
        <w:t xml:space="preserve">Essential Principle 13.4 of the Therapeutic Goods (Medical Devices) Regulations 2002 requires you to provide information in the Instructions for Use for your device to allow your users to manage the electromagnetic environment in the intended clinical setting. </w:t>
      </w:r>
    </w:p>
    <w:p w14:paraId="116DD3C4" w14:textId="1334AE0C" w:rsidR="007F537B" w:rsidRPr="001B62FE" w:rsidRDefault="007F537B" w:rsidP="007F537B">
      <w:pPr>
        <w:rPr>
          <w:rFonts w:ascii="Arial" w:hAnsi="Arial" w:cs="Arial"/>
        </w:rPr>
      </w:pPr>
      <w:r w:rsidRPr="001B62FE">
        <w:rPr>
          <w:rFonts w:ascii="Arial" w:hAnsi="Arial" w:cs="Arial"/>
        </w:rPr>
        <w:t xml:space="preserve">Non-medical electrical equipment used in a medical electrical system shall comply with IEC and ISO EMC standards applicable to that equipment.  Non-medical electrical equipment used in a medical electrical system for which the intended electromagnetic environment could result in the loss of basic safety or essential performance of the medical electrical system due to the non-electrical medical equipment should be tested according to the requirements of IEC 60601-1-2. </w:t>
      </w:r>
    </w:p>
    <w:p w14:paraId="3D61B21D" w14:textId="254CC17D" w:rsidR="007F537B" w:rsidRPr="001B62FE" w:rsidRDefault="007F537B" w:rsidP="007F537B">
      <w:pPr>
        <w:rPr>
          <w:rFonts w:ascii="Arial" w:hAnsi="Arial" w:cs="Arial"/>
        </w:rPr>
      </w:pPr>
      <w:r w:rsidRPr="001B62FE">
        <w:rPr>
          <w:rFonts w:ascii="Arial" w:hAnsi="Arial" w:cs="Arial"/>
        </w:rPr>
        <w:t>EMC compliance may be demonstrated by justifying essential performance via the risk analysis as indicated in IEC 60601-1-2. If such an analysis demonstrates that your device does not pose any inherent hazards, either alone or in connection with other equipment, then the following minimum EMC requirements may apply:</w:t>
      </w:r>
    </w:p>
    <w:p w14:paraId="67FAC6F1" w14:textId="77777777" w:rsidR="007F537B" w:rsidRPr="001B62FE" w:rsidRDefault="007F537B" w:rsidP="007F537B">
      <w:pPr>
        <w:pStyle w:val="ListBullet"/>
        <w:rPr>
          <w:rFonts w:cs="Arial"/>
        </w:rPr>
      </w:pPr>
      <w:r w:rsidRPr="001B62FE">
        <w:rPr>
          <w:rFonts w:cs="Arial"/>
        </w:rPr>
        <w:t>labelling or Instructions for Use that indicate that the device was not tested to clinical EMC requirements; and</w:t>
      </w:r>
    </w:p>
    <w:p w14:paraId="1AAF0589" w14:textId="77777777" w:rsidR="007F537B" w:rsidRPr="001B62FE" w:rsidRDefault="007F537B" w:rsidP="007F537B">
      <w:pPr>
        <w:pStyle w:val="ListBullet"/>
        <w:rPr>
          <w:rFonts w:cs="Arial"/>
        </w:rPr>
      </w:pPr>
      <w:r w:rsidRPr="001B62FE">
        <w:rPr>
          <w:rFonts w:cs="Arial"/>
        </w:rPr>
        <w:lastRenderedPageBreak/>
        <w:t xml:space="preserve">evidence to support the </w:t>
      </w:r>
      <w:hyperlink r:id="rId18" w:history="1">
        <w:r w:rsidRPr="001B62FE">
          <w:rPr>
            <w:rStyle w:val="Hyperlink"/>
            <w:rFonts w:cs="Arial"/>
          </w:rPr>
          <w:t>Australian Communications and Media Authority</w:t>
        </w:r>
      </w:hyperlink>
      <w:r w:rsidRPr="001B62FE">
        <w:rPr>
          <w:rFonts w:cs="Arial"/>
        </w:rPr>
        <w:t xml:space="preserve"> (ACMA) licencing requirements. </w:t>
      </w:r>
    </w:p>
    <w:p w14:paraId="47742785" w14:textId="77777777" w:rsidR="007F537B" w:rsidRPr="001B62FE" w:rsidRDefault="007F537B" w:rsidP="007F537B">
      <w:pPr>
        <w:rPr>
          <w:rFonts w:ascii="Arial" w:hAnsi="Arial" w:cs="Arial"/>
        </w:rPr>
      </w:pPr>
      <w:r w:rsidRPr="001B62FE">
        <w:rPr>
          <w:rFonts w:ascii="Arial" w:hAnsi="Arial" w:cs="Arial"/>
        </w:rPr>
        <w:t>Medical devices are exempt from the ACMA EMC labelling requirements as they must comply with the more stringent requirements described by the Essential Principles, except for those incorporating radio-communications transmitters (see below).</w:t>
      </w:r>
    </w:p>
    <w:p w14:paraId="4E1CEF7C" w14:textId="77777777" w:rsidR="007F537B" w:rsidRPr="001B62FE" w:rsidRDefault="007F537B" w:rsidP="007F537B">
      <w:pPr>
        <w:pStyle w:val="Heading2"/>
        <w:rPr>
          <w:rFonts w:cs="Arial"/>
        </w:rPr>
      </w:pPr>
      <w:bookmarkStart w:id="23" w:name="_Toc81409973"/>
      <w:bookmarkStart w:id="24" w:name="_Toc142057564"/>
      <w:r w:rsidRPr="001B62FE">
        <w:rPr>
          <w:rFonts w:cs="Arial"/>
        </w:rPr>
        <w:t>Telecommunications and Radio-Communications Transmitters</w:t>
      </w:r>
      <w:bookmarkEnd w:id="23"/>
      <w:bookmarkEnd w:id="24"/>
    </w:p>
    <w:p w14:paraId="471C3D8A" w14:textId="5B2E9667" w:rsidR="007F537B" w:rsidRPr="001B62FE" w:rsidRDefault="007F537B" w:rsidP="007F537B">
      <w:pPr>
        <w:rPr>
          <w:rFonts w:ascii="Arial" w:hAnsi="Arial" w:cs="Arial"/>
        </w:rPr>
      </w:pPr>
      <w:r w:rsidRPr="001B62FE">
        <w:rPr>
          <w:rFonts w:ascii="Arial" w:hAnsi="Arial" w:cs="Arial"/>
        </w:rPr>
        <w:t xml:space="preserve">The </w:t>
      </w:r>
      <w:hyperlink r:id="rId19" w:history="1">
        <w:r w:rsidRPr="001B62FE">
          <w:rPr>
            <w:rStyle w:val="Hyperlink"/>
            <w:rFonts w:cs="Arial"/>
          </w:rPr>
          <w:t>Australian Communications and Media Authority</w:t>
        </w:r>
      </w:hyperlink>
      <w:r w:rsidRPr="001B62FE">
        <w:rPr>
          <w:rFonts w:ascii="Arial" w:hAnsi="Arial" w:cs="Arial"/>
        </w:rPr>
        <w:t xml:space="preserve"> (ACMA) is responsible for the regulation of broadcasting, the Internet, radio-communications, and telecommunications. This includes transmission methods such as Bluetooth and </w:t>
      </w:r>
      <w:proofErr w:type="spellStart"/>
      <w:r w:rsidRPr="001B62FE">
        <w:rPr>
          <w:rFonts w:ascii="Arial" w:hAnsi="Arial" w:cs="Arial"/>
        </w:rPr>
        <w:t>WiFi</w:t>
      </w:r>
      <w:proofErr w:type="spellEnd"/>
      <w:r w:rsidRPr="001B62FE">
        <w:rPr>
          <w:rFonts w:ascii="Arial" w:hAnsi="Arial" w:cs="Arial"/>
        </w:rPr>
        <w:t>. The ACMA administers regulatory systems relating to:</w:t>
      </w:r>
    </w:p>
    <w:p w14:paraId="2171BAA4" w14:textId="77777777" w:rsidR="007F537B" w:rsidRPr="001B62FE" w:rsidRDefault="007F537B" w:rsidP="007F537B">
      <w:pPr>
        <w:pStyle w:val="ListBullet"/>
        <w:rPr>
          <w:rFonts w:cs="Arial"/>
        </w:rPr>
      </w:pPr>
      <w:r w:rsidRPr="001B62FE">
        <w:rPr>
          <w:rFonts w:cs="Arial"/>
        </w:rPr>
        <w:t>telecommunications equipment,</w:t>
      </w:r>
    </w:p>
    <w:p w14:paraId="2311E173" w14:textId="77777777" w:rsidR="007F537B" w:rsidRPr="001B62FE" w:rsidRDefault="007F537B" w:rsidP="007F537B">
      <w:pPr>
        <w:pStyle w:val="ListBullet"/>
        <w:rPr>
          <w:rFonts w:cs="Arial"/>
        </w:rPr>
      </w:pPr>
      <w:r w:rsidRPr="001B62FE">
        <w:rPr>
          <w:rFonts w:cs="Arial"/>
        </w:rPr>
        <w:t>radio-communications equipment,</w:t>
      </w:r>
    </w:p>
    <w:p w14:paraId="0002B147" w14:textId="77777777" w:rsidR="007F537B" w:rsidRPr="001B62FE" w:rsidRDefault="007F537B" w:rsidP="007F537B">
      <w:pPr>
        <w:pStyle w:val="ListBullet"/>
        <w:rPr>
          <w:rFonts w:cs="Arial"/>
        </w:rPr>
      </w:pPr>
      <w:r w:rsidRPr="001B62FE">
        <w:rPr>
          <w:rFonts w:cs="Arial"/>
        </w:rPr>
        <w:t>electromagnetic compatibility (EMC), and</w:t>
      </w:r>
    </w:p>
    <w:p w14:paraId="0257A2A0" w14:textId="77777777" w:rsidR="007F537B" w:rsidRPr="001B62FE" w:rsidRDefault="007F537B" w:rsidP="007F537B">
      <w:pPr>
        <w:pStyle w:val="ListBullet"/>
        <w:rPr>
          <w:rFonts w:cs="Arial"/>
        </w:rPr>
      </w:pPr>
      <w:r w:rsidRPr="001B62FE">
        <w:rPr>
          <w:rFonts w:cs="Arial"/>
        </w:rPr>
        <w:t>electromagnetic energy (EME).</w:t>
      </w:r>
    </w:p>
    <w:p w14:paraId="77067F95" w14:textId="77777777" w:rsidR="007F537B" w:rsidRPr="001B62FE" w:rsidRDefault="007F537B" w:rsidP="007F537B">
      <w:pPr>
        <w:rPr>
          <w:rFonts w:ascii="Arial" w:hAnsi="Arial" w:cs="Arial"/>
        </w:rPr>
      </w:pPr>
      <w:r w:rsidRPr="001B62FE">
        <w:rPr>
          <w:rFonts w:ascii="Arial" w:hAnsi="Arial" w:cs="Arial"/>
        </w:rPr>
        <w:t>Medical devices with telecommunications ports must comply with ACMA requirements, for example, in-home patient-monitoring devices that have modem ports.</w:t>
      </w:r>
    </w:p>
    <w:p w14:paraId="4F596C4A" w14:textId="77777777" w:rsidR="007F537B" w:rsidRPr="001B62FE" w:rsidRDefault="007F537B" w:rsidP="007F537B">
      <w:pPr>
        <w:rPr>
          <w:rFonts w:ascii="Arial" w:hAnsi="Arial" w:cs="Arial"/>
        </w:rPr>
      </w:pPr>
      <w:r w:rsidRPr="001B62FE">
        <w:rPr>
          <w:rFonts w:ascii="Arial" w:hAnsi="Arial" w:cs="Arial"/>
        </w:rPr>
        <w:t>Medical devices with radio-communications transmitters must comply with ACMA requirements for radio-communications standards, for example, wrist-worn sphygmomanometers that connect to a mobile phone using Bluetooth.</w:t>
      </w:r>
    </w:p>
    <w:p w14:paraId="349C3FC1" w14:textId="5F620ED5" w:rsidR="007F537B" w:rsidRPr="001B62FE" w:rsidRDefault="007F537B" w:rsidP="007F537B">
      <w:pPr>
        <w:rPr>
          <w:rFonts w:ascii="Arial" w:hAnsi="Arial" w:cs="Arial"/>
        </w:rPr>
      </w:pPr>
      <w:r w:rsidRPr="001B62FE">
        <w:rPr>
          <w:rFonts w:ascii="Arial" w:hAnsi="Arial" w:cs="Arial"/>
        </w:rPr>
        <w:t xml:space="preserve">However, </w:t>
      </w:r>
      <w:proofErr w:type="gramStart"/>
      <w:r w:rsidRPr="001B62FE">
        <w:rPr>
          <w:rFonts w:ascii="Arial" w:hAnsi="Arial" w:cs="Arial"/>
        </w:rPr>
        <w:t>electrically-powered</w:t>
      </w:r>
      <w:proofErr w:type="gramEnd"/>
      <w:r w:rsidRPr="001B62FE">
        <w:rPr>
          <w:rFonts w:ascii="Arial" w:hAnsi="Arial" w:cs="Arial"/>
        </w:rPr>
        <w:t xml:space="preserve"> medical devices do not require compliance with the ACMA standards for electromagnetic compatibility, as they must comply with the more stringent requirements described in the Essential Principles. See </w:t>
      </w:r>
      <w:hyperlink w:anchor="_Electromagnetic_Compatibility_(EMC)" w:history="1">
        <w:r w:rsidRPr="001B62FE">
          <w:rPr>
            <w:rStyle w:val="Hyperlink"/>
            <w:rFonts w:cs="Arial"/>
          </w:rPr>
          <w:t>Electromagnetic Compatibility (EMC).</w:t>
        </w:r>
      </w:hyperlink>
    </w:p>
    <w:p w14:paraId="6946A607" w14:textId="5FE7EC53" w:rsidR="007F537B" w:rsidRPr="001B62FE" w:rsidRDefault="007F537B" w:rsidP="007F537B">
      <w:pPr>
        <w:rPr>
          <w:rFonts w:ascii="Arial" w:hAnsi="Arial" w:cs="Arial"/>
        </w:rPr>
      </w:pPr>
      <w:r w:rsidRPr="001B62FE">
        <w:rPr>
          <w:rFonts w:ascii="Arial" w:hAnsi="Arial" w:cs="Arial"/>
        </w:rPr>
        <w:t>Active implantable medical devices (AIMDs) that utilise radio communications and the associated external radio transceiver must also comply with ACMA radio spectrum requirements.  Examples include external programmers and data-loggers.</w:t>
      </w:r>
    </w:p>
    <w:p w14:paraId="565C4F5B" w14:textId="77777777" w:rsidR="007F537B" w:rsidRPr="001B62FE" w:rsidRDefault="007F537B" w:rsidP="007F537B">
      <w:pPr>
        <w:rPr>
          <w:rFonts w:ascii="Arial" w:hAnsi="Arial" w:cs="Arial"/>
        </w:rPr>
      </w:pPr>
      <w:r w:rsidRPr="001B62FE">
        <w:rPr>
          <w:rFonts w:ascii="Arial" w:hAnsi="Arial" w:cs="Arial"/>
        </w:rPr>
        <w:t xml:space="preserve">The ACMA Radiocommunications Class Licence (Low Interference Potential Devices) 2015 (also known as the LIPD Class Licence) makes specific allowance for some kinds of low-power radio communications for AIMDs, including those using Medical Implant Communications Systems (MICS) and Medical Body Area Network System (MBANS), under specific conditions. </w:t>
      </w:r>
    </w:p>
    <w:p w14:paraId="2E5D36B8" w14:textId="632DE3A4" w:rsidR="007F537B" w:rsidRPr="001B62FE" w:rsidRDefault="007F537B" w:rsidP="007F537B">
      <w:pPr>
        <w:rPr>
          <w:rFonts w:ascii="Arial" w:hAnsi="Arial" w:cs="Arial"/>
        </w:rPr>
      </w:pPr>
      <w:r w:rsidRPr="001B62FE">
        <w:rPr>
          <w:rFonts w:ascii="Arial" w:hAnsi="Arial" w:cs="Arial"/>
        </w:rPr>
        <w:t xml:space="preserve">Further details are available on the </w:t>
      </w:r>
      <w:hyperlink r:id="rId20" w:history="1">
        <w:r w:rsidRPr="001B62FE">
          <w:rPr>
            <w:rStyle w:val="Hyperlink"/>
            <w:rFonts w:cs="Arial"/>
          </w:rPr>
          <w:t>ACMA</w:t>
        </w:r>
      </w:hyperlink>
      <w:r w:rsidRPr="001B62FE">
        <w:rPr>
          <w:rFonts w:ascii="Arial" w:hAnsi="Arial" w:cs="Arial"/>
        </w:rPr>
        <w:t xml:space="preserve"> website.</w:t>
      </w:r>
    </w:p>
    <w:p w14:paraId="4908F075" w14:textId="77777777" w:rsidR="007F537B" w:rsidRPr="001B62FE" w:rsidRDefault="007F537B" w:rsidP="007F537B">
      <w:pPr>
        <w:pStyle w:val="Heading2"/>
        <w:rPr>
          <w:rFonts w:cs="Arial"/>
        </w:rPr>
      </w:pPr>
      <w:bookmarkStart w:id="25" w:name="_Toc81409974"/>
      <w:bookmarkStart w:id="26" w:name="_Toc142057565"/>
      <w:r w:rsidRPr="001B62FE">
        <w:rPr>
          <w:rFonts w:cs="Arial"/>
        </w:rPr>
        <w:t>Radioactive medical devices</w:t>
      </w:r>
      <w:bookmarkEnd w:id="25"/>
      <w:bookmarkEnd w:id="26"/>
    </w:p>
    <w:p w14:paraId="76FD9A82" w14:textId="77777777" w:rsidR="007F537B" w:rsidRPr="001B62FE" w:rsidRDefault="007F537B" w:rsidP="007F537B">
      <w:pPr>
        <w:rPr>
          <w:rFonts w:ascii="Arial" w:hAnsi="Arial" w:cs="Arial"/>
        </w:rPr>
      </w:pPr>
      <w:r w:rsidRPr="001B62FE">
        <w:rPr>
          <w:rFonts w:ascii="Arial" w:hAnsi="Arial" w:cs="Arial"/>
        </w:rPr>
        <w:t xml:space="preserve">All medical devices that are radioactive are active medical devices. </w:t>
      </w:r>
    </w:p>
    <w:p w14:paraId="7A1D5D8A" w14:textId="77777777" w:rsidR="007F537B" w:rsidRPr="001B62FE" w:rsidRDefault="007F537B" w:rsidP="007F537B">
      <w:pPr>
        <w:rPr>
          <w:rFonts w:ascii="Arial" w:hAnsi="Arial" w:cs="Arial"/>
        </w:rPr>
      </w:pPr>
      <w:r w:rsidRPr="001B62FE">
        <w:rPr>
          <w:rFonts w:ascii="Arial" w:hAnsi="Arial" w:cs="Arial"/>
        </w:rPr>
        <w:t>Radioactive medical devices are radioactive products that do not have a pharmacological, immunological, or metabolic action, or that are administered locally rather than systemically, for example:</w:t>
      </w:r>
    </w:p>
    <w:p w14:paraId="539A8220" w14:textId="783F85D4" w:rsidR="007F537B" w:rsidRPr="001B62FE" w:rsidRDefault="007F537B" w:rsidP="007F537B">
      <w:pPr>
        <w:pStyle w:val="ListBullet"/>
        <w:rPr>
          <w:rFonts w:cs="Arial"/>
        </w:rPr>
      </w:pPr>
      <w:r w:rsidRPr="001B62FE">
        <w:rPr>
          <w:rFonts w:cs="Arial"/>
        </w:rPr>
        <w:t>Brachytherapy spheres are active implantable medical devices. Their primary mode of action is radiation, and the basis for the therapeutic claims for the product are that the radiation affects the tissue irradiated. The mechanism of such action on the tissue is physical in nature. The only way that such an action can take place is via an energy conversion at the tissue interface. The precise nature of the energy conversion can vary, and could include temperature effects, denaturing of cellular molecules, or other physical interaction that leads to tumour cell death.</w:t>
      </w:r>
    </w:p>
    <w:p w14:paraId="697EDD5D" w14:textId="77777777" w:rsidR="007F537B" w:rsidRPr="001B62FE" w:rsidRDefault="007F537B" w:rsidP="007F537B">
      <w:pPr>
        <w:pStyle w:val="ListBullet"/>
        <w:rPr>
          <w:rFonts w:cs="Arial"/>
        </w:rPr>
      </w:pPr>
      <w:r w:rsidRPr="001B62FE">
        <w:rPr>
          <w:rFonts w:cs="Arial"/>
        </w:rPr>
        <w:t>In vivo imaging agents (such as barium meals) are regulated in Australia as medicinal products.</w:t>
      </w:r>
    </w:p>
    <w:p w14:paraId="42FF2D86" w14:textId="2C0B0340" w:rsidR="007F537B" w:rsidRPr="001B62FE" w:rsidRDefault="007F537B" w:rsidP="007F537B">
      <w:pPr>
        <w:rPr>
          <w:rFonts w:ascii="Arial" w:hAnsi="Arial" w:cs="Arial"/>
        </w:rPr>
      </w:pPr>
      <w:r w:rsidRPr="001B62FE">
        <w:rPr>
          <w:rFonts w:ascii="Arial" w:hAnsi="Arial" w:cs="Arial"/>
        </w:rPr>
        <w:lastRenderedPageBreak/>
        <w:t>The TGA regulates the supply of radioactive medical devices in Australia.</w:t>
      </w:r>
    </w:p>
    <w:p w14:paraId="5282475E" w14:textId="5CEA855C" w:rsidR="007F537B" w:rsidRPr="001B62FE" w:rsidRDefault="007F537B" w:rsidP="007F537B">
      <w:pPr>
        <w:rPr>
          <w:rFonts w:ascii="Arial" w:hAnsi="Arial" w:cs="Arial"/>
        </w:rPr>
      </w:pPr>
      <w:r w:rsidRPr="001B62FE">
        <w:rPr>
          <w:rFonts w:ascii="Arial" w:hAnsi="Arial" w:cs="Arial"/>
        </w:rPr>
        <w:t xml:space="preserve">The Australian Radiation Protection and Nuclear Safety Agency (ARPANSA), and state and territory authorities, regulate the use of radioactive materials. More information is available on the </w:t>
      </w:r>
      <w:hyperlink r:id="rId21" w:history="1">
        <w:r w:rsidRPr="001B62FE">
          <w:rPr>
            <w:rStyle w:val="Hyperlink"/>
            <w:rFonts w:cs="Arial"/>
          </w:rPr>
          <w:t>ARPANSA</w:t>
        </w:r>
      </w:hyperlink>
      <w:r w:rsidRPr="001B62FE">
        <w:rPr>
          <w:rFonts w:ascii="Arial" w:hAnsi="Arial" w:cs="Arial"/>
        </w:rPr>
        <w:t xml:space="preserve"> website. The TGA uses the expertise of ARPANSA when assessing radioactive devices.</w:t>
      </w:r>
    </w:p>
    <w:p w14:paraId="6AF8CB3F" w14:textId="77777777" w:rsidR="007F537B" w:rsidRPr="001B62FE" w:rsidRDefault="007F537B" w:rsidP="007F537B">
      <w:pPr>
        <w:pStyle w:val="Heading2"/>
        <w:rPr>
          <w:rFonts w:cs="Arial"/>
        </w:rPr>
      </w:pPr>
      <w:bookmarkStart w:id="27" w:name="_Toc81409975"/>
      <w:bookmarkStart w:id="28" w:name="_Toc142057566"/>
      <w:r w:rsidRPr="001B62FE">
        <w:rPr>
          <w:rFonts w:cs="Arial"/>
        </w:rPr>
        <w:t>Radiating medical devices</w:t>
      </w:r>
      <w:bookmarkEnd w:id="27"/>
      <w:bookmarkEnd w:id="28"/>
    </w:p>
    <w:p w14:paraId="05316A9B" w14:textId="77777777" w:rsidR="00E65F64" w:rsidRPr="001B62FE" w:rsidRDefault="00E65F64" w:rsidP="00E65F64">
      <w:pPr>
        <w:pStyle w:val="ListBullet"/>
        <w:numPr>
          <w:ilvl w:val="0"/>
          <w:numId w:val="0"/>
        </w:numPr>
        <w:rPr>
          <w:rFonts w:cs="Arial"/>
        </w:rPr>
      </w:pPr>
      <w:r w:rsidRPr="001B62FE">
        <w:rPr>
          <w:rFonts w:cs="Arial"/>
        </w:rPr>
        <w:t>The TGA regulates the supply of radiating medical devices in Australia.</w:t>
      </w:r>
    </w:p>
    <w:p w14:paraId="659A1184" w14:textId="77777777" w:rsidR="007F537B" w:rsidRPr="001B62FE" w:rsidRDefault="007F537B" w:rsidP="007F537B">
      <w:pPr>
        <w:rPr>
          <w:rFonts w:ascii="Arial" w:hAnsi="Arial" w:cs="Arial"/>
        </w:rPr>
      </w:pPr>
      <w:r w:rsidRPr="001B62FE">
        <w:rPr>
          <w:rFonts w:ascii="Arial" w:hAnsi="Arial" w:cs="Arial"/>
        </w:rPr>
        <w:t>Manufacturers of radiating medical devices must comply with Essential Principle 11.  Examples of radiating medical devices include:</w:t>
      </w:r>
    </w:p>
    <w:p w14:paraId="629EE8DE" w14:textId="77777777" w:rsidR="007F537B" w:rsidRPr="001B62FE" w:rsidRDefault="007F537B" w:rsidP="007F537B">
      <w:pPr>
        <w:pStyle w:val="ListBullet"/>
        <w:rPr>
          <w:rFonts w:cs="Arial"/>
        </w:rPr>
      </w:pPr>
      <w:r w:rsidRPr="001B62FE">
        <w:rPr>
          <w:rFonts w:cs="Arial"/>
        </w:rPr>
        <w:t>medical lasers,</w:t>
      </w:r>
    </w:p>
    <w:p w14:paraId="0558666B" w14:textId="77777777" w:rsidR="007F537B" w:rsidRPr="001B62FE" w:rsidRDefault="007F537B" w:rsidP="007F537B">
      <w:pPr>
        <w:pStyle w:val="ListBullet"/>
        <w:rPr>
          <w:rFonts w:cs="Arial"/>
        </w:rPr>
      </w:pPr>
      <w:r w:rsidRPr="001B62FE">
        <w:rPr>
          <w:rFonts w:cs="Arial"/>
        </w:rPr>
        <w:t>phototherapy devices,</w:t>
      </w:r>
    </w:p>
    <w:p w14:paraId="2B5DBB37" w14:textId="77777777" w:rsidR="007F537B" w:rsidRPr="001B62FE" w:rsidRDefault="007F537B" w:rsidP="007F537B">
      <w:pPr>
        <w:pStyle w:val="ListBullet"/>
        <w:rPr>
          <w:rFonts w:cs="Arial"/>
        </w:rPr>
      </w:pPr>
      <w:r w:rsidRPr="001B62FE">
        <w:rPr>
          <w:rFonts w:cs="Arial"/>
        </w:rPr>
        <w:t>X-ray machines; and</w:t>
      </w:r>
    </w:p>
    <w:p w14:paraId="45E3E421" w14:textId="77777777" w:rsidR="007F537B" w:rsidRPr="001B62FE" w:rsidRDefault="007F537B" w:rsidP="007F537B">
      <w:pPr>
        <w:pStyle w:val="ListBullet"/>
        <w:rPr>
          <w:rFonts w:cs="Arial"/>
        </w:rPr>
      </w:pPr>
      <w:r w:rsidRPr="001B62FE">
        <w:rPr>
          <w:rFonts w:cs="Arial"/>
        </w:rPr>
        <w:t xml:space="preserve">dental curing lamps. </w:t>
      </w:r>
    </w:p>
    <w:p w14:paraId="52B393D7" w14:textId="77777777" w:rsidR="007F537B" w:rsidRPr="001B62FE" w:rsidRDefault="007F537B" w:rsidP="007F537B">
      <w:pPr>
        <w:rPr>
          <w:rFonts w:ascii="Arial" w:hAnsi="Arial" w:cs="Arial"/>
        </w:rPr>
      </w:pPr>
      <w:r w:rsidRPr="001B62FE">
        <w:rPr>
          <w:rFonts w:ascii="Arial" w:hAnsi="Arial" w:cs="Arial"/>
        </w:rPr>
        <w:t>Radiating beauty therapy products such as:</w:t>
      </w:r>
    </w:p>
    <w:p w14:paraId="4E3B6E61" w14:textId="77777777" w:rsidR="007F537B" w:rsidRPr="001B62FE" w:rsidRDefault="007F537B" w:rsidP="007F537B">
      <w:pPr>
        <w:pStyle w:val="ListBullet"/>
        <w:rPr>
          <w:rFonts w:cs="Arial"/>
        </w:rPr>
      </w:pPr>
      <w:r w:rsidRPr="001B62FE">
        <w:rPr>
          <w:rFonts w:cs="Arial"/>
        </w:rPr>
        <w:t>solariums,</w:t>
      </w:r>
    </w:p>
    <w:p w14:paraId="59065FD2" w14:textId="77777777" w:rsidR="007F537B" w:rsidRPr="001B62FE" w:rsidRDefault="007F537B" w:rsidP="007F537B">
      <w:pPr>
        <w:pStyle w:val="ListBullet"/>
        <w:rPr>
          <w:rFonts w:cs="Arial"/>
        </w:rPr>
      </w:pPr>
      <w:r w:rsidRPr="001B62FE">
        <w:rPr>
          <w:rFonts w:cs="Arial"/>
        </w:rPr>
        <w:t>laser combs,</w:t>
      </w:r>
    </w:p>
    <w:p w14:paraId="6496DA4C" w14:textId="77777777" w:rsidR="007F537B" w:rsidRPr="001B62FE" w:rsidRDefault="007F537B" w:rsidP="007F537B">
      <w:pPr>
        <w:pStyle w:val="ListBullet"/>
        <w:rPr>
          <w:rFonts w:cs="Arial"/>
        </w:rPr>
      </w:pPr>
      <w:r w:rsidRPr="001B62FE">
        <w:rPr>
          <w:rFonts w:cs="Arial"/>
        </w:rPr>
        <w:t>dermal abrasion devices (or dermal abrasion products that apply energy to the patient),</w:t>
      </w:r>
    </w:p>
    <w:p w14:paraId="0A417BBE" w14:textId="77777777" w:rsidR="007F537B" w:rsidRPr="001B62FE" w:rsidRDefault="007F537B" w:rsidP="007F537B">
      <w:pPr>
        <w:pStyle w:val="ListBullet"/>
        <w:rPr>
          <w:rFonts w:cs="Arial"/>
        </w:rPr>
      </w:pPr>
      <w:r w:rsidRPr="001B62FE">
        <w:rPr>
          <w:rFonts w:cs="Arial"/>
        </w:rPr>
        <w:t>skin rejuvenation devices (or skin rejuvenation products that apply energy to the patient); and</w:t>
      </w:r>
    </w:p>
    <w:p w14:paraId="0D34CB3E" w14:textId="77777777" w:rsidR="007F537B" w:rsidRPr="001B62FE" w:rsidRDefault="007F537B" w:rsidP="007F537B">
      <w:pPr>
        <w:pStyle w:val="ListBullet"/>
        <w:rPr>
          <w:rFonts w:cs="Arial"/>
        </w:rPr>
      </w:pPr>
      <w:r w:rsidRPr="001B62FE">
        <w:rPr>
          <w:rFonts w:cs="Arial"/>
        </w:rPr>
        <w:t xml:space="preserve">hair removal products that apply energy to the patient.   </w:t>
      </w:r>
    </w:p>
    <w:p w14:paraId="3D65CB3C" w14:textId="77777777" w:rsidR="007F537B" w:rsidRPr="001B62FE" w:rsidRDefault="007F537B" w:rsidP="007F537B">
      <w:pPr>
        <w:pStyle w:val="ListBullet"/>
        <w:numPr>
          <w:ilvl w:val="0"/>
          <w:numId w:val="0"/>
        </w:numPr>
        <w:ind w:left="360" w:hanging="360"/>
        <w:rPr>
          <w:rFonts w:cs="Arial"/>
        </w:rPr>
      </w:pPr>
      <w:r w:rsidRPr="001B62FE">
        <w:rPr>
          <w:rFonts w:cs="Arial"/>
        </w:rPr>
        <w:t>are not medical devices unless:</w:t>
      </w:r>
    </w:p>
    <w:p w14:paraId="0532A21B" w14:textId="77777777" w:rsidR="007F537B" w:rsidRPr="001B62FE" w:rsidRDefault="007F537B" w:rsidP="007F537B">
      <w:pPr>
        <w:pStyle w:val="ListBullet"/>
        <w:rPr>
          <w:rFonts w:cs="Arial"/>
        </w:rPr>
      </w:pPr>
      <w:r w:rsidRPr="001B62FE">
        <w:rPr>
          <w:rFonts w:cs="Arial"/>
        </w:rPr>
        <w:t>therapeutic claims are made or</w:t>
      </w:r>
    </w:p>
    <w:p w14:paraId="0281891B" w14:textId="77777777" w:rsidR="007F537B" w:rsidRPr="001B62FE" w:rsidRDefault="007F537B" w:rsidP="007F537B">
      <w:pPr>
        <w:pStyle w:val="ListBullet"/>
        <w:numPr>
          <w:ilvl w:val="0"/>
          <w:numId w:val="0"/>
        </w:numPr>
        <w:rPr>
          <w:rFonts w:cs="Arial"/>
        </w:rPr>
      </w:pPr>
      <w:r w:rsidRPr="001B62FE">
        <w:rPr>
          <w:rFonts w:cs="Arial"/>
        </w:rPr>
        <w:t>the product is:</w:t>
      </w:r>
    </w:p>
    <w:p w14:paraId="3E757320" w14:textId="77777777" w:rsidR="007F537B" w:rsidRPr="001B62FE" w:rsidRDefault="007F537B" w:rsidP="007F537B">
      <w:pPr>
        <w:pStyle w:val="ListBullet"/>
        <w:rPr>
          <w:rFonts w:cs="Arial"/>
        </w:rPr>
      </w:pPr>
      <w:r w:rsidRPr="001B62FE">
        <w:rPr>
          <w:rFonts w:cs="Arial"/>
        </w:rPr>
        <w:t xml:space="preserve">surgically invasive </w:t>
      </w:r>
    </w:p>
    <w:p w14:paraId="3ACE73CF" w14:textId="77777777" w:rsidR="007F537B" w:rsidRPr="001B62FE" w:rsidRDefault="007F537B" w:rsidP="007F537B">
      <w:pPr>
        <w:pStyle w:val="ListBullet"/>
        <w:rPr>
          <w:rFonts w:cs="Arial"/>
        </w:rPr>
      </w:pPr>
      <w:r w:rsidRPr="001B62FE">
        <w:rPr>
          <w:rFonts w:cs="Arial"/>
        </w:rPr>
        <w:t>invasive via a body orifice</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4"/>
        <w:gridCol w:w="7874"/>
      </w:tblGrid>
      <w:tr w:rsidR="006F5565" w:rsidRPr="001B62FE" w14:paraId="74F6837D" w14:textId="77777777" w:rsidTr="00F61FED">
        <w:trPr>
          <w:trHeight w:val="600"/>
        </w:trPr>
        <w:tc>
          <w:tcPr>
            <w:tcW w:w="1164" w:type="dxa"/>
            <w:vAlign w:val="center"/>
          </w:tcPr>
          <w:p w14:paraId="7B11990E" w14:textId="77777777" w:rsidR="006F5565" w:rsidRPr="001B62FE" w:rsidRDefault="006F5565" w:rsidP="003A27CB">
            <w:pPr>
              <w:rPr>
                <w:rFonts w:ascii="Arial" w:hAnsi="Arial" w:cs="Arial"/>
                <w:szCs w:val="20"/>
              </w:rPr>
            </w:pPr>
            <w:r w:rsidRPr="001B62FE">
              <w:rPr>
                <w:rFonts w:ascii="Arial" w:hAnsi="Arial" w:cs="Arial"/>
                <w:noProof/>
              </w:rPr>
              <w:drawing>
                <wp:inline distT="0" distB="0" distL="0" distR="0" wp14:anchorId="301F4820" wp14:editId="3B1EB4E3">
                  <wp:extent cx="487681" cy="487681"/>
                  <wp:effectExtent l="19050" t="0" r="7619" b="0"/>
                  <wp:docPr id="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874" w:type="dxa"/>
            <w:shd w:val="clear" w:color="auto" w:fill="EAEAEA"/>
            <w:tcMar>
              <w:top w:w="170" w:type="dxa"/>
              <w:left w:w="170" w:type="dxa"/>
              <w:bottom w:w="170" w:type="dxa"/>
              <w:right w:w="170" w:type="dxa"/>
            </w:tcMar>
          </w:tcPr>
          <w:p w14:paraId="7C737904" w14:textId="6EBCD1C4" w:rsidR="006F5565" w:rsidRPr="001B62FE" w:rsidRDefault="00F61FED" w:rsidP="003A27CB">
            <w:pPr>
              <w:rPr>
                <w:rFonts w:ascii="Arial" w:hAnsi="Arial" w:cs="Arial"/>
                <w:b/>
                <w:szCs w:val="20"/>
              </w:rPr>
            </w:pPr>
            <w:r w:rsidRPr="00F61FED">
              <w:rPr>
                <w:rFonts w:ascii="Arial" w:hAnsi="Arial" w:cs="Arial"/>
                <w:b/>
                <w:szCs w:val="20"/>
              </w:rPr>
              <w:t xml:space="preserve">NOTE: </w:t>
            </w:r>
            <w:r w:rsidRPr="00F61FED">
              <w:rPr>
                <w:rFonts w:ascii="Arial" w:hAnsi="Arial" w:cs="Arial"/>
                <w:bCs/>
                <w:szCs w:val="20"/>
              </w:rPr>
              <w:t>The regulatory requirements for cosmetic products (including radiating beauty therapy products) are currently under review and their regulatory status may change.</w:t>
            </w:r>
          </w:p>
        </w:tc>
      </w:tr>
    </w:tbl>
    <w:p w14:paraId="5968B0AB" w14:textId="77777777" w:rsidR="009A6909" w:rsidRPr="001B62FE" w:rsidRDefault="009A6909" w:rsidP="007F537B">
      <w:pPr>
        <w:rPr>
          <w:rFonts w:ascii="Arial" w:hAnsi="Arial" w:cs="Arial"/>
        </w:rPr>
      </w:pPr>
    </w:p>
    <w:p w14:paraId="3F842FB8" w14:textId="77777777" w:rsidR="00E65F64" w:rsidRPr="001B62FE" w:rsidRDefault="00E65F64" w:rsidP="00E65F64">
      <w:pPr>
        <w:pStyle w:val="ListBullet"/>
        <w:numPr>
          <w:ilvl w:val="0"/>
          <w:numId w:val="0"/>
        </w:numPr>
        <w:rPr>
          <w:rFonts w:cs="Arial"/>
        </w:rPr>
      </w:pPr>
      <w:r w:rsidRPr="001B62FE">
        <w:rPr>
          <w:rFonts w:cs="Arial"/>
        </w:rPr>
        <w:t>The TGA regulates the supply of radiating medical devices in Australia.</w:t>
      </w:r>
    </w:p>
    <w:p w14:paraId="622B92E3" w14:textId="2CB6B4B6" w:rsidR="007F537B" w:rsidRPr="001B62FE" w:rsidRDefault="007F537B" w:rsidP="007F537B">
      <w:pPr>
        <w:rPr>
          <w:rFonts w:ascii="Arial" w:hAnsi="Arial" w:cs="Arial"/>
        </w:rPr>
      </w:pPr>
      <w:r w:rsidRPr="001B62FE">
        <w:rPr>
          <w:rFonts w:ascii="Arial" w:hAnsi="Arial" w:cs="Arial"/>
        </w:rPr>
        <w:t xml:space="preserve">The Australian Radiation Protection and Nuclear Safety Agency (ARPANSA), and state and territory authorities regulate the use of radiating medical devices and the use of radiating beaty therapy products on human beings. More information is available on the </w:t>
      </w:r>
      <w:hyperlink r:id="rId22" w:history="1">
        <w:r w:rsidRPr="001B62FE">
          <w:rPr>
            <w:rStyle w:val="Hyperlink"/>
            <w:rFonts w:cs="Arial"/>
          </w:rPr>
          <w:t>ARPANSA</w:t>
        </w:r>
      </w:hyperlink>
      <w:r w:rsidRPr="001B62FE">
        <w:rPr>
          <w:rFonts w:ascii="Arial" w:hAnsi="Arial" w:cs="Arial"/>
        </w:rPr>
        <w:t xml:space="preserve"> website.  The TGA uses the expertise of ARPANSA when assessing radioactive medical devices.</w:t>
      </w:r>
    </w:p>
    <w:p w14:paraId="3CAF023B" w14:textId="77777777" w:rsidR="007F537B" w:rsidRPr="001B62FE" w:rsidRDefault="007F537B" w:rsidP="00F61FED">
      <w:pPr>
        <w:pStyle w:val="Heading2"/>
        <w:pageBreakBefore/>
        <w:rPr>
          <w:rFonts w:cs="Arial"/>
        </w:rPr>
      </w:pPr>
      <w:bookmarkStart w:id="29" w:name="_Toc81409976"/>
      <w:bookmarkStart w:id="30" w:name="_Toc142057567"/>
      <w:r w:rsidRPr="001B62FE">
        <w:rPr>
          <w:rFonts w:cs="Arial"/>
        </w:rPr>
        <w:lastRenderedPageBreak/>
        <w:t>Programmed and programmable medical devices</w:t>
      </w:r>
      <w:bookmarkEnd w:id="29"/>
      <w:bookmarkEnd w:id="30"/>
    </w:p>
    <w:p w14:paraId="20F55D43" w14:textId="77777777" w:rsidR="007F537B" w:rsidRPr="001B62FE" w:rsidRDefault="007F537B" w:rsidP="007F537B">
      <w:pPr>
        <w:rPr>
          <w:rFonts w:ascii="Arial" w:hAnsi="Arial" w:cs="Arial"/>
        </w:rPr>
      </w:pPr>
      <w:r w:rsidRPr="001B62FE">
        <w:rPr>
          <w:rFonts w:ascii="Arial" w:hAnsi="Arial" w:cs="Arial"/>
        </w:rPr>
        <w:t xml:space="preserve">A subset of active medical devices </w:t>
      </w:r>
      <w:proofErr w:type="gramStart"/>
      <w:r w:rsidRPr="001B62FE">
        <w:rPr>
          <w:rFonts w:ascii="Arial" w:hAnsi="Arial" w:cs="Arial"/>
        </w:rPr>
        <w:t>are</w:t>
      </w:r>
      <w:proofErr w:type="gramEnd"/>
      <w:r w:rsidRPr="001B62FE">
        <w:rPr>
          <w:rFonts w:ascii="Arial" w:hAnsi="Arial" w:cs="Arial"/>
        </w:rPr>
        <w:t xml:space="preserve"> those that are:</w:t>
      </w:r>
    </w:p>
    <w:p w14:paraId="0007A64A" w14:textId="77777777" w:rsidR="007F537B" w:rsidRPr="001B62FE" w:rsidRDefault="007F537B" w:rsidP="007F537B">
      <w:pPr>
        <w:pStyle w:val="ListBullet"/>
        <w:rPr>
          <w:rFonts w:cs="Arial"/>
        </w:rPr>
      </w:pPr>
      <w:r w:rsidRPr="001B62FE">
        <w:rPr>
          <w:rFonts w:cs="Arial"/>
        </w:rPr>
        <w:t>programmed,</w:t>
      </w:r>
    </w:p>
    <w:p w14:paraId="40831B48" w14:textId="77777777" w:rsidR="007F537B" w:rsidRPr="001B62FE" w:rsidRDefault="007F537B" w:rsidP="007F537B">
      <w:pPr>
        <w:pStyle w:val="ListBullet"/>
        <w:rPr>
          <w:rFonts w:cs="Arial"/>
        </w:rPr>
      </w:pPr>
      <w:r w:rsidRPr="001B62FE">
        <w:rPr>
          <w:rFonts w:cs="Arial"/>
        </w:rPr>
        <w:t>programmable; or</w:t>
      </w:r>
    </w:p>
    <w:p w14:paraId="00BA6E0E" w14:textId="77777777" w:rsidR="007F537B" w:rsidRPr="001B62FE" w:rsidRDefault="007F537B" w:rsidP="007F537B">
      <w:pPr>
        <w:pStyle w:val="ListBullet"/>
        <w:rPr>
          <w:rFonts w:cs="Arial"/>
        </w:rPr>
      </w:pPr>
      <w:r w:rsidRPr="001B62FE">
        <w:rPr>
          <w:rFonts w:cs="Arial"/>
        </w:rPr>
        <w:t>software.</w:t>
      </w:r>
    </w:p>
    <w:p w14:paraId="0B1CC87C" w14:textId="77777777" w:rsidR="007F537B" w:rsidRPr="001B62FE" w:rsidRDefault="007F537B" w:rsidP="007F537B">
      <w:pPr>
        <w:rPr>
          <w:rFonts w:ascii="Arial" w:hAnsi="Arial" w:cs="Arial"/>
        </w:rPr>
      </w:pPr>
      <w:r w:rsidRPr="001B62FE">
        <w:rPr>
          <w:rFonts w:ascii="Arial" w:hAnsi="Arial" w:cs="Arial"/>
        </w:rPr>
        <w:t>These are medical devices incorporating as a component part, or fully comprising, software or programmed or programmable hardware; for example, devices that incorporate:</w:t>
      </w:r>
    </w:p>
    <w:p w14:paraId="6A43F5C4" w14:textId="77777777" w:rsidR="007F537B" w:rsidRPr="001B62FE" w:rsidRDefault="007F537B" w:rsidP="007F537B">
      <w:pPr>
        <w:pStyle w:val="ListBullet"/>
        <w:rPr>
          <w:rFonts w:cs="Arial"/>
        </w:rPr>
      </w:pPr>
      <w:r w:rsidRPr="001B62FE">
        <w:rPr>
          <w:rFonts w:cs="Arial"/>
        </w:rPr>
        <w:t>firmware</w:t>
      </w:r>
    </w:p>
    <w:p w14:paraId="4C3858CD" w14:textId="77777777" w:rsidR="007F537B" w:rsidRPr="001B62FE" w:rsidRDefault="007F537B" w:rsidP="007F537B">
      <w:pPr>
        <w:pStyle w:val="ListBullet"/>
        <w:rPr>
          <w:rFonts w:cs="Arial"/>
        </w:rPr>
      </w:pPr>
      <w:r w:rsidRPr="001B62FE">
        <w:rPr>
          <w:rFonts w:cs="Arial"/>
        </w:rPr>
        <w:t>field-programmable gate arrays (FPGAs)</w:t>
      </w:r>
    </w:p>
    <w:p w14:paraId="28B3848B" w14:textId="77777777" w:rsidR="007F537B" w:rsidRPr="001B62FE" w:rsidRDefault="007F537B" w:rsidP="007F537B">
      <w:pPr>
        <w:pStyle w:val="ListBullet"/>
        <w:rPr>
          <w:rFonts w:cs="Arial"/>
        </w:rPr>
      </w:pPr>
      <w:r w:rsidRPr="001B62FE">
        <w:rPr>
          <w:rFonts w:cs="Arial"/>
        </w:rPr>
        <w:t>electronic programmable read only memory (EPROM)</w:t>
      </w:r>
    </w:p>
    <w:p w14:paraId="09F09AB2" w14:textId="77777777" w:rsidR="007F537B" w:rsidRPr="001B62FE" w:rsidRDefault="007F537B" w:rsidP="007F537B">
      <w:pPr>
        <w:pStyle w:val="ListBullet"/>
        <w:rPr>
          <w:rFonts w:cs="Arial"/>
        </w:rPr>
      </w:pPr>
      <w:r w:rsidRPr="001B62FE">
        <w:rPr>
          <w:rFonts w:cs="Arial"/>
        </w:rPr>
        <w:t>flash memory</w:t>
      </w:r>
    </w:p>
    <w:p w14:paraId="6E6B5C1A" w14:textId="77777777" w:rsidR="007F537B" w:rsidRPr="001B62FE" w:rsidRDefault="007F537B" w:rsidP="007F537B">
      <w:pPr>
        <w:pStyle w:val="ListBullet"/>
        <w:rPr>
          <w:rFonts w:cs="Arial"/>
        </w:rPr>
      </w:pPr>
      <w:r w:rsidRPr="001B62FE">
        <w:rPr>
          <w:rFonts w:cs="Arial"/>
        </w:rPr>
        <w:t>static or dynamic random-access memory (RAM)</w:t>
      </w:r>
    </w:p>
    <w:p w14:paraId="27B94F8D" w14:textId="77777777" w:rsidR="007F537B" w:rsidRPr="001B62FE" w:rsidRDefault="007F537B" w:rsidP="007F537B">
      <w:pPr>
        <w:pStyle w:val="ListBullet"/>
        <w:rPr>
          <w:rFonts w:cs="Arial"/>
        </w:rPr>
      </w:pPr>
      <w:r w:rsidRPr="001B62FE">
        <w:rPr>
          <w:rFonts w:cs="Arial"/>
        </w:rPr>
        <w:t>electronics (both analogue and digital)</w:t>
      </w:r>
    </w:p>
    <w:p w14:paraId="0B2DA2AD" w14:textId="77777777" w:rsidR="007F537B" w:rsidRPr="001B62FE" w:rsidRDefault="007F537B" w:rsidP="007F537B">
      <w:pPr>
        <w:pStyle w:val="ListBullet"/>
        <w:numPr>
          <w:ilvl w:val="0"/>
          <w:numId w:val="0"/>
        </w:numPr>
        <w:rPr>
          <w:rFonts w:cs="Arial"/>
        </w:rPr>
      </w:pPr>
      <w:r w:rsidRPr="001B62FE">
        <w:rPr>
          <w:rFonts w:cs="Arial"/>
        </w:rPr>
        <w:t>as a component part or parts.</w:t>
      </w:r>
    </w:p>
    <w:p w14:paraId="70C68124" w14:textId="1C741783" w:rsidR="007F537B" w:rsidRPr="001B62FE" w:rsidRDefault="007F537B" w:rsidP="007F537B">
      <w:pPr>
        <w:rPr>
          <w:rFonts w:ascii="Arial" w:hAnsi="Arial" w:cs="Arial"/>
        </w:rPr>
      </w:pPr>
      <w:r w:rsidRPr="001B62FE">
        <w:rPr>
          <w:rFonts w:ascii="Arial" w:hAnsi="Arial" w:cs="Arial"/>
        </w:rPr>
        <w:t>Please note, the use of the terms ‘programmed’ or ‘programmable’ refers to the means of operation (that is, a device that operates according to a form of instruction set), not to whether device is intended to be programmed by a user or not. That is, the programming of the device could be intended to be undertaken by the manufacturer or by the user, or both. Device programming can also be intended to be undertaken both prior to and/or after supply.</w:t>
      </w:r>
    </w:p>
    <w:p w14:paraId="0A55280F" w14:textId="77777777" w:rsidR="007F537B" w:rsidRPr="001B62FE" w:rsidRDefault="007F537B" w:rsidP="007F537B">
      <w:pPr>
        <w:pStyle w:val="Heading3"/>
        <w:rPr>
          <w:rFonts w:cs="Arial"/>
        </w:rPr>
      </w:pPr>
      <w:bookmarkStart w:id="31" w:name="_Toc81409977"/>
      <w:bookmarkStart w:id="32" w:name="_Toc142057568"/>
      <w:r w:rsidRPr="001B62FE">
        <w:rPr>
          <w:rFonts w:cs="Arial"/>
        </w:rPr>
        <w:t>Specific requirements</w:t>
      </w:r>
      <w:bookmarkEnd w:id="31"/>
      <w:bookmarkEnd w:id="32"/>
    </w:p>
    <w:p w14:paraId="7FEE832A" w14:textId="77777777" w:rsidR="007F537B" w:rsidRPr="001B62FE" w:rsidRDefault="007F537B" w:rsidP="007F537B">
      <w:pPr>
        <w:rPr>
          <w:rFonts w:ascii="Arial" w:hAnsi="Arial" w:cs="Arial"/>
        </w:rPr>
      </w:pPr>
      <w:r w:rsidRPr="001B62FE">
        <w:rPr>
          <w:rFonts w:ascii="Arial" w:hAnsi="Arial" w:cs="Arial"/>
        </w:rPr>
        <w:t>Essential Principle 12.1 has specific requirements that apply to programmed and programmable devices, including with respect to:</w:t>
      </w:r>
    </w:p>
    <w:p w14:paraId="7C2AD98A" w14:textId="77777777" w:rsidR="007F537B" w:rsidRPr="001B62FE" w:rsidRDefault="007F537B" w:rsidP="007F537B">
      <w:pPr>
        <w:pStyle w:val="ListBullet"/>
        <w:rPr>
          <w:rFonts w:cs="Arial"/>
        </w:rPr>
      </w:pPr>
      <w:r w:rsidRPr="001B62FE">
        <w:rPr>
          <w:rFonts w:cs="Arial"/>
        </w:rPr>
        <w:t>design, development, production, and maintenance</w:t>
      </w:r>
    </w:p>
    <w:p w14:paraId="12E889EF" w14:textId="77777777" w:rsidR="007F537B" w:rsidRPr="001B62FE" w:rsidRDefault="007F537B" w:rsidP="007F537B">
      <w:pPr>
        <w:pStyle w:val="ListBullet"/>
        <w:rPr>
          <w:rFonts w:cs="Arial"/>
        </w:rPr>
      </w:pPr>
      <w:r w:rsidRPr="001B62FE">
        <w:rPr>
          <w:rFonts w:cs="Arial"/>
        </w:rPr>
        <w:t>cyber security</w:t>
      </w:r>
    </w:p>
    <w:p w14:paraId="7E00409B" w14:textId="77777777" w:rsidR="007F537B" w:rsidRPr="001B62FE" w:rsidRDefault="007F537B" w:rsidP="007F537B">
      <w:pPr>
        <w:pStyle w:val="ListBullet"/>
        <w:rPr>
          <w:rFonts w:cs="Arial"/>
        </w:rPr>
      </w:pPr>
      <w:r w:rsidRPr="001B62FE">
        <w:rPr>
          <w:rFonts w:cs="Arial"/>
        </w:rPr>
        <w:t>the management of data and information</w:t>
      </w:r>
    </w:p>
    <w:p w14:paraId="6ABB6FA5" w14:textId="39A1B4FE" w:rsidR="007F537B" w:rsidRPr="001B62FE" w:rsidRDefault="007F537B" w:rsidP="007F537B">
      <w:pPr>
        <w:rPr>
          <w:rFonts w:ascii="Arial" w:hAnsi="Arial" w:cs="Arial"/>
        </w:rPr>
      </w:pPr>
      <w:r w:rsidRPr="001B62FE">
        <w:rPr>
          <w:rFonts w:ascii="Arial" w:hAnsi="Arial" w:cs="Arial"/>
        </w:rPr>
        <w:t xml:space="preserve">Specific guidance on the cyber-security requirements for medical devices is available </w:t>
      </w:r>
      <w:r w:rsidR="009D6897" w:rsidRPr="001B62FE">
        <w:rPr>
          <w:rFonts w:ascii="Arial" w:hAnsi="Arial" w:cs="Arial"/>
        </w:rPr>
        <w:t xml:space="preserve">at </w:t>
      </w:r>
      <w:hyperlink r:id="rId23" w:history="1">
        <w:r w:rsidR="009D6897" w:rsidRPr="001B62FE">
          <w:rPr>
            <w:rStyle w:val="Hyperlink"/>
            <w:rFonts w:cs="Arial"/>
          </w:rPr>
          <w:t>Cyber security for medical devices and IVDs</w:t>
        </w:r>
      </w:hyperlink>
      <w:r w:rsidR="009D6897" w:rsidRPr="001B62FE">
        <w:rPr>
          <w:rFonts w:ascii="Arial" w:hAnsi="Arial" w:cs="Arial"/>
        </w:rPr>
        <w:t>.</w:t>
      </w:r>
    </w:p>
    <w:p w14:paraId="33B6F82A" w14:textId="0BA93A56" w:rsidR="007F537B" w:rsidRPr="001B62FE" w:rsidRDefault="007F537B" w:rsidP="007F537B">
      <w:pPr>
        <w:rPr>
          <w:rFonts w:ascii="Arial" w:hAnsi="Arial" w:cs="Arial"/>
        </w:rPr>
      </w:pPr>
      <w:r w:rsidRPr="001B62FE">
        <w:rPr>
          <w:rFonts w:ascii="Arial" w:hAnsi="Arial" w:cs="Arial"/>
        </w:rPr>
        <w:t xml:space="preserve">Specific classification rules also apply to programmed and programmable devices. Further information is available in the guidance on </w:t>
      </w:r>
      <w:hyperlink r:id="rId24" w:history="1">
        <w:r w:rsidRPr="001B62FE">
          <w:rPr>
            <w:rStyle w:val="Hyperlink"/>
            <w:rFonts w:cs="Arial"/>
          </w:rPr>
          <w:t>Classification of active medical devices</w:t>
        </w:r>
      </w:hyperlink>
      <w:r w:rsidRPr="001B62FE">
        <w:rPr>
          <w:rFonts w:ascii="Arial" w:hAnsi="Arial" w:cs="Arial"/>
        </w:rPr>
        <w:t>.</w:t>
      </w:r>
    </w:p>
    <w:p w14:paraId="0D5B3A54" w14:textId="77777777" w:rsidR="007F537B" w:rsidRPr="001B62FE" w:rsidRDefault="007F537B" w:rsidP="007F537B">
      <w:pPr>
        <w:pStyle w:val="Heading3"/>
        <w:rPr>
          <w:rFonts w:cs="Arial"/>
        </w:rPr>
      </w:pPr>
      <w:bookmarkStart w:id="33" w:name="_Toc81409978"/>
      <w:bookmarkStart w:id="34" w:name="_Toc142057569"/>
      <w:r w:rsidRPr="001B62FE">
        <w:rPr>
          <w:rFonts w:cs="Arial"/>
        </w:rPr>
        <w:t>Software</w:t>
      </w:r>
      <w:bookmarkEnd w:id="33"/>
      <w:bookmarkEnd w:id="34"/>
    </w:p>
    <w:p w14:paraId="7FD95E89" w14:textId="77777777" w:rsidR="007F537B" w:rsidRPr="001B62FE" w:rsidRDefault="007F537B" w:rsidP="007F537B">
      <w:pPr>
        <w:rPr>
          <w:rFonts w:ascii="Arial" w:hAnsi="Arial" w:cs="Arial"/>
        </w:rPr>
      </w:pPr>
      <w:r w:rsidRPr="001B62FE">
        <w:rPr>
          <w:rFonts w:ascii="Arial" w:hAnsi="Arial" w:cs="Arial"/>
        </w:rPr>
        <w:t>Software often forms an integral part of an electronic device, for example, in a pacemaker or patient monitor. In these cases, the software is a part of the device and is not considered to be a separate or distinct device.</w:t>
      </w:r>
    </w:p>
    <w:p w14:paraId="510CAC8C" w14:textId="77777777" w:rsidR="007F537B" w:rsidRPr="001B62FE" w:rsidRDefault="007F537B" w:rsidP="007F537B">
      <w:pPr>
        <w:rPr>
          <w:rFonts w:ascii="Arial" w:hAnsi="Arial" w:cs="Arial"/>
        </w:rPr>
      </w:pPr>
      <w:r w:rsidRPr="001B62FE">
        <w:rPr>
          <w:rFonts w:ascii="Arial" w:hAnsi="Arial" w:cs="Arial"/>
        </w:rPr>
        <w:t>Software that fits the definition of a medical device in its own right requires separate entry on the ARTG, which means that the sponsor must lodge an application with the TGA to include the device in the ARTG.</w:t>
      </w:r>
    </w:p>
    <w:p w14:paraId="4FC71E74" w14:textId="3D8886A1" w:rsidR="007F537B" w:rsidRPr="001B62FE" w:rsidRDefault="007F537B" w:rsidP="007F537B">
      <w:pPr>
        <w:rPr>
          <w:rFonts w:ascii="Arial" w:hAnsi="Arial" w:cs="Arial"/>
        </w:rPr>
      </w:pPr>
      <w:r w:rsidRPr="001B62FE">
        <w:rPr>
          <w:rFonts w:ascii="Arial" w:hAnsi="Arial" w:cs="Arial"/>
        </w:rPr>
        <w:t xml:space="preserve">The international standard </w:t>
      </w:r>
      <w:r w:rsidRPr="001B62FE">
        <w:rPr>
          <w:rFonts w:ascii="Arial" w:hAnsi="Arial" w:cs="Arial"/>
          <w:i/>
          <w:iCs/>
        </w:rPr>
        <w:t>IEC 62304 Medical device software—Software life cycle processes</w:t>
      </w:r>
      <w:r w:rsidRPr="001B62FE">
        <w:rPr>
          <w:rFonts w:ascii="Arial" w:hAnsi="Arial" w:cs="Arial"/>
        </w:rPr>
        <w:t xml:space="preserve"> addresses requirements that are specific to software, while the </w:t>
      </w:r>
      <w:r w:rsidRPr="001B62FE">
        <w:rPr>
          <w:rFonts w:ascii="Arial" w:hAnsi="Arial" w:cs="Arial"/>
          <w:i/>
          <w:iCs/>
        </w:rPr>
        <w:t>IEC 62366 Medical devices—</w:t>
      </w:r>
      <w:r w:rsidRPr="001B62FE">
        <w:rPr>
          <w:rFonts w:ascii="Arial" w:hAnsi="Arial" w:cs="Arial"/>
          <w:i/>
          <w:iCs/>
        </w:rPr>
        <w:lastRenderedPageBreak/>
        <w:t>Application of usability engineering to medical devices</w:t>
      </w:r>
      <w:r w:rsidRPr="001B62FE">
        <w:rPr>
          <w:rFonts w:ascii="Arial" w:hAnsi="Arial" w:cs="Arial"/>
        </w:rPr>
        <w:t xml:space="preserve"> standard addresses useability engineering requirements for all devices, including those that are wholly or partially software-based. The TGA considers these standards as representing the state-of-the-art for medical device software design and development, and usability, respectively. </w:t>
      </w:r>
    </w:p>
    <w:p w14:paraId="24E835C3" w14:textId="77777777" w:rsidR="007F537B" w:rsidRPr="001B62FE" w:rsidRDefault="007F537B" w:rsidP="007F537B">
      <w:pPr>
        <w:rPr>
          <w:rFonts w:ascii="Arial" w:hAnsi="Arial" w:cs="Arial"/>
        </w:rPr>
      </w:pPr>
      <w:r w:rsidRPr="001B62FE">
        <w:rPr>
          <w:rFonts w:ascii="Arial" w:hAnsi="Arial" w:cs="Arial"/>
        </w:rPr>
        <w:t>The labelling requirements apply to medical device software, regardless of whether it is:</w:t>
      </w:r>
    </w:p>
    <w:p w14:paraId="7B6349B6" w14:textId="77777777" w:rsidR="007F537B" w:rsidRPr="001B62FE" w:rsidRDefault="007F537B" w:rsidP="007F537B">
      <w:pPr>
        <w:pStyle w:val="ListBullet"/>
        <w:rPr>
          <w:rFonts w:cs="Arial"/>
        </w:rPr>
      </w:pPr>
      <w:r w:rsidRPr="001B62FE">
        <w:rPr>
          <w:rFonts w:cs="Arial"/>
        </w:rPr>
        <w:t>downloaded from the Internet</w:t>
      </w:r>
    </w:p>
    <w:p w14:paraId="2B0FBD16" w14:textId="77777777" w:rsidR="007F537B" w:rsidRPr="001B62FE" w:rsidRDefault="007F537B" w:rsidP="007F537B">
      <w:pPr>
        <w:pStyle w:val="ListBullet"/>
        <w:rPr>
          <w:rFonts w:cs="Arial"/>
        </w:rPr>
      </w:pPr>
      <w:r w:rsidRPr="001B62FE">
        <w:rPr>
          <w:rFonts w:cs="Arial"/>
        </w:rPr>
        <w:t>installed from electronic media, such as a USB drive or a CD</w:t>
      </w:r>
    </w:p>
    <w:p w14:paraId="15D5B31C" w14:textId="77777777" w:rsidR="007F537B" w:rsidRPr="001B62FE" w:rsidRDefault="007F537B" w:rsidP="007F537B">
      <w:pPr>
        <w:pStyle w:val="ListBullet"/>
        <w:rPr>
          <w:rFonts w:cs="Arial"/>
        </w:rPr>
      </w:pPr>
      <w:r w:rsidRPr="001B62FE">
        <w:rPr>
          <w:rFonts w:cs="Arial"/>
        </w:rPr>
        <w:t>pre-installed on a device</w:t>
      </w:r>
    </w:p>
    <w:p w14:paraId="424502E7" w14:textId="77777777" w:rsidR="007F537B" w:rsidRPr="001B62FE" w:rsidRDefault="007F537B" w:rsidP="007F537B">
      <w:pPr>
        <w:rPr>
          <w:rFonts w:ascii="Arial" w:hAnsi="Arial" w:cs="Arial"/>
        </w:rPr>
      </w:pPr>
      <w:r w:rsidRPr="001B62FE">
        <w:rPr>
          <w:rFonts w:ascii="Arial" w:hAnsi="Arial" w:cs="Arial"/>
        </w:rPr>
        <w:t xml:space="preserve">Manufacturers need to ensure that the product information, such as the graphical user interface, screenshots, electronic media labels, and product demos meet the requirements of Essential Principle 13. </w:t>
      </w:r>
    </w:p>
    <w:p w14:paraId="6C8D2790" w14:textId="4F9C62D6" w:rsidR="007F537B" w:rsidRPr="001B62FE" w:rsidRDefault="007F537B" w:rsidP="007F537B">
      <w:pPr>
        <w:rPr>
          <w:rFonts w:ascii="Arial" w:hAnsi="Arial" w:cs="Arial"/>
        </w:rPr>
      </w:pPr>
      <w:r w:rsidRPr="001B62FE">
        <w:rPr>
          <w:rFonts w:ascii="Arial" w:hAnsi="Arial" w:cs="Arial"/>
        </w:rPr>
        <w:t>The Regulations include a specific Essential Principle relating to labelling of software-based devices: Essential Principle 13B Software—version numbers and build numbers. This principle requires devices that are software, or that incorporate software, to include the current version and build numbers of the software to be made accessible by, and identifiable to, users of the device. The current version number and current build number of the software must be in English but may also be in any other language.</w:t>
      </w:r>
    </w:p>
    <w:p w14:paraId="7E33C2BC" w14:textId="77777777" w:rsidR="007F537B" w:rsidRPr="001B62FE" w:rsidRDefault="007F537B" w:rsidP="007F537B">
      <w:pPr>
        <w:rPr>
          <w:rFonts w:ascii="Arial" w:hAnsi="Arial" w:cs="Arial"/>
        </w:rPr>
      </w:pPr>
      <w:r w:rsidRPr="001B62FE">
        <w:rPr>
          <w:rFonts w:ascii="Arial" w:hAnsi="Arial" w:cs="Arial"/>
        </w:rPr>
        <w:t xml:space="preserve">Further information on the regulation of software is available in the guidance: </w:t>
      </w:r>
      <w:hyperlink r:id="rId25" w:history="1">
        <w:r w:rsidRPr="001B62FE">
          <w:rPr>
            <w:rStyle w:val="Hyperlink"/>
            <w:rFonts w:cs="Arial"/>
          </w:rPr>
          <w:t>How the TGA regulates software-based medical devices</w:t>
        </w:r>
      </w:hyperlink>
      <w:r w:rsidRPr="001B62FE">
        <w:rPr>
          <w:rFonts w:ascii="Arial" w:hAnsi="Arial" w:cs="Arial"/>
        </w:rPr>
        <w:t xml:space="preserve">. </w:t>
      </w:r>
    </w:p>
    <w:p w14:paraId="080E3F1D" w14:textId="77777777" w:rsidR="00F02AEC" w:rsidRPr="001B62FE" w:rsidRDefault="00F02AEC" w:rsidP="00BA0DFC">
      <w:pPr>
        <w:pStyle w:val="NonTOCheading2"/>
        <w:rPr>
          <w:rFonts w:cs="Arial"/>
        </w:rPr>
      </w:pPr>
      <w:r w:rsidRPr="001B62FE">
        <w:rPr>
          <w:rFonts w:cs="Arial"/>
        </w:rPr>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F02AEC" w:rsidRPr="001B62FE" w14:paraId="1FCB0B58" w14:textId="77777777" w:rsidTr="00FA4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597FAA0" w14:textId="77777777" w:rsidR="00F02AEC" w:rsidRPr="001B62FE" w:rsidRDefault="00F02AEC" w:rsidP="00B33C56">
            <w:pPr>
              <w:rPr>
                <w:rFonts w:cs="Arial"/>
              </w:rPr>
            </w:pPr>
            <w:bookmarkStart w:id="35" w:name="ColumnTitle_4"/>
            <w:r w:rsidRPr="001B62FE">
              <w:rPr>
                <w:rFonts w:cs="Arial"/>
              </w:rPr>
              <w:t>Version</w:t>
            </w:r>
          </w:p>
        </w:tc>
        <w:tc>
          <w:tcPr>
            <w:tcW w:w="3242" w:type="dxa"/>
          </w:tcPr>
          <w:p w14:paraId="5276A3B7" w14:textId="77777777" w:rsidR="00F02AEC" w:rsidRPr="001B62FE" w:rsidRDefault="00F02AEC" w:rsidP="00B33C56">
            <w:pPr>
              <w:cnfStyle w:val="100000000000" w:firstRow="1" w:lastRow="0" w:firstColumn="0" w:lastColumn="0" w:oddVBand="0" w:evenVBand="0" w:oddHBand="0" w:evenHBand="0" w:firstRowFirstColumn="0" w:firstRowLastColumn="0" w:lastRowFirstColumn="0" w:lastRowLastColumn="0"/>
              <w:rPr>
                <w:rFonts w:cs="Arial"/>
              </w:rPr>
            </w:pPr>
            <w:r w:rsidRPr="001B62FE">
              <w:rPr>
                <w:rFonts w:cs="Arial"/>
              </w:rPr>
              <w:t>Description of change</w:t>
            </w:r>
          </w:p>
        </w:tc>
        <w:tc>
          <w:tcPr>
            <w:tcW w:w="2712" w:type="dxa"/>
          </w:tcPr>
          <w:p w14:paraId="2C738A49" w14:textId="77777777" w:rsidR="00F02AEC" w:rsidRPr="001B62FE" w:rsidRDefault="00F02AEC" w:rsidP="00B33C56">
            <w:pPr>
              <w:cnfStyle w:val="100000000000" w:firstRow="1" w:lastRow="0" w:firstColumn="0" w:lastColumn="0" w:oddVBand="0" w:evenVBand="0" w:oddHBand="0" w:evenHBand="0" w:firstRowFirstColumn="0" w:firstRowLastColumn="0" w:lastRowFirstColumn="0" w:lastRowLastColumn="0"/>
              <w:rPr>
                <w:rFonts w:cs="Arial"/>
              </w:rPr>
            </w:pPr>
            <w:r w:rsidRPr="001B62FE">
              <w:rPr>
                <w:rFonts w:cs="Arial"/>
              </w:rPr>
              <w:t>Author</w:t>
            </w:r>
          </w:p>
        </w:tc>
        <w:tc>
          <w:tcPr>
            <w:tcW w:w="1808" w:type="dxa"/>
          </w:tcPr>
          <w:p w14:paraId="678CCE16" w14:textId="77777777" w:rsidR="00F02AEC" w:rsidRPr="001B62FE" w:rsidRDefault="00F02AEC" w:rsidP="00B33C56">
            <w:pPr>
              <w:cnfStyle w:val="100000000000" w:firstRow="1" w:lastRow="0" w:firstColumn="0" w:lastColumn="0" w:oddVBand="0" w:evenVBand="0" w:oddHBand="0" w:evenHBand="0" w:firstRowFirstColumn="0" w:firstRowLastColumn="0" w:lastRowFirstColumn="0" w:lastRowLastColumn="0"/>
              <w:rPr>
                <w:rFonts w:cs="Arial"/>
              </w:rPr>
            </w:pPr>
            <w:r w:rsidRPr="001B62FE">
              <w:rPr>
                <w:rFonts w:cs="Arial"/>
              </w:rPr>
              <w:t>Effective date</w:t>
            </w:r>
          </w:p>
        </w:tc>
      </w:tr>
      <w:bookmarkEnd w:id="35"/>
      <w:tr w:rsidR="007F537B" w:rsidRPr="001B62FE" w14:paraId="27AD9ED5" w14:textId="77777777" w:rsidTr="007D5519">
        <w:trPr>
          <w:trHeight w:val="1418"/>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4B7EF148" w14:textId="6D8C3DCA" w:rsidR="007F537B" w:rsidRPr="001B62FE" w:rsidRDefault="007F537B" w:rsidP="007F537B">
            <w:pPr>
              <w:rPr>
                <w:rFonts w:cs="Arial"/>
              </w:rPr>
            </w:pPr>
            <w:r w:rsidRPr="001B62FE">
              <w:rPr>
                <w:rFonts w:cs="Arial"/>
              </w:rPr>
              <w:t>V1.0</w:t>
            </w:r>
          </w:p>
        </w:tc>
        <w:tc>
          <w:tcPr>
            <w:tcW w:w="3242" w:type="dxa"/>
            <w:shd w:val="clear" w:color="auto" w:fill="auto"/>
          </w:tcPr>
          <w:p w14:paraId="5FFB277A" w14:textId="382B55EF" w:rsidR="007F537B" w:rsidRPr="001B62FE" w:rsidRDefault="007F537B" w:rsidP="007F537B">
            <w:pPr>
              <w:cnfStyle w:val="000000000000" w:firstRow="0" w:lastRow="0" w:firstColumn="0" w:lastColumn="0" w:oddVBand="0" w:evenVBand="0" w:oddHBand="0" w:evenHBand="0" w:firstRowFirstColumn="0" w:firstRowLastColumn="0" w:lastRowFirstColumn="0" w:lastRowLastColumn="0"/>
              <w:rPr>
                <w:rFonts w:cs="Arial"/>
              </w:rPr>
            </w:pPr>
            <w:r w:rsidRPr="001B62FE">
              <w:rPr>
                <w:rFonts w:cs="Arial"/>
              </w:rPr>
              <w:t>Original publication (update to archive</w:t>
            </w:r>
            <w:r w:rsidRPr="001B62FE">
              <w:rPr>
                <w:rFonts w:cs="Arial"/>
                <w:color w:val="auto"/>
              </w:rPr>
              <w:t>d</w:t>
            </w:r>
            <w:r w:rsidRPr="001B62FE">
              <w:rPr>
                <w:rFonts w:cs="Arial"/>
              </w:rPr>
              <w:t xml:space="preserve"> ARGMD section 13).</w:t>
            </w:r>
          </w:p>
        </w:tc>
        <w:tc>
          <w:tcPr>
            <w:tcW w:w="2712" w:type="dxa"/>
            <w:shd w:val="clear" w:color="auto" w:fill="auto"/>
          </w:tcPr>
          <w:p w14:paraId="412668BC" w14:textId="718C8CDC" w:rsidR="007F537B" w:rsidRPr="001B62FE" w:rsidRDefault="007F537B" w:rsidP="007F537B">
            <w:pPr>
              <w:cnfStyle w:val="000000000000" w:firstRow="0" w:lastRow="0" w:firstColumn="0" w:lastColumn="0" w:oddVBand="0" w:evenVBand="0" w:oddHBand="0" w:evenHBand="0" w:firstRowFirstColumn="0" w:firstRowLastColumn="0" w:lastRowFirstColumn="0" w:lastRowLastColumn="0"/>
              <w:rPr>
                <w:rFonts w:cs="Arial"/>
              </w:rPr>
            </w:pPr>
            <w:r w:rsidRPr="001B62FE">
              <w:rPr>
                <w:rFonts w:cs="Arial"/>
              </w:rPr>
              <w:t>Devices Emerging Technology and Diagnostics</w:t>
            </w:r>
          </w:p>
        </w:tc>
        <w:tc>
          <w:tcPr>
            <w:tcW w:w="1808" w:type="dxa"/>
            <w:shd w:val="clear" w:color="auto" w:fill="auto"/>
          </w:tcPr>
          <w:p w14:paraId="798CBFF9" w14:textId="3804C85C" w:rsidR="007F537B" w:rsidRPr="001B62FE" w:rsidRDefault="007F537B" w:rsidP="007F537B">
            <w:pPr>
              <w:cnfStyle w:val="000000000000" w:firstRow="0" w:lastRow="0" w:firstColumn="0" w:lastColumn="0" w:oddVBand="0" w:evenVBand="0" w:oddHBand="0" w:evenHBand="0" w:firstRowFirstColumn="0" w:firstRowLastColumn="0" w:lastRowFirstColumn="0" w:lastRowLastColumn="0"/>
              <w:rPr>
                <w:rFonts w:cs="Arial"/>
              </w:rPr>
            </w:pPr>
            <w:r w:rsidRPr="001B62FE">
              <w:rPr>
                <w:rFonts w:cs="Arial"/>
              </w:rPr>
              <w:t>July 2022</w:t>
            </w:r>
          </w:p>
        </w:tc>
      </w:tr>
      <w:tr w:rsidR="001B62FE" w:rsidRPr="001B62FE" w14:paraId="71A92860" w14:textId="77777777" w:rsidTr="007D5519">
        <w:trPr>
          <w:trHeight w:val="1418"/>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63FE304C" w14:textId="60ED7F55" w:rsidR="001B62FE" w:rsidRPr="001B62FE" w:rsidRDefault="001B62FE" w:rsidP="001B62FE">
            <w:pPr>
              <w:rPr>
                <w:rFonts w:cs="Arial"/>
              </w:rPr>
            </w:pPr>
            <w:r w:rsidRPr="001B62FE">
              <w:rPr>
                <w:rFonts w:cs="Arial"/>
              </w:rPr>
              <w:t>V1.1</w:t>
            </w:r>
          </w:p>
        </w:tc>
        <w:tc>
          <w:tcPr>
            <w:tcW w:w="3242" w:type="dxa"/>
            <w:shd w:val="clear" w:color="auto" w:fill="auto"/>
          </w:tcPr>
          <w:p w14:paraId="298FD17E" w14:textId="123ACC27" w:rsidR="001B62FE" w:rsidRPr="001B62FE" w:rsidRDefault="001B62FE" w:rsidP="001B62FE">
            <w:pPr>
              <w:cnfStyle w:val="000000000000" w:firstRow="0" w:lastRow="0" w:firstColumn="0" w:lastColumn="0" w:oddVBand="0" w:evenVBand="0" w:oddHBand="0" w:evenHBand="0" w:firstRowFirstColumn="0" w:firstRowLastColumn="0" w:lastRowFirstColumn="0" w:lastRowLastColumn="0"/>
              <w:rPr>
                <w:rFonts w:cs="Arial"/>
              </w:rPr>
            </w:pPr>
            <w:r w:rsidRPr="001B62FE">
              <w:rPr>
                <w:rFonts w:cs="Arial"/>
              </w:rPr>
              <w:t>Amendments for clarity</w:t>
            </w:r>
          </w:p>
        </w:tc>
        <w:tc>
          <w:tcPr>
            <w:tcW w:w="2712" w:type="dxa"/>
            <w:shd w:val="clear" w:color="auto" w:fill="auto"/>
          </w:tcPr>
          <w:p w14:paraId="0D64883F" w14:textId="71463253" w:rsidR="001B62FE" w:rsidRPr="001B62FE" w:rsidRDefault="001B62FE" w:rsidP="001B62FE">
            <w:pPr>
              <w:cnfStyle w:val="000000000000" w:firstRow="0" w:lastRow="0" w:firstColumn="0" w:lastColumn="0" w:oddVBand="0" w:evenVBand="0" w:oddHBand="0" w:evenHBand="0" w:firstRowFirstColumn="0" w:firstRowLastColumn="0" w:lastRowFirstColumn="0" w:lastRowLastColumn="0"/>
              <w:rPr>
                <w:rFonts w:cs="Arial"/>
              </w:rPr>
            </w:pPr>
            <w:r w:rsidRPr="001B62FE">
              <w:rPr>
                <w:rFonts w:cs="Arial"/>
              </w:rPr>
              <w:t>Device</w:t>
            </w:r>
            <w:r>
              <w:rPr>
                <w:rFonts w:cs="Arial"/>
              </w:rPr>
              <w:t>s</w:t>
            </w:r>
            <w:r w:rsidRPr="001B62FE">
              <w:rPr>
                <w:rFonts w:cs="Arial"/>
              </w:rPr>
              <w:t xml:space="preserve"> Application Section</w:t>
            </w:r>
          </w:p>
        </w:tc>
        <w:tc>
          <w:tcPr>
            <w:tcW w:w="1808" w:type="dxa"/>
            <w:shd w:val="clear" w:color="auto" w:fill="auto"/>
          </w:tcPr>
          <w:p w14:paraId="64CB9893" w14:textId="64963399" w:rsidR="001B62FE" w:rsidRPr="001B62FE" w:rsidRDefault="001B62FE" w:rsidP="001B62FE">
            <w:pPr>
              <w:cnfStyle w:val="000000000000" w:firstRow="0" w:lastRow="0" w:firstColumn="0" w:lastColumn="0" w:oddVBand="0" w:evenVBand="0" w:oddHBand="0" w:evenHBand="0" w:firstRowFirstColumn="0" w:firstRowLastColumn="0" w:lastRowFirstColumn="0" w:lastRowLastColumn="0"/>
              <w:rPr>
                <w:rFonts w:cs="Arial"/>
              </w:rPr>
            </w:pPr>
            <w:r>
              <w:rPr>
                <w:rFonts w:cs="Arial"/>
              </w:rPr>
              <w:t>August</w:t>
            </w:r>
            <w:r w:rsidRPr="001B62FE">
              <w:rPr>
                <w:rFonts w:cs="Arial"/>
              </w:rPr>
              <w:t xml:space="preserve"> 2023</w:t>
            </w:r>
          </w:p>
        </w:tc>
      </w:tr>
    </w:tbl>
    <w:p w14:paraId="4AB31018" w14:textId="77777777" w:rsidR="00F02AEC" w:rsidRPr="001B62FE" w:rsidRDefault="00F02AEC" w:rsidP="00706634">
      <w:pPr>
        <w:spacing w:after="0" w:line="240" w:lineRule="auto"/>
        <w:rPr>
          <w:rFonts w:ascii="Arial" w:hAnsi="Arial" w:cs="Arial"/>
        </w:rPr>
        <w:sectPr w:rsidR="00F02AEC" w:rsidRPr="001B62FE" w:rsidSect="00AE7C6A">
          <w:headerReference w:type="default" r:id="rId26"/>
          <w:footerReference w:type="default" r:id="rId2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1B62FE" w14:paraId="2AA0176D" w14:textId="77777777" w:rsidTr="00564BBE">
        <w:trPr>
          <w:trHeight w:hRule="exact" w:val="565"/>
          <w:jc w:val="center"/>
        </w:trPr>
        <w:tc>
          <w:tcPr>
            <w:tcW w:w="9145" w:type="dxa"/>
          </w:tcPr>
          <w:p w14:paraId="527D43D5" w14:textId="2721FAE3" w:rsidR="00F02AEC" w:rsidRPr="001B62FE" w:rsidRDefault="00F02AEC" w:rsidP="00564BBE">
            <w:pPr>
              <w:pStyle w:val="TGASignoff"/>
              <w:rPr>
                <w:rFonts w:cs="Arial"/>
              </w:rPr>
            </w:pPr>
            <w:r w:rsidRPr="001B62FE">
              <w:rPr>
                <w:rFonts w:cs="Arial"/>
              </w:rPr>
              <w:lastRenderedPageBreak/>
              <w:t>Therapeutic Goods Administration</w:t>
            </w:r>
          </w:p>
        </w:tc>
      </w:tr>
      <w:tr w:rsidR="00F02AEC" w:rsidRPr="001B62FE" w14:paraId="133008CE" w14:textId="77777777" w:rsidTr="00564BBE">
        <w:trPr>
          <w:trHeight w:val="963"/>
          <w:jc w:val="center"/>
        </w:trPr>
        <w:tc>
          <w:tcPr>
            <w:tcW w:w="9145" w:type="dxa"/>
            <w:tcMar>
              <w:top w:w="28" w:type="dxa"/>
            </w:tcMar>
          </w:tcPr>
          <w:p w14:paraId="5AAF6A4B" w14:textId="77777777" w:rsidR="00F02AEC" w:rsidRPr="001B62FE" w:rsidRDefault="00F02AEC" w:rsidP="00EB5622">
            <w:pPr>
              <w:pStyle w:val="Address"/>
              <w:jc w:val="center"/>
              <w:rPr>
                <w:rFonts w:cs="Arial"/>
              </w:rPr>
            </w:pPr>
            <w:r w:rsidRPr="001B62FE">
              <w:rPr>
                <w:rFonts w:cs="Arial"/>
              </w:rPr>
              <w:t>PO Box 100 Woden ACT 2606 Australia</w:t>
            </w:r>
          </w:p>
          <w:p w14:paraId="168D93D8" w14:textId="77777777" w:rsidR="00F02AEC" w:rsidRPr="001B62FE" w:rsidRDefault="00F02AEC">
            <w:pPr>
              <w:pStyle w:val="Address"/>
              <w:jc w:val="center"/>
              <w:rPr>
                <w:rFonts w:cs="Arial"/>
                <w:sz w:val="22"/>
                <w:szCs w:val="22"/>
              </w:rPr>
            </w:pPr>
            <w:r w:rsidRPr="001B62FE">
              <w:rPr>
                <w:rFonts w:cs="Arial"/>
              </w:rPr>
              <w:t xml:space="preserve">Email: </w:t>
            </w:r>
            <w:hyperlink r:id="rId28" w:history="1">
              <w:r w:rsidRPr="001B62FE">
                <w:rPr>
                  <w:rStyle w:val="Hyperlink"/>
                  <w:rFonts w:cs="Arial"/>
                </w:rPr>
                <w:t>info@tga.gov.au</w:t>
              </w:r>
            </w:hyperlink>
            <w:r w:rsidRPr="001B62FE">
              <w:rPr>
                <w:rFonts w:cs="Arial"/>
              </w:rPr>
              <w:t xml:space="preserve">  Phone: 1800 020 653  Fax: 02 6203 1605</w:t>
            </w:r>
          </w:p>
          <w:p w14:paraId="506D7BB7" w14:textId="77777777" w:rsidR="00F02AEC" w:rsidRPr="001B62FE" w:rsidRDefault="00B74324">
            <w:pPr>
              <w:pStyle w:val="Address"/>
              <w:jc w:val="center"/>
              <w:rPr>
                <w:rStyle w:val="Hyperlink"/>
                <w:rFonts w:cs="Arial"/>
                <w:b/>
                <w:color w:val="auto"/>
                <w:sz w:val="22"/>
              </w:rPr>
            </w:pPr>
            <w:hyperlink r:id="rId29" w:history="1">
              <w:r w:rsidR="00F02AEC" w:rsidRPr="001B62FE">
                <w:rPr>
                  <w:rStyle w:val="Hyperlink"/>
                  <w:rFonts w:cs="Arial"/>
                  <w:b/>
                </w:rPr>
                <w:t>https://www.tga.gov.au</w:t>
              </w:r>
            </w:hyperlink>
          </w:p>
        </w:tc>
      </w:tr>
      <w:tr w:rsidR="00F02AEC" w:rsidRPr="001B62FE" w14:paraId="704B3FD4" w14:textId="77777777" w:rsidTr="00564BBE">
        <w:trPr>
          <w:trHeight w:val="251"/>
          <w:jc w:val="center"/>
        </w:trPr>
        <w:tc>
          <w:tcPr>
            <w:tcW w:w="9145" w:type="dxa"/>
            <w:tcMar>
              <w:top w:w="28" w:type="dxa"/>
            </w:tcMar>
          </w:tcPr>
          <w:p w14:paraId="34CE7AD6" w14:textId="77777777" w:rsidR="00F02AEC" w:rsidRPr="001B62FE" w:rsidRDefault="00F02AEC" w:rsidP="00EB5622">
            <w:pPr>
              <w:pStyle w:val="Address"/>
              <w:jc w:val="center"/>
              <w:rPr>
                <w:rFonts w:cs="Arial"/>
              </w:rPr>
            </w:pPr>
            <w:r w:rsidRPr="001B62FE">
              <w:rPr>
                <w:rFonts w:cs="Arial"/>
              </w:rPr>
              <w:t>Reference/Publication #</w:t>
            </w:r>
          </w:p>
        </w:tc>
      </w:tr>
    </w:tbl>
    <w:p w14:paraId="54CA5095" w14:textId="77777777" w:rsidR="002216A7" w:rsidRPr="001B62FE" w:rsidRDefault="00B74324">
      <w:pPr>
        <w:rPr>
          <w:rFonts w:ascii="Arial" w:hAnsi="Arial" w:cs="Arial"/>
        </w:rPr>
      </w:pPr>
    </w:p>
    <w:sectPr w:rsidR="002216A7" w:rsidRPr="001B62FE" w:rsidSect="00AE7C6A">
      <w:headerReference w:type="first" r:id="rId30"/>
      <w:footerReference w:type="first" r:id="rId3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3BC0C" w14:textId="77777777" w:rsidR="00E42B9A" w:rsidRDefault="00E42B9A" w:rsidP="00F02AEC">
      <w:pPr>
        <w:spacing w:after="0" w:line="240" w:lineRule="auto"/>
      </w:pPr>
      <w:r>
        <w:separator/>
      </w:r>
    </w:p>
  </w:endnote>
  <w:endnote w:type="continuationSeparator" w:id="0">
    <w:p w14:paraId="3DA8FEAA" w14:textId="77777777" w:rsidR="00E42B9A" w:rsidRDefault="00E42B9A"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F02AEC" w:rsidRPr="00257138" w14:paraId="66A63396" w14:textId="77777777" w:rsidTr="000B30E5">
      <w:trPr>
        <w:trHeight w:val="423"/>
      </w:trPr>
      <w:tc>
        <w:tcPr>
          <w:tcW w:w="4360" w:type="dxa"/>
          <w:tcBorders>
            <w:top w:val="single" w:sz="4" w:space="0" w:color="auto"/>
          </w:tcBorders>
        </w:tcPr>
        <w:p w14:paraId="7646C004" w14:textId="77777777" w:rsidR="00F02AEC" w:rsidRDefault="00F02AEC" w:rsidP="000B30E5">
          <w:pPr>
            <w:pStyle w:val="Footer"/>
          </w:pPr>
        </w:p>
        <w:p w14:paraId="13414009" w14:textId="77777777" w:rsidR="00F02AEC" w:rsidRPr="00257138" w:rsidRDefault="00F02AEC"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49424B8C" w14:textId="77777777" w:rsidR="00F02AEC" w:rsidRDefault="00F02AEC" w:rsidP="000B30E5">
              <w:pPr>
                <w:pStyle w:val="Footer"/>
                <w:jc w:val="right"/>
              </w:pPr>
            </w:p>
            <w:p w14:paraId="0F590F22" w14:textId="77777777" w:rsidR="00F02AEC" w:rsidRPr="00257138" w:rsidRDefault="00F02AE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2</w:t>
                </w:r>
              </w:fldSimple>
            </w:p>
          </w:sdtContent>
        </w:sdt>
      </w:tc>
    </w:tr>
    <w:tr w:rsidR="00F02AEC" w:rsidRPr="00257138" w14:paraId="02871754" w14:textId="77777777" w:rsidTr="000B30E5">
      <w:trPr>
        <w:trHeight w:val="263"/>
      </w:trPr>
      <w:tc>
        <w:tcPr>
          <w:tcW w:w="4360" w:type="dxa"/>
        </w:tcPr>
        <w:p w14:paraId="1115F017" w14:textId="77777777" w:rsidR="00F02AEC" w:rsidRPr="00257138" w:rsidRDefault="00F02AEC" w:rsidP="000B30E5">
          <w:pPr>
            <w:pStyle w:val="Footer"/>
          </w:pPr>
          <w:r w:rsidRPr="00257138">
            <w:t xml:space="preserve">V1.0 </w:t>
          </w:r>
          <w:r>
            <w:t>Month</w:t>
          </w:r>
          <w:r w:rsidRPr="00257138">
            <w:t xml:space="preserve"> 201</w:t>
          </w:r>
          <w:r>
            <w:t>2</w:t>
          </w:r>
        </w:p>
      </w:tc>
      <w:tc>
        <w:tcPr>
          <w:tcW w:w="4360" w:type="dxa"/>
        </w:tcPr>
        <w:p w14:paraId="11A859BB" w14:textId="77777777" w:rsidR="00F02AEC" w:rsidRPr="00257138" w:rsidRDefault="00F02AEC" w:rsidP="000B30E5">
          <w:pPr>
            <w:pStyle w:val="Footer"/>
            <w:jc w:val="right"/>
          </w:pPr>
        </w:p>
      </w:tc>
    </w:tr>
  </w:tbl>
  <w:p w14:paraId="1396B46E" w14:textId="77777777" w:rsidR="00F02AEC" w:rsidRPr="00826007" w:rsidRDefault="00F02AEC"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6B27" w14:textId="77777777" w:rsidR="00F02AEC" w:rsidRDefault="00F02AEC"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F02AEC" w:rsidRPr="004A3084" w14:paraId="73CF4F8C" w14:textId="77777777" w:rsidTr="00030D34">
      <w:trPr>
        <w:trHeight w:val="423"/>
      </w:trPr>
      <w:tc>
        <w:tcPr>
          <w:tcW w:w="7338" w:type="dxa"/>
          <w:tcBorders>
            <w:top w:val="single" w:sz="4" w:space="0" w:color="auto"/>
          </w:tcBorders>
        </w:tcPr>
        <w:p w14:paraId="362BE49F" w14:textId="4EE25971" w:rsidR="00F02AEC" w:rsidRPr="004A3084" w:rsidRDefault="007F537B" w:rsidP="00F54CA9">
          <w:pPr>
            <w:pStyle w:val="Footer"/>
          </w:pPr>
          <w:r>
            <w:t>Active medical devices—Introduction and overview of requirements</w:t>
          </w:r>
          <w:r w:rsidRPr="004A3084">
            <w:t xml:space="preserve"> </w:t>
          </w:r>
          <w:r>
            <w:br/>
            <w:t>V1.</w:t>
          </w:r>
          <w:r w:rsidR="001B62FE">
            <w:t>1 August 2023</w:t>
          </w:r>
        </w:p>
      </w:tc>
      <w:tc>
        <w:tcPr>
          <w:tcW w:w="1734" w:type="dxa"/>
          <w:tcBorders>
            <w:top w:val="single" w:sz="4" w:space="0" w:color="auto"/>
          </w:tcBorders>
        </w:tcPr>
        <w:sdt>
          <w:sdtPr>
            <w:id w:val="11571659"/>
            <w:docPartObj>
              <w:docPartGallery w:val="Page Numbers (Top of Page)"/>
              <w:docPartUnique/>
            </w:docPartObj>
          </w:sdtPr>
          <w:sdtEndPr/>
          <w:sdtContent>
            <w:p w14:paraId="4CEE7A1C" w14:textId="77777777" w:rsidR="00F02AEC" w:rsidRPr="004A3084" w:rsidRDefault="00F02AEC" w:rsidP="00231E8D">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fldSimple w:instr=" NUMPAGES  ">
                <w:r>
                  <w:rPr>
                    <w:noProof/>
                  </w:rPr>
                  <w:t>7</w:t>
                </w:r>
              </w:fldSimple>
            </w:p>
          </w:sdtContent>
        </w:sdt>
      </w:tc>
    </w:tr>
  </w:tbl>
  <w:p w14:paraId="732BA3B8" w14:textId="77777777" w:rsidR="00F02AEC" w:rsidRPr="00826007" w:rsidRDefault="00F02AEC"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5ACD" w14:textId="77777777" w:rsidR="00A77452" w:rsidRPr="008E3C43" w:rsidRDefault="00B74324"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D46E8" w14:textId="77777777" w:rsidR="00E42B9A" w:rsidRDefault="00E42B9A" w:rsidP="00F02AEC">
      <w:pPr>
        <w:spacing w:after="0" w:line="240" w:lineRule="auto"/>
      </w:pPr>
      <w:r>
        <w:separator/>
      </w:r>
    </w:p>
  </w:footnote>
  <w:footnote w:type="continuationSeparator" w:id="0">
    <w:p w14:paraId="4C049C4E" w14:textId="77777777" w:rsidR="00E42B9A" w:rsidRDefault="00E42B9A" w:rsidP="00F02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F31F" w14:textId="77777777" w:rsidR="00F02AEC" w:rsidRPr="00CB0550" w:rsidRDefault="00F02AEC"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7939E6A0" w14:textId="77777777" w:rsidTr="00F71E1E">
      <w:trPr>
        <w:trHeight w:hRule="exact" w:val="8845"/>
      </w:trPr>
      <w:tc>
        <w:tcPr>
          <w:tcW w:w="11964" w:type="dxa"/>
          <w:vAlign w:val="center"/>
        </w:tcPr>
        <w:p w14:paraId="3B16EAC9" w14:textId="77777777" w:rsidR="00F02AEC" w:rsidRPr="002B29B2" w:rsidRDefault="00B74324" w:rsidP="006A2426">
          <w:pPr>
            <w:ind w:left="-57"/>
            <w:rPr>
              <w:noProof/>
            </w:rPr>
          </w:pPr>
          <w:sdt>
            <w:sdtPr>
              <w:rPr>
                <w:noProof/>
              </w:rPr>
              <w:id w:val="1926993388"/>
              <w:picture/>
            </w:sdtPr>
            <w:sdtEndPr/>
            <w:sdtContent>
              <w:r w:rsidR="00F02AEC" w:rsidRPr="00F71E1E">
                <w:rPr>
                  <w:noProof/>
                </w:rPr>
                <w:drawing>
                  <wp:inline distT="0" distB="0" distL="0" distR="0" wp14:anchorId="32E507C3" wp14:editId="7E20A745">
                    <wp:extent cx="7631430" cy="4197286"/>
                    <wp:effectExtent l="0" t="0" r="762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
                            <a:stretch>
                              <a:fillRect/>
                            </a:stretch>
                          </pic:blipFill>
                          <pic:spPr bwMode="auto">
                            <a:xfrm>
                              <a:off x="0" y="0"/>
                              <a:ext cx="7631430" cy="4197286"/>
                            </a:xfrm>
                            <a:prstGeom prst="rect">
                              <a:avLst/>
                            </a:prstGeom>
                            <a:noFill/>
                            <a:ln w="9525">
                              <a:noFill/>
                              <a:miter lim="800000"/>
                              <a:headEnd/>
                              <a:tailEnd/>
                            </a:ln>
                          </pic:spPr>
                        </pic:pic>
                      </a:graphicData>
                    </a:graphic>
                  </wp:inline>
                </w:drawing>
              </w:r>
            </w:sdtContent>
          </w:sdt>
        </w:p>
      </w:tc>
    </w:tr>
  </w:tbl>
  <w:p w14:paraId="3D517E83" w14:textId="77777777" w:rsidR="00F02AEC" w:rsidRDefault="00CB0550" w:rsidP="006D03E5">
    <w:pPr>
      <w:rPr>
        <w:noProof/>
      </w:rPr>
    </w:pPr>
    <w:r>
      <w:rPr>
        <w:noProof/>
        <w:lang w:eastAsia="en-AU"/>
      </w:rPr>
      <w:drawing>
        <wp:anchor distT="0" distB="0" distL="114300" distR="114300" simplePos="0" relativeHeight="251661312" behindDoc="0" locked="0" layoutInCell="1" allowOverlap="1" wp14:anchorId="7A80EBC1" wp14:editId="3EE143C0">
          <wp:simplePos x="0" y="0"/>
          <wp:positionH relativeFrom="column">
            <wp:posOffset>-400050</wp:posOffset>
          </wp:positionH>
          <wp:positionV relativeFrom="paragraph">
            <wp:posOffset>-116205</wp:posOffset>
          </wp:positionV>
          <wp:extent cx="2676525" cy="621665"/>
          <wp:effectExtent l="0" t="0" r="9525" b="6985"/>
          <wp:wrapTopAndBottom/>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60288" behindDoc="0" locked="0" layoutInCell="0" allowOverlap="1" wp14:anchorId="62F0E14F" wp14:editId="4E007541">
          <wp:simplePos x="0" y="0"/>
          <wp:positionH relativeFrom="page">
            <wp:align>left</wp:align>
          </wp:positionH>
          <wp:positionV relativeFrom="page">
            <wp:posOffset>3239495</wp:posOffset>
          </wp:positionV>
          <wp:extent cx="7663815" cy="4323091"/>
          <wp:effectExtent l="0" t="0" r="0" b="127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F1AE" w14:textId="77777777" w:rsidR="00F02AEC" w:rsidRDefault="00F02AEC"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FD279" w14:textId="77777777" w:rsidR="00A77452" w:rsidRPr="00FE501F" w:rsidRDefault="00B74324"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1B2"/>
    <w:multiLevelType w:val="multilevel"/>
    <w:tmpl w:val="7196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0CE6D76"/>
    <w:multiLevelType w:val="multilevel"/>
    <w:tmpl w:val="3784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BDCE1BCC"/>
    <w:styleLink w:val="ListBullets"/>
    <w:lvl w:ilvl="0">
      <w:start w:val="4"/>
      <w:numFmt w:val="bullet"/>
      <w:pStyle w:val="ListBullet"/>
      <w:lvlText w:val="•"/>
      <w:lvlJc w:val="left"/>
      <w:pPr>
        <w:ind w:left="502"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CDD040F"/>
    <w:multiLevelType w:val="multilevel"/>
    <w:tmpl w:val="AEE4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55BCF"/>
    <w:multiLevelType w:val="multilevel"/>
    <w:tmpl w:val="D70E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E402B"/>
    <w:multiLevelType w:val="multilevel"/>
    <w:tmpl w:val="E258F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30A0A"/>
    <w:multiLevelType w:val="multilevel"/>
    <w:tmpl w:val="C9C8992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28F913A4"/>
    <w:multiLevelType w:val="multilevel"/>
    <w:tmpl w:val="4C0C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0D4397"/>
    <w:multiLevelType w:val="multilevel"/>
    <w:tmpl w:val="78724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D0B21"/>
    <w:multiLevelType w:val="multilevel"/>
    <w:tmpl w:val="4B50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984883"/>
    <w:multiLevelType w:val="hybridMultilevel"/>
    <w:tmpl w:val="4F24669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187EC1"/>
    <w:multiLevelType w:val="multilevel"/>
    <w:tmpl w:val="FBF2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9C6458"/>
    <w:multiLevelType w:val="hybridMultilevel"/>
    <w:tmpl w:val="2A8C803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8AE6639"/>
    <w:multiLevelType w:val="multilevel"/>
    <w:tmpl w:val="D44C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A38F6"/>
    <w:multiLevelType w:val="multilevel"/>
    <w:tmpl w:val="00B8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C24DFF"/>
    <w:multiLevelType w:val="multilevel"/>
    <w:tmpl w:val="EF9C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D23462"/>
    <w:multiLevelType w:val="multilevel"/>
    <w:tmpl w:val="C8E2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D9764C"/>
    <w:multiLevelType w:val="multilevel"/>
    <w:tmpl w:val="1C845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587822">
    <w:abstractNumId w:val="4"/>
  </w:num>
  <w:num w:numId="2" w16cid:durableId="975715594">
    <w:abstractNumId w:val="1"/>
  </w:num>
  <w:num w:numId="3" w16cid:durableId="904340678">
    <w:abstractNumId w:val="3"/>
  </w:num>
  <w:num w:numId="4" w16cid:durableId="937517106">
    <w:abstractNumId w:val="17"/>
  </w:num>
  <w:num w:numId="5" w16cid:durableId="981619708">
    <w:abstractNumId w:val="9"/>
  </w:num>
  <w:num w:numId="6" w16cid:durableId="749497282">
    <w:abstractNumId w:val="16"/>
  </w:num>
  <w:num w:numId="7" w16cid:durableId="375593417">
    <w:abstractNumId w:val="14"/>
  </w:num>
  <w:num w:numId="8" w16cid:durableId="1885822858">
    <w:abstractNumId w:val="18"/>
  </w:num>
  <w:num w:numId="9" w16cid:durableId="601692344">
    <w:abstractNumId w:val="6"/>
  </w:num>
  <w:num w:numId="10" w16cid:durableId="627928719">
    <w:abstractNumId w:val="21"/>
  </w:num>
  <w:num w:numId="11" w16cid:durableId="651447446">
    <w:abstractNumId w:val="2"/>
  </w:num>
  <w:num w:numId="12" w16cid:durableId="560556833">
    <w:abstractNumId w:val="11"/>
  </w:num>
  <w:num w:numId="13" w16cid:durableId="1071274420">
    <w:abstractNumId w:val="10"/>
  </w:num>
  <w:num w:numId="14" w16cid:durableId="1374500748">
    <w:abstractNumId w:val="20"/>
  </w:num>
  <w:num w:numId="15" w16cid:durableId="4794672">
    <w:abstractNumId w:val="22"/>
  </w:num>
  <w:num w:numId="16" w16cid:durableId="2020304165">
    <w:abstractNumId w:val="5"/>
  </w:num>
  <w:num w:numId="17" w16cid:durableId="1776289346">
    <w:abstractNumId w:val="19"/>
  </w:num>
  <w:num w:numId="18" w16cid:durableId="1657032336">
    <w:abstractNumId w:val="0"/>
  </w:num>
  <w:num w:numId="19" w16cid:durableId="1530486558">
    <w:abstractNumId w:val="7"/>
  </w:num>
  <w:num w:numId="20" w16cid:durableId="1352104664">
    <w:abstractNumId w:val="12"/>
  </w:num>
  <w:num w:numId="21" w16cid:durableId="411316184">
    <w:abstractNumId w:val="8"/>
  </w:num>
  <w:num w:numId="22" w16cid:durableId="1046023831">
    <w:abstractNumId w:val="13"/>
  </w:num>
  <w:num w:numId="23" w16cid:durableId="14340887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186"/>
    <w:rsid w:val="0000457C"/>
    <w:rsid w:val="00094B81"/>
    <w:rsid w:val="0012473C"/>
    <w:rsid w:val="00142024"/>
    <w:rsid w:val="00175CD8"/>
    <w:rsid w:val="001B62FE"/>
    <w:rsid w:val="00286534"/>
    <w:rsid w:val="003008D8"/>
    <w:rsid w:val="00322A17"/>
    <w:rsid w:val="0035444D"/>
    <w:rsid w:val="00357877"/>
    <w:rsid w:val="004246B8"/>
    <w:rsid w:val="00471D06"/>
    <w:rsid w:val="005645BA"/>
    <w:rsid w:val="0058575E"/>
    <w:rsid w:val="00600CEC"/>
    <w:rsid w:val="0062593A"/>
    <w:rsid w:val="006A1F0B"/>
    <w:rsid w:val="006F5565"/>
    <w:rsid w:val="00746990"/>
    <w:rsid w:val="007F0A77"/>
    <w:rsid w:val="007F537B"/>
    <w:rsid w:val="008329DB"/>
    <w:rsid w:val="00930D58"/>
    <w:rsid w:val="009A6909"/>
    <w:rsid w:val="009D6897"/>
    <w:rsid w:val="00AB7CBF"/>
    <w:rsid w:val="00B4060B"/>
    <w:rsid w:val="00B46BC0"/>
    <w:rsid w:val="00B74324"/>
    <w:rsid w:val="00BD6E08"/>
    <w:rsid w:val="00C366AF"/>
    <w:rsid w:val="00CB0550"/>
    <w:rsid w:val="00CF1E78"/>
    <w:rsid w:val="00D078BE"/>
    <w:rsid w:val="00D13F8A"/>
    <w:rsid w:val="00D36A02"/>
    <w:rsid w:val="00D71394"/>
    <w:rsid w:val="00D918D5"/>
    <w:rsid w:val="00E008A8"/>
    <w:rsid w:val="00E42B9A"/>
    <w:rsid w:val="00E53D3F"/>
    <w:rsid w:val="00E65F64"/>
    <w:rsid w:val="00F02AEC"/>
    <w:rsid w:val="00F12186"/>
    <w:rsid w:val="00F13AFD"/>
    <w:rsid w:val="00F61FED"/>
    <w:rsid w:val="00FA49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70060"/>
  <w15:chartTrackingRefBased/>
  <w15:docId w15:val="{B23E9120-2CE2-4862-A441-034C228BC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990"/>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F02AEC"/>
    <w:pPr>
      <w:tabs>
        <w:tab w:val="center" w:pos="4513"/>
        <w:tab w:val="right" w:pos="9026"/>
      </w:tabs>
      <w:spacing w:after="0" w:line="240" w:lineRule="auto"/>
    </w:pPr>
    <w:rPr>
      <w:rFonts w:ascii="Arial" w:eastAsia="Cambria" w:hAnsi="Arial" w:cs="Times New Roman"/>
      <w:color w:val="333F4A"/>
      <w:sz w:val="17"/>
    </w:rPr>
  </w:style>
  <w:style w:type="character" w:customStyle="1" w:styleId="FooterChar">
    <w:name w:val="Footer Char"/>
    <w:basedOn w:val="DefaultParagraphFont"/>
    <w:link w:val="Footer"/>
    <w:uiPriority w:val="99"/>
    <w:rsid w:val="00F02AEC"/>
    <w:rPr>
      <w:rFonts w:ascii="Arial" w:eastAsia="Cambria" w:hAnsi="Arial" w:cs="Times New Roman"/>
      <w:color w:val="333F4A"/>
      <w:sz w:val="17"/>
      <w:szCs w:val="20"/>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F02AEC"/>
    <w:rPr>
      <w:rFonts w:ascii="Arial" w:hAnsi="Arial"/>
      <w:color w:val="0000FF"/>
      <w:u w:val="single"/>
    </w:rPr>
  </w:style>
  <w:style w:type="paragraph" w:customStyle="1" w:styleId="LegalCopy">
    <w:name w:val="Legal Copy"/>
    <w:basedOn w:val="Footer"/>
    <w:rsid w:val="00F02AEC"/>
  </w:style>
  <w:style w:type="paragraph" w:customStyle="1" w:styleId="LegalSubheading">
    <w:name w:val="Legal Subheading"/>
    <w:basedOn w:val="Footer"/>
    <w:rsid w:val="00F02AEC"/>
    <w:pPr>
      <w:outlineLvl w:val="1"/>
    </w:pPr>
    <w:rPr>
      <w:b/>
    </w:rPr>
  </w:style>
  <w:style w:type="paragraph" w:styleId="ListBullet">
    <w:name w:val="List Bullet"/>
    <w:basedOn w:val="Normal"/>
    <w:uiPriority w:val="2"/>
    <w:qFormat/>
    <w:rsid w:val="00F02AEC"/>
    <w:pPr>
      <w:numPr>
        <w:numId w:val="1"/>
      </w:numPr>
      <w:spacing w:before="120" w:after="180" w:line="240" w:lineRule="atLeast"/>
      <w:ind w:left="360"/>
    </w:pPr>
    <w:rPr>
      <w:rFonts w:ascii="Arial" w:eastAsia="Cambria" w:hAnsi="Arial" w:cs="Times New Roman"/>
      <w:color w:val="333F48"/>
    </w:rPr>
  </w:style>
  <w:style w:type="paragraph" w:styleId="ListBullet2">
    <w:name w:val="List Bullet 2"/>
    <w:basedOn w:val="Normal"/>
    <w:uiPriority w:val="2"/>
    <w:qFormat/>
    <w:rsid w:val="00F02AEC"/>
    <w:pPr>
      <w:numPr>
        <w:ilvl w:val="1"/>
        <w:numId w:val="1"/>
      </w:numPr>
      <w:spacing w:before="120" w:after="180" w:line="240" w:lineRule="atLeast"/>
      <w:ind w:left="850" w:hanging="425"/>
    </w:pPr>
    <w:rPr>
      <w:rFonts w:ascii="Arial" w:eastAsia="Cambria" w:hAnsi="Arial" w:cs="Times New Roman"/>
      <w:color w:val="333F48"/>
    </w:rPr>
  </w:style>
  <w:style w:type="paragraph" w:styleId="ListBullet3">
    <w:name w:val="List Bullet 3"/>
    <w:basedOn w:val="Normal"/>
    <w:uiPriority w:val="2"/>
    <w:qFormat/>
    <w:rsid w:val="00F02AEC"/>
    <w:pPr>
      <w:numPr>
        <w:numId w:val="3"/>
      </w:numPr>
      <w:spacing w:before="120" w:after="180" w:line="240" w:lineRule="atLeast"/>
      <w:ind w:left="1276" w:hanging="425"/>
    </w:pPr>
    <w:rPr>
      <w:rFonts w:ascii="Arial" w:eastAsia="Cambria" w:hAnsi="Arial"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B46BC0"/>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3"/>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aliases w:val="Table (Alt. row colours)"/>
    <w:basedOn w:val="TableNormal"/>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rsid w:val="00F02AEC"/>
    <w:pPr>
      <w:keepLines/>
      <w:spacing w:after="0" w:line="240" w:lineRule="atLeast"/>
    </w:pPr>
    <w:rPr>
      <w:rFonts w:ascii="Arial" w:eastAsia="Cambria" w:hAnsi="Arial" w:cs="Times New Roman"/>
      <w:color w:val="333F48"/>
    </w:rPr>
  </w:style>
  <w:style w:type="character" w:customStyle="1" w:styleId="FootnoteTextChar">
    <w:name w:val="Footnote Text Char"/>
    <w:basedOn w:val="DefaultParagraphFont"/>
    <w:link w:val="FootnoteText"/>
    <w:rsid w:val="00F02AEC"/>
    <w:rPr>
      <w:rFonts w:ascii="Arial" w:eastAsia="Cambria" w:hAnsi="Arial" w:cs="Times New Roman"/>
      <w:color w:val="333F48"/>
      <w:sz w:val="20"/>
      <w:szCs w:val="20"/>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F02AEC"/>
    <w:pPr>
      <w:spacing w:before="120" w:after="240" w:line="180" w:lineRule="atLeast"/>
    </w:pPr>
    <w:rPr>
      <w:rFonts w:ascii="Arial" w:eastAsia="Cambria" w:hAnsi="Arial"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character" w:styleId="FollowedHyperlink">
    <w:name w:val="FollowedHyperlink"/>
    <w:basedOn w:val="DefaultParagraphFont"/>
    <w:uiPriority w:val="99"/>
    <w:semiHidden/>
    <w:unhideWhenUsed/>
    <w:rsid w:val="00D71394"/>
    <w:rPr>
      <w:color w:val="954F72" w:themeColor="followedHyperlink"/>
      <w:u w:val="single"/>
    </w:rPr>
  </w:style>
  <w:style w:type="character" w:styleId="CommentReference">
    <w:name w:val="annotation reference"/>
    <w:basedOn w:val="DefaultParagraphFont"/>
    <w:uiPriority w:val="99"/>
    <w:semiHidden/>
    <w:unhideWhenUsed/>
    <w:rsid w:val="00D71394"/>
    <w:rPr>
      <w:sz w:val="16"/>
      <w:szCs w:val="16"/>
    </w:rPr>
  </w:style>
  <w:style w:type="paragraph" w:styleId="CommentText">
    <w:name w:val="annotation text"/>
    <w:basedOn w:val="Normal"/>
    <w:link w:val="CommentTextChar"/>
    <w:uiPriority w:val="99"/>
    <w:semiHidden/>
    <w:unhideWhenUsed/>
    <w:rsid w:val="00D71394"/>
    <w:pPr>
      <w:spacing w:line="240" w:lineRule="auto"/>
    </w:pPr>
  </w:style>
  <w:style w:type="character" w:customStyle="1" w:styleId="CommentTextChar">
    <w:name w:val="Comment Text Char"/>
    <w:basedOn w:val="DefaultParagraphFont"/>
    <w:link w:val="CommentText"/>
    <w:uiPriority w:val="99"/>
    <w:semiHidden/>
    <w:rsid w:val="00D71394"/>
  </w:style>
  <w:style w:type="paragraph" w:styleId="CommentSubject">
    <w:name w:val="annotation subject"/>
    <w:basedOn w:val="CommentText"/>
    <w:next w:val="CommentText"/>
    <w:link w:val="CommentSubjectChar"/>
    <w:uiPriority w:val="99"/>
    <w:semiHidden/>
    <w:unhideWhenUsed/>
    <w:rsid w:val="00D71394"/>
    <w:rPr>
      <w:b/>
      <w:bCs/>
    </w:rPr>
  </w:style>
  <w:style w:type="character" w:customStyle="1" w:styleId="CommentSubjectChar">
    <w:name w:val="Comment Subject Char"/>
    <w:basedOn w:val="CommentTextChar"/>
    <w:link w:val="CommentSubject"/>
    <w:uiPriority w:val="99"/>
    <w:semiHidden/>
    <w:rsid w:val="00D71394"/>
    <w:rPr>
      <w:b/>
      <w:bCs/>
    </w:rPr>
  </w:style>
  <w:style w:type="character" w:styleId="UnresolvedMention">
    <w:name w:val="Unresolved Mention"/>
    <w:basedOn w:val="DefaultParagraphFont"/>
    <w:uiPriority w:val="99"/>
    <w:semiHidden/>
    <w:unhideWhenUsed/>
    <w:rsid w:val="00D71394"/>
    <w:rPr>
      <w:color w:val="605E5C"/>
      <w:shd w:val="clear" w:color="auto" w:fill="E1DFDD"/>
    </w:rPr>
  </w:style>
  <w:style w:type="table" w:customStyle="1" w:styleId="TableTGAblue">
    <w:name w:val="Table TGA blue"/>
    <w:basedOn w:val="TableNormal"/>
    <w:uiPriority w:val="99"/>
    <w:qFormat/>
    <w:rsid w:val="007F537B"/>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Paragraph">
    <w:name w:val="Paragraph"/>
    <w:basedOn w:val="Normal"/>
    <w:link w:val="ParagraphChar"/>
    <w:rsid w:val="007F537B"/>
    <w:pPr>
      <w:spacing w:before="120" w:line="240" w:lineRule="auto"/>
    </w:pPr>
    <w:rPr>
      <w:rFonts w:ascii="Cambria" w:eastAsia="Times New Roman" w:hAnsi="Cambria" w:cs="Times New Roman"/>
      <w:lang w:eastAsia="en-AU"/>
    </w:rPr>
  </w:style>
  <w:style w:type="character" w:customStyle="1" w:styleId="ParagraphChar">
    <w:name w:val="Paragraph Char"/>
    <w:basedOn w:val="DefaultParagraphFont"/>
    <w:link w:val="Paragraph"/>
    <w:rsid w:val="007F537B"/>
    <w:rPr>
      <w:rFonts w:ascii="Cambria" w:eastAsia="Times New Roman" w:hAnsi="Cambria" w:cs="Times New Roman"/>
      <w:lang w:eastAsia="en-AU"/>
    </w:rPr>
  </w:style>
  <w:style w:type="paragraph" w:styleId="Revision">
    <w:name w:val="Revision"/>
    <w:hidden/>
    <w:uiPriority w:val="99"/>
    <w:semiHidden/>
    <w:rsid w:val="00E65F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102001">
      <w:bodyDiv w:val="1"/>
      <w:marLeft w:val="0"/>
      <w:marRight w:val="0"/>
      <w:marTop w:val="0"/>
      <w:marBottom w:val="0"/>
      <w:divBdr>
        <w:top w:val="none" w:sz="0" w:space="0" w:color="auto"/>
        <w:left w:val="none" w:sz="0" w:space="0" w:color="auto"/>
        <w:bottom w:val="none" w:sz="0" w:space="0" w:color="auto"/>
        <w:right w:val="none" w:sz="0" w:space="0" w:color="auto"/>
      </w:divBdr>
    </w:div>
    <w:div w:id="119638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legislation.gov.au/Series/F2002B00237" TargetMode="External"/><Relationship Id="rId18" Type="http://schemas.openxmlformats.org/officeDocument/2006/relationships/hyperlink" Target="https://www.acma.gov.au/"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arpansa.gov.au"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yperlink" Target="https://www.eess.gov.au/safety-requirements/essential-safety-criteria/" TargetMode="External"/><Relationship Id="rId25" Type="http://schemas.openxmlformats.org/officeDocument/2006/relationships/hyperlink" Target="https://www.tga.gov.au/resource/how-tga-regulates-software-based-medical-device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rac.gov.au/standards/" TargetMode="External"/><Relationship Id="rId20" Type="http://schemas.openxmlformats.org/officeDocument/2006/relationships/hyperlink" Target="http://www.acma.gov.au" TargetMode="External"/><Relationship Id="rId29" Type="http://schemas.openxmlformats.org/officeDocument/2006/relationships/hyperlink" Target="https://www.tga.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ga.copyright@tga.gov.au" TargetMode="External"/><Relationship Id="rId24" Type="http://schemas.openxmlformats.org/officeDocument/2006/relationships/hyperlink" Target="https://www.tga.gov.au/resource/classification-active-medical-devices-including-software-based-medical-device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tga.gov.au/resource/classification-active-medical-devices-including-software-based-medical-devices" TargetMode="External"/><Relationship Id="rId23" Type="http://schemas.openxmlformats.org/officeDocument/2006/relationships/hyperlink" Target="https://www.tga.gov.au/how-we-regulate/manufacturing/medical-devices/manufacturer-guidance-specific-types-medical-devices/regulation-software-based-medical-devices/medical-device-cyber-security-guidance-industry" TargetMode="External"/><Relationship Id="rId28" Type="http://schemas.openxmlformats.org/officeDocument/2006/relationships/hyperlink" Target="mailto:info@tga.gov.au" TargetMode="External"/><Relationship Id="rId10" Type="http://schemas.openxmlformats.org/officeDocument/2006/relationships/footer" Target="footer2.xml"/><Relationship Id="rId19" Type="http://schemas.openxmlformats.org/officeDocument/2006/relationships/hyperlink" Target="https://www.acma.gov.au/"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legislation.gov.au/Series/F2002B00237" TargetMode="External"/><Relationship Id="rId22" Type="http://schemas.openxmlformats.org/officeDocument/2006/relationships/hyperlink" Target="http://www.arpansa.gov.au" TargetMode="External"/><Relationship Id="rId27" Type="http://schemas.openxmlformats.org/officeDocument/2006/relationships/footer" Target="footer3.xml"/><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20</TotalTime>
  <Pages>15</Pages>
  <Words>3870</Words>
  <Characters>23375</Characters>
  <Application>Microsoft Office Word</Application>
  <DocSecurity>0</DocSecurity>
  <Lines>667</Lines>
  <Paragraphs>340</Paragraphs>
  <ScaleCrop>false</ScaleCrop>
  <HeadingPairs>
    <vt:vector size="2" baseType="variant">
      <vt:variant>
        <vt:lpstr>Title</vt:lpstr>
      </vt:variant>
      <vt:variant>
        <vt:i4>1</vt:i4>
      </vt:variant>
    </vt:vector>
  </HeadingPairs>
  <TitlesOfParts>
    <vt:vector size="1" baseType="lpstr">
      <vt:lpstr>Active medical devices</vt:lpstr>
    </vt:vector>
  </TitlesOfParts>
  <Company>Department of Health and Aged Care</Company>
  <LinksUpToDate>false</LinksUpToDate>
  <CharactersWithSpaces>26905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medical devices</dc:title>
  <dc:subject>Introduction and overview of requirements</dc:subject>
  <dc:creator>Therapeautic Goods Administration</dc:creator>
  <cp:keywords/>
  <dc:description/>
  <cp:lastModifiedBy>LACK, Janet</cp:lastModifiedBy>
  <cp:revision>4</cp:revision>
  <dcterms:created xsi:type="dcterms:W3CDTF">2023-08-08T23:31:00Z</dcterms:created>
  <dcterms:modified xsi:type="dcterms:W3CDTF">2023-08-09T00:14:00Z</dcterms:modified>
</cp:coreProperties>
</file>