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89726" w14:textId="40C1A862" w:rsidR="001A3992" w:rsidRPr="006B4730" w:rsidRDefault="001A3992" w:rsidP="006E7460">
      <w:pPr>
        <w:pStyle w:val="Heading1"/>
        <w:jc w:val="left"/>
      </w:pPr>
      <w:bookmarkStart w:id="0" w:name="_Ref79419957"/>
      <w:r w:rsidRPr="006B4730">
        <w:t>Name of the medicine</w:t>
      </w:r>
      <w:bookmarkEnd w:id="0"/>
    </w:p>
    <w:p w14:paraId="5300533B" w14:textId="77FCBDF7" w:rsidR="00BD29AF" w:rsidRPr="006B4730" w:rsidRDefault="00152F05" w:rsidP="006E7460">
      <w:pPr>
        <w:jc w:val="left"/>
      </w:pPr>
      <w:r w:rsidRPr="006B4730">
        <w:t>finerenone</w:t>
      </w:r>
    </w:p>
    <w:p w14:paraId="4E85F0C6" w14:textId="3E15933F" w:rsidR="001A3992" w:rsidRPr="006B4730" w:rsidRDefault="001A3992" w:rsidP="006E7460">
      <w:pPr>
        <w:pStyle w:val="Heading1"/>
        <w:jc w:val="left"/>
      </w:pPr>
      <w:r w:rsidRPr="006B4730">
        <w:t>Qualitative and quantitative composition</w:t>
      </w:r>
    </w:p>
    <w:p w14:paraId="549D1489" w14:textId="77777777" w:rsidR="001C0A94" w:rsidRPr="006B4730" w:rsidRDefault="001C0A94" w:rsidP="006E7460">
      <w:pPr>
        <w:jc w:val="left"/>
        <w:rPr>
          <w:lang w:eastAsia="en-AU" w:bidi="en-AU"/>
        </w:rPr>
      </w:pPr>
      <w:r w:rsidRPr="006B4730">
        <w:rPr>
          <w:lang w:eastAsia="en-AU" w:bidi="en-AU"/>
        </w:rPr>
        <w:t>KERENDIA 10mg</w:t>
      </w:r>
      <w:r w:rsidR="00516135" w:rsidRPr="006B4730">
        <w:rPr>
          <w:lang w:eastAsia="en-AU" w:bidi="en-AU"/>
        </w:rPr>
        <w:t xml:space="preserve"> </w:t>
      </w:r>
      <w:r w:rsidR="00152F05" w:rsidRPr="006B4730">
        <w:rPr>
          <w:lang w:eastAsia="en-AU" w:bidi="en-AU"/>
        </w:rPr>
        <w:t xml:space="preserve">film-coated </w:t>
      </w:r>
      <w:r w:rsidR="00516135" w:rsidRPr="006B4730">
        <w:rPr>
          <w:lang w:eastAsia="en-AU" w:bidi="en-AU"/>
        </w:rPr>
        <w:t xml:space="preserve">tablet contains </w:t>
      </w:r>
      <w:r w:rsidR="00152F05" w:rsidRPr="006B4730">
        <w:rPr>
          <w:lang w:eastAsia="en-AU" w:bidi="en-AU"/>
        </w:rPr>
        <w:t>10</w:t>
      </w:r>
      <w:r w:rsidR="00516135" w:rsidRPr="006B4730">
        <w:rPr>
          <w:lang w:eastAsia="en-AU" w:bidi="en-AU"/>
        </w:rPr>
        <w:t xml:space="preserve"> mg </w:t>
      </w:r>
      <w:r w:rsidRPr="006B4730">
        <w:rPr>
          <w:lang w:eastAsia="en-AU" w:bidi="en-AU"/>
        </w:rPr>
        <w:t>finerenone</w:t>
      </w:r>
    </w:p>
    <w:p w14:paraId="63C24C14" w14:textId="287377DF" w:rsidR="006D690D" w:rsidRPr="006B4730" w:rsidRDefault="001C0A94" w:rsidP="006E7460">
      <w:pPr>
        <w:jc w:val="left"/>
      </w:pPr>
      <w:r w:rsidRPr="006B4730">
        <w:rPr>
          <w:lang w:eastAsia="en-AU" w:bidi="en-AU"/>
        </w:rPr>
        <w:t>KERENDIA 20mg film-coated tablet contains 20</w:t>
      </w:r>
      <w:r w:rsidR="007A1D88" w:rsidRPr="006B4730">
        <w:rPr>
          <w:lang w:eastAsia="en-AU" w:bidi="en-AU"/>
        </w:rPr>
        <w:t xml:space="preserve"> </w:t>
      </w:r>
      <w:r w:rsidRPr="006B4730">
        <w:rPr>
          <w:lang w:eastAsia="en-AU" w:bidi="en-AU"/>
        </w:rPr>
        <w:t>mg finerenone</w:t>
      </w:r>
    </w:p>
    <w:p w14:paraId="48D12382" w14:textId="77777777" w:rsidR="006D690D" w:rsidRPr="006B4730" w:rsidRDefault="006D690D" w:rsidP="006E7460">
      <w:pPr>
        <w:jc w:val="left"/>
      </w:pPr>
    </w:p>
    <w:p w14:paraId="1A4C0C38" w14:textId="62220977" w:rsidR="00AF7DC8" w:rsidRPr="006B4730" w:rsidRDefault="00152F05" w:rsidP="006E7460">
      <w:pPr>
        <w:jc w:val="left"/>
      </w:pPr>
      <w:r w:rsidRPr="006B4730">
        <w:t>KERENDIA</w:t>
      </w:r>
      <w:r w:rsidR="008C1A92" w:rsidRPr="006B4730">
        <w:t xml:space="preserve"> </w:t>
      </w:r>
      <w:r w:rsidR="00680C7C" w:rsidRPr="006B4730">
        <w:t xml:space="preserve">contains </w:t>
      </w:r>
      <w:r w:rsidRPr="006B4730">
        <w:t>lactose monohydrate</w:t>
      </w:r>
    </w:p>
    <w:p w14:paraId="727D7996" w14:textId="77777777" w:rsidR="006D690D" w:rsidRPr="006B4730" w:rsidRDefault="006D690D" w:rsidP="006E7460">
      <w:pPr>
        <w:jc w:val="left"/>
      </w:pPr>
    </w:p>
    <w:p w14:paraId="07B2606B" w14:textId="134F75DF" w:rsidR="006D690D" w:rsidRPr="006B4730" w:rsidRDefault="00497C85" w:rsidP="006E7460">
      <w:pPr>
        <w:jc w:val="left"/>
      </w:pPr>
      <w:r w:rsidRPr="006B4730">
        <w:t xml:space="preserve">For the full list of excipients, see Section </w:t>
      </w:r>
      <w:r w:rsidR="00DE6560">
        <w:fldChar w:fldCharType="begin"/>
      </w:r>
      <w:r w:rsidR="00DE6560">
        <w:instrText xml:space="preserve"> REF _Ref88589995 \h </w:instrText>
      </w:r>
      <w:r w:rsidR="006E7460">
        <w:instrText xml:space="preserve"> \* MERGEFORMAT </w:instrText>
      </w:r>
      <w:r w:rsidR="00DE6560">
        <w:fldChar w:fldCharType="separate"/>
      </w:r>
      <w:r w:rsidR="00DE6560" w:rsidRPr="006B4730">
        <w:t>6.1 LIST OF EXCIPIENTS</w:t>
      </w:r>
      <w:r w:rsidR="00DE6560">
        <w:fldChar w:fldCharType="end"/>
      </w:r>
      <w:r w:rsidR="00AF7DC8" w:rsidRPr="006B4730">
        <w:t>.</w:t>
      </w:r>
    </w:p>
    <w:p w14:paraId="2C86CD3E" w14:textId="17C3E021" w:rsidR="001A3992" w:rsidRPr="006B4730" w:rsidRDefault="001A3992" w:rsidP="006E7460">
      <w:pPr>
        <w:pStyle w:val="Heading1"/>
        <w:jc w:val="left"/>
      </w:pPr>
      <w:r w:rsidRPr="006B4730">
        <w:t>Pharmaceutical form</w:t>
      </w:r>
    </w:p>
    <w:p w14:paraId="14D85E5A" w14:textId="77777777" w:rsidR="00152F05" w:rsidRPr="006B4730" w:rsidRDefault="00152F05" w:rsidP="006E7460">
      <w:pPr>
        <w:pStyle w:val="Bodydot"/>
        <w:ind w:left="426"/>
      </w:pPr>
      <w:r w:rsidRPr="006B4730">
        <w:t>KERENDIA 10 mg film-coated tablet</w:t>
      </w:r>
    </w:p>
    <w:p w14:paraId="462C73C3" w14:textId="4CE8BC81" w:rsidR="007D561C" w:rsidRPr="006B4730" w:rsidRDefault="00152F05" w:rsidP="006E7460">
      <w:pPr>
        <w:jc w:val="left"/>
      </w:pPr>
      <w:r w:rsidRPr="006B4730">
        <w:t>Pink, oval-oblong tablet with a length of 10 mm and a width of 5 mm,</w:t>
      </w:r>
      <w:r w:rsidR="007A6A4F" w:rsidRPr="006B4730">
        <w:t xml:space="preserve"> marked ´10´ on one side and ´FI´ on the other side</w:t>
      </w:r>
    </w:p>
    <w:p w14:paraId="1794778F" w14:textId="77777777" w:rsidR="007B653E" w:rsidRPr="006B4730" w:rsidRDefault="007B653E" w:rsidP="006E7460">
      <w:pPr>
        <w:jc w:val="left"/>
      </w:pPr>
    </w:p>
    <w:p w14:paraId="71404D92" w14:textId="77777777" w:rsidR="00152F05" w:rsidRPr="006B4730" w:rsidRDefault="00152F05" w:rsidP="006E7460">
      <w:pPr>
        <w:pStyle w:val="Bodydot"/>
        <w:ind w:left="426" w:hanging="284"/>
      </w:pPr>
      <w:r w:rsidRPr="006B4730">
        <w:t>KERENDIA 20 mg film-coated tablet</w:t>
      </w:r>
    </w:p>
    <w:p w14:paraId="71577224" w14:textId="7056CC4E" w:rsidR="007D561C" w:rsidRPr="006B4730" w:rsidRDefault="00152F05" w:rsidP="006E7460">
      <w:pPr>
        <w:jc w:val="left"/>
      </w:pPr>
      <w:r w:rsidRPr="006B4730">
        <w:t xml:space="preserve">Yellow, oval-oblong tablet with a length of 10 mm and a width of 5 mm, </w:t>
      </w:r>
      <w:r w:rsidR="007A6A4F" w:rsidRPr="006B4730">
        <w:t>marked ´20´ on one side and ´FI´ on the other side</w:t>
      </w:r>
    </w:p>
    <w:p w14:paraId="61B70B9E" w14:textId="74F3EF1B" w:rsidR="001A3992" w:rsidRPr="006B4730" w:rsidRDefault="001A3992" w:rsidP="006E7460">
      <w:pPr>
        <w:pStyle w:val="Heading1"/>
        <w:jc w:val="left"/>
      </w:pPr>
      <w:r w:rsidRPr="006B4730">
        <w:t>Clinical particulars</w:t>
      </w:r>
    </w:p>
    <w:p w14:paraId="29025A2E" w14:textId="0D1E7BBB" w:rsidR="00760049" w:rsidRPr="006B4730" w:rsidRDefault="00AF6712" w:rsidP="006E7460">
      <w:pPr>
        <w:pStyle w:val="Heading2"/>
        <w:jc w:val="left"/>
      </w:pPr>
      <w:r w:rsidRPr="006B4730">
        <w:t>Therapeutic indications</w:t>
      </w:r>
    </w:p>
    <w:p w14:paraId="73BDC94B" w14:textId="6A69A5C8" w:rsidR="00A013F0" w:rsidRDefault="00A013F0" w:rsidP="006E7460">
      <w:pPr>
        <w:jc w:val="left"/>
      </w:pPr>
      <w:r w:rsidRPr="006B4730">
        <w:t>K</w:t>
      </w:r>
      <w:r w:rsidR="006B6A91" w:rsidRPr="006B4730">
        <w:t>ERENDIA</w:t>
      </w:r>
      <w:r w:rsidRPr="006B4730">
        <w:t xml:space="preserve"> is indicated to delay </w:t>
      </w:r>
      <w:r w:rsidR="00643064" w:rsidRPr="00643064">
        <w:t>progressive decline</w:t>
      </w:r>
      <w:r w:rsidR="00643064" w:rsidRPr="00643064" w:rsidDel="00643064">
        <w:t xml:space="preserve"> </w:t>
      </w:r>
      <w:r w:rsidRPr="006B4730">
        <w:t xml:space="preserve">of kidney </w:t>
      </w:r>
      <w:r w:rsidR="00643064">
        <w:t>function</w:t>
      </w:r>
      <w:r w:rsidR="00643064" w:rsidRPr="006B4730">
        <w:t xml:space="preserve"> </w:t>
      </w:r>
      <w:r w:rsidRPr="006B4730">
        <w:t xml:space="preserve">in adults with chronic kidney disease </w:t>
      </w:r>
      <w:r w:rsidR="00643064">
        <w:t xml:space="preserve">associated with </w:t>
      </w:r>
      <w:r w:rsidR="00801ED2">
        <w:t>T</w:t>
      </w:r>
      <w:r w:rsidR="00643064" w:rsidRPr="006B4730">
        <w:t>ype 2 diabetes</w:t>
      </w:r>
      <w:r w:rsidR="00643064">
        <w:t xml:space="preserve"> </w:t>
      </w:r>
      <w:r w:rsidR="000459E0">
        <w:t>(with</w:t>
      </w:r>
      <w:r w:rsidRPr="006B4730">
        <w:t xml:space="preserve"> </w:t>
      </w:r>
      <w:r w:rsidR="00E27B1A" w:rsidRPr="006B4730">
        <w:t>albuminuria</w:t>
      </w:r>
      <w:r w:rsidR="000459E0">
        <w:t>)</w:t>
      </w:r>
      <w:r w:rsidR="00643064">
        <w:t xml:space="preserve">, </w:t>
      </w:r>
      <w:r w:rsidR="00E27B1A" w:rsidRPr="006B4730">
        <w:t>in addition to standard of care</w:t>
      </w:r>
      <w:r w:rsidR="00943544">
        <w:t xml:space="preserve"> (see </w:t>
      </w:r>
      <w:r w:rsidR="00E07980">
        <w:t>S</w:t>
      </w:r>
      <w:r w:rsidR="00943544">
        <w:t>ection</w:t>
      </w:r>
      <w:r w:rsidR="00E07980">
        <w:t xml:space="preserve"> </w:t>
      </w:r>
      <w:r w:rsidR="00D066F2">
        <w:fldChar w:fldCharType="begin"/>
      </w:r>
      <w:r w:rsidR="00D066F2">
        <w:instrText xml:space="preserve"> REF  _Ref88420151 \h </w:instrText>
      </w:r>
      <w:r w:rsidR="00CA53EB">
        <w:instrText xml:space="preserve"> \* MERGEFORMAT </w:instrText>
      </w:r>
      <w:r w:rsidR="00D066F2">
        <w:fldChar w:fldCharType="separate"/>
      </w:r>
      <w:r w:rsidR="00D066F2" w:rsidRPr="006B4730">
        <w:t>5.1 PHARMACODYNAMIC PROPERTIES</w:t>
      </w:r>
      <w:r w:rsidR="00D066F2">
        <w:fldChar w:fldCharType="end"/>
      </w:r>
      <w:r w:rsidR="00943544" w:rsidRPr="00943544">
        <w:t xml:space="preserve">, </w:t>
      </w:r>
      <w:r w:rsidR="00D84A4A">
        <w:fldChar w:fldCharType="begin"/>
      </w:r>
      <w:r w:rsidR="00D84A4A">
        <w:instrText xml:space="preserve"> REF _Ref87605380 \h </w:instrText>
      </w:r>
      <w:r w:rsidR="006E7460">
        <w:instrText xml:space="preserve"> \* MERGEFORMAT </w:instrText>
      </w:r>
      <w:r w:rsidR="00D84A4A">
        <w:fldChar w:fldCharType="separate"/>
      </w:r>
      <w:r w:rsidR="00D84A4A" w:rsidRPr="006B4730">
        <w:t>Clinical Trials</w:t>
      </w:r>
      <w:r w:rsidR="00D84A4A">
        <w:fldChar w:fldCharType="end"/>
      </w:r>
      <w:r w:rsidR="00943544" w:rsidRPr="00943544">
        <w:t>)</w:t>
      </w:r>
      <w:r w:rsidR="00BA49BD" w:rsidRPr="006B4730">
        <w:t>.</w:t>
      </w:r>
    </w:p>
    <w:p w14:paraId="478763DE" w14:textId="2DEA8AFE" w:rsidR="00B1775A" w:rsidRPr="006B4730" w:rsidRDefault="008E41E1" w:rsidP="006E7460">
      <w:pPr>
        <w:pStyle w:val="Heading1"/>
        <w:numPr>
          <w:ilvl w:val="0"/>
          <w:numId w:val="0"/>
        </w:numPr>
        <w:ind w:left="432" w:hanging="432"/>
        <w:jc w:val="left"/>
      </w:pPr>
      <w:bookmarkStart w:id="1" w:name="_Ref79419993"/>
      <w:r w:rsidRPr="006B4730">
        <w:t xml:space="preserve">4.2 </w:t>
      </w:r>
      <w:r w:rsidR="001A3992" w:rsidRPr="006B4730">
        <w:t>Do</w:t>
      </w:r>
      <w:r w:rsidR="00AF6712" w:rsidRPr="006B4730">
        <w:t>se and method of administration</w:t>
      </w:r>
      <w:bookmarkEnd w:id="1"/>
    </w:p>
    <w:p w14:paraId="300F13B1" w14:textId="5EEDE8B9" w:rsidR="005F2A08" w:rsidRPr="006B4730" w:rsidRDefault="0060327C" w:rsidP="006E7460">
      <w:pPr>
        <w:pStyle w:val="Heading3"/>
        <w:jc w:val="left"/>
      </w:pPr>
      <w:r w:rsidRPr="006B4730">
        <w:t>Dosage (dose and interval)</w:t>
      </w:r>
    </w:p>
    <w:p w14:paraId="480DE0FE" w14:textId="68148F35" w:rsidR="00192EC2" w:rsidRPr="006B4730" w:rsidRDefault="00192EC2" w:rsidP="006E7460">
      <w:pPr>
        <w:jc w:val="left"/>
      </w:pPr>
      <w:r w:rsidRPr="006B4730">
        <w:t xml:space="preserve">The recommended target dose of </w:t>
      </w:r>
      <w:r w:rsidR="00802D39" w:rsidRPr="006B4730">
        <w:t>KERENDIA</w:t>
      </w:r>
      <w:r w:rsidR="00836671" w:rsidRPr="006B4730">
        <w:t xml:space="preserve"> </w:t>
      </w:r>
      <w:r w:rsidRPr="006B4730">
        <w:t xml:space="preserve">is 20 mg once daily. </w:t>
      </w:r>
    </w:p>
    <w:p w14:paraId="577D49BD" w14:textId="77777777" w:rsidR="00192EC2" w:rsidRPr="006B4730" w:rsidRDefault="00192EC2" w:rsidP="006E7460">
      <w:pPr>
        <w:pStyle w:val="Heading3"/>
        <w:jc w:val="left"/>
      </w:pPr>
      <w:r w:rsidRPr="006B4730">
        <w:t>Initiation of treatment</w:t>
      </w:r>
    </w:p>
    <w:p w14:paraId="297B8A25" w14:textId="77777777" w:rsidR="00D77E98" w:rsidRPr="006B4730" w:rsidRDefault="00836671" w:rsidP="006E7460">
      <w:pPr>
        <w:jc w:val="left"/>
      </w:pPr>
      <w:r w:rsidRPr="006B4730">
        <w:t xml:space="preserve">Initiation of </w:t>
      </w:r>
      <w:r w:rsidR="00D77E98" w:rsidRPr="006B4730">
        <w:t>KERENDIA</w:t>
      </w:r>
      <w:r w:rsidRPr="006B4730">
        <w:t xml:space="preserve"> treatment is recommended when serum potassium ≤ 4.8 mmol/L. </w:t>
      </w:r>
    </w:p>
    <w:p w14:paraId="3BFB8999" w14:textId="2262203D" w:rsidR="00836671" w:rsidRPr="006B4730" w:rsidRDefault="00836671" w:rsidP="006E7460">
      <w:pPr>
        <w:jc w:val="left"/>
      </w:pPr>
      <w:r w:rsidRPr="006B4730">
        <w:t xml:space="preserve">For monitoring of serum potassium, see ‘Continuation of treatment.’ </w:t>
      </w:r>
    </w:p>
    <w:p w14:paraId="3BDA8AC6" w14:textId="7209DC38" w:rsidR="00836671" w:rsidRPr="006B4730" w:rsidRDefault="00836671" w:rsidP="006E7460">
      <w:pPr>
        <w:jc w:val="left"/>
      </w:pPr>
      <w:r w:rsidRPr="006B4730">
        <w:t xml:space="preserve">If serum potassium &gt; 4.8 to 5.0 mmol/L, initiation of </w:t>
      </w:r>
      <w:r w:rsidR="00D77E98" w:rsidRPr="006B4730">
        <w:t>KERENDIA</w:t>
      </w:r>
      <w:r w:rsidRPr="006B4730">
        <w:t xml:space="preserve"> treatment may be considered with additional serum potassium monitoring within the first 4 weeks based on patient characteristics </w:t>
      </w:r>
      <w:r w:rsidRPr="006B4730">
        <w:lastRenderedPageBreak/>
        <w:t xml:space="preserve">and serum potassium levels (see </w:t>
      </w:r>
      <w:r w:rsidR="00F37750">
        <w:t>S</w:t>
      </w:r>
      <w:r w:rsidRPr="006B4730">
        <w:t xml:space="preserve">ection </w:t>
      </w:r>
      <w:r w:rsidR="00CA53EB">
        <w:fldChar w:fldCharType="begin"/>
      </w:r>
      <w:r w:rsidR="00CA53EB">
        <w:instrText xml:space="preserve"> REF  _Ref79419895 \h </w:instrText>
      </w:r>
      <w:r w:rsidR="006E7460">
        <w:instrText xml:space="preserve"> \* MERGEFORMAT </w:instrText>
      </w:r>
      <w:r w:rsidR="00CA53EB">
        <w:fldChar w:fldCharType="separate"/>
      </w:r>
      <w:r w:rsidR="00CA53EB" w:rsidRPr="006B4730">
        <w:t>4.4 SPECIAL WARNINGS AND PRECAUTIONS FOR USE</w:t>
      </w:r>
      <w:r w:rsidR="00CA53EB">
        <w:fldChar w:fldCharType="end"/>
      </w:r>
      <w:r w:rsidRPr="006B4730">
        <w:t>).</w:t>
      </w:r>
    </w:p>
    <w:p w14:paraId="58F87744" w14:textId="77777777" w:rsidR="00836671" w:rsidRPr="006B4730" w:rsidRDefault="00836671" w:rsidP="006E7460">
      <w:pPr>
        <w:jc w:val="left"/>
      </w:pPr>
    </w:p>
    <w:p w14:paraId="4A0A9FC0" w14:textId="7F524621" w:rsidR="00836671" w:rsidRPr="006B4730" w:rsidRDefault="00836671" w:rsidP="006E7460">
      <w:pPr>
        <w:jc w:val="left"/>
      </w:pPr>
      <w:r w:rsidRPr="006B4730">
        <w:t xml:space="preserve">If serum potassium &gt; 5.0 mmol/L, initiation of </w:t>
      </w:r>
      <w:r w:rsidR="00802D39" w:rsidRPr="006B4730">
        <w:t xml:space="preserve">KERENDIA </w:t>
      </w:r>
      <w:r w:rsidRPr="006B4730">
        <w:t xml:space="preserve">treatment is not recommended (see </w:t>
      </w:r>
      <w:r w:rsidR="00F37750">
        <w:t>S</w:t>
      </w:r>
      <w:r w:rsidRPr="006B4730">
        <w:t xml:space="preserve">ection </w:t>
      </w:r>
      <w:r w:rsidR="006E7460">
        <w:fldChar w:fldCharType="begin"/>
      </w:r>
      <w:r w:rsidR="006E7460">
        <w:instrText xml:space="preserve"> REF _Ref79419895  \* MERGEFORMAT </w:instrText>
      </w:r>
      <w:r w:rsidR="006E7460">
        <w:fldChar w:fldCharType="separate"/>
      </w:r>
      <w:r w:rsidR="00FD246E" w:rsidRPr="006B4730">
        <w:t>4.4 SPECIAL WARNINGS AND PRECAUTIONS FOR USE</w:t>
      </w:r>
      <w:r w:rsidR="006E7460">
        <w:fldChar w:fldCharType="end"/>
      </w:r>
      <w:r w:rsidRPr="006B4730">
        <w:t>).</w:t>
      </w:r>
    </w:p>
    <w:p w14:paraId="60A741C3" w14:textId="77777777" w:rsidR="00D77E98" w:rsidRPr="006B4730" w:rsidRDefault="00D77E98" w:rsidP="006E7460">
      <w:pPr>
        <w:jc w:val="left"/>
      </w:pPr>
    </w:p>
    <w:p w14:paraId="149F7014" w14:textId="19D1CD22" w:rsidR="00836671" w:rsidRPr="006B4730" w:rsidRDefault="00836671" w:rsidP="006E7460">
      <w:pPr>
        <w:jc w:val="left"/>
      </w:pPr>
      <w:r w:rsidRPr="006B4730">
        <w:t>Measure estimated glomerular filtration rate (eGFR) to determine the starting dose. The starting dose of K</w:t>
      </w:r>
      <w:r w:rsidR="00A628B2" w:rsidRPr="006B4730">
        <w:t>ERENDIA</w:t>
      </w:r>
      <w:r w:rsidRPr="006B4730">
        <w:t xml:space="preserve"> is:</w:t>
      </w:r>
    </w:p>
    <w:p w14:paraId="439B7540" w14:textId="77777777" w:rsidR="00836671" w:rsidRPr="006B4730" w:rsidRDefault="00836671" w:rsidP="006E7460">
      <w:pPr>
        <w:jc w:val="left"/>
      </w:pPr>
      <w:r w:rsidRPr="006B4730">
        <w:t>•</w:t>
      </w:r>
      <w:r w:rsidRPr="006B4730">
        <w:tab/>
        <w:t>20 mg once daily if eGFR ≥ 60 mL/min/1.73m</w:t>
      </w:r>
      <w:r w:rsidRPr="006B4730">
        <w:rPr>
          <w:vertAlign w:val="superscript"/>
        </w:rPr>
        <w:t>2</w:t>
      </w:r>
      <w:r w:rsidRPr="006B4730">
        <w:t xml:space="preserve"> </w:t>
      </w:r>
    </w:p>
    <w:p w14:paraId="3DEDE4C1" w14:textId="77777777" w:rsidR="00836671" w:rsidRPr="006B4730" w:rsidRDefault="00836671" w:rsidP="006E7460">
      <w:pPr>
        <w:jc w:val="left"/>
      </w:pPr>
      <w:r w:rsidRPr="006B4730">
        <w:t>•</w:t>
      </w:r>
      <w:r w:rsidRPr="006B4730">
        <w:tab/>
        <w:t>10 mg once daily if eGFR ≥ 25 to &lt; 60 mL/min/1.73m</w:t>
      </w:r>
      <w:r w:rsidRPr="006B4730">
        <w:rPr>
          <w:vertAlign w:val="superscript"/>
        </w:rPr>
        <w:t xml:space="preserve">2 </w:t>
      </w:r>
    </w:p>
    <w:p w14:paraId="4081918B" w14:textId="77777777" w:rsidR="00836671" w:rsidRPr="006B4730" w:rsidRDefault="00836671" w:rsidP="006E7460">
      <w:pPr>
        <w:jc w:val="left"/>
      </w:pPr>
    </w:p>
    <w:p w14:paraId="62585F79" w14:textId="518238A1" w:rsidR="00836671" w:rsidRPr="006B4730" w:rsidRDefault="00836671" w:rsidP="006E7460">
      <w:pPr>
        <w:jc w:val="left"/>
      </w:pPr>
      <w:r w:rsidRPr="006B4730">
        <w:t>Initiation of K</w:t>
      </w:r>
      <w:r w:rsidR="00D77E98" w:rsidRPr="006B4730">
        <w:t>ERENDIA</w:t>
      </w:r>
      <w:r w:rsidRPr="006B4730">
        <w:t xml:space="preserve"> treatment is not recommended in patients with eGFR &lt; 25 mL/min/1.73m</w:t>
      </w:r>
      <w:r w:rsidRPr="006B4730">
        <w:rPr>
          <w:vertAlign w:val="superscript"/>
        </w:rPr>
        <w:t>2</w:t>
      </w:r>
      <w:r w:rsidRPr="006B4730">
        <w:t xml:space="preserve"> as clinical experience is limited.</w:t>
      </w:r>
    </w:p>
    <w:p w14:paraId="29CF45E8" w14:textId="2306134B" w:rsidR="00192EC2" w:rsidRPr="006B4730" w:rsidRDefault="00192EC2" w:rsidP="006E7460">
      <w:pPr>
        <w:pStyle w:val="Heading3"/>
        <w:jc w:val="left"/>
      </w:pPr>
      <w:r w:rsidRPr="006B4730">
        <w:t>Continuation of treatment</w:t>
      </w:r>
    </w:p>
    <w:p w14:paraId="7865E9B7" w14:textId="37145AB6" w:rsidR="00836671" w:rsidRPr="006B4730" w:rsidRDefault="00836671" w:rsidP="006E7460">
      <w:pPr>
        <w:jc w:val="left"/>
      </w:pPr>
      <w:r w:rsidRPr="006B4730">
        <w:t>Four weeks after initiation or re-start or up-titration of K</w:t>
      </w:r>
      <w:r w:rsidR="00D77E98" w:rsidRPr="006B4730">
        <w:t>ERENDIA</w:t>
      </w:r>
      <w:r w:rsidRPr="006B4730">
        <w:t xml:space="preserve"> treatment, re</w:t>
      </w:r>
      <w:r w:rsidR="00CD4075" w:rsidRPr="006B4730">
        <w:t>-</w:t>
      </w:r>
      <w:r w:rsidRPr="006B4730">
        <w:t>measure serum potassium and eGFR. See Table 1 to determine continuation of K</w:t>
      </w:r>
      <w:r w:rsidR="00D77E98" w:rsidRPr="006B4730">
        <w:t>ERENDIA</w:t>
      </w:r>
      <w:r w:rsidRPr="006B4730">
        <w:t xml:space="preserve"> treatment and dose adjustment. Thereafter, remeasure serum potassium periodically and as needed based on patient characteristics and serum potassium levels.</w:t>
      </w:r>
    </w:p>
    <w:p w14:paraId="0FB98D42" w14:textId="0725A812" w:rsidR="00192EC2" w:rsidRPr="006B4730" w:rsidRDefault="00836671" w:rsidP="006E7460">
      <w:pPr>
        <w:jc w:val="left"/>
      </w:pPr>
      <w:r w:rsidRPr="006B4730">
        <w:t xml:space="preserve">(See </w:t>
      </w:r>
      <w:r w:rsidR="00013958">
        <w:t>S</w:t>
      </w:r>
      <w:r w:rsidRPr="006B4730">
        <w:t>ections</w:t>
      </w:r>
      <w:r w:rsidR="00D77E98" w:rsidRPr="006B4730">
        <w:t xml:space="preserve"> </w:t>
      </w:r>
      <w:r w:rsidR="00363088">
        <w:fldChar w:fldCharType="begin"/>
      </w:r>
      <w:r w:rsidR="00363088">
        <w:instrText xml:space="preserve"> REF  _Ref79419895 \* Upper \h </w:instrText>
      </w:r>
      <w:r w:rsidR="006E7460">
        <w:instrText xml:space="preserve"> \* MERGEFORMAT </w:instrText>
      </w:r>
      <w:r w:rsidR="00363088">
        <w:fldChar w:fldCharType="separate"/>
      </w:r>
      <w:r w:rsidR="00363088" w:rsidRPr="006B4730">
        <w:t>4.4 SPECIAL WARNINGS AND PRECAUTIONS FOR USE</w:t>
      </w:r>
      <w:r w:rsidR="00363088">
        <w:fldChar w:fldCharType="end"/>
      </w:r>
      <w:r w:rsidRPr="006B4730">
        <w:t xml:space="preserve"> and </w:t>
      </w:r>
      <w:r w:rsidR="003D065F">
        <w:fldChar w:fldCharType="begin"/>
      </w:r>
      <w:r w:rsidR="003D065F">
        <w:instrText xml:space="preserve"> REF  _Ref88419502 \h </w:instrText>
      </w:r>
      <w:r w:rsidR="006E7460">
        <w:instrText xml:space="preserve"> \* MERGEFORMAT </w:instrText>
      </w:r>
      <w:r w:rsidR="003D065F">
        <w:fldChar w:fldCharType="separate"/>
      </w:r>
      <w:r w:rsidR="003D065F" w:rsidRPr="006B4730">
        <w:t>4.5 INTERACTIONS WITH OTHER MEDICINES AND OTHER FORMS OF INTERACTIONS</w:t>
      </w:r>
      <w:r w:rsidR="003D065F">
        <w:fldChar w:fldCharType="end"/>
      </w:r>
      <w:r w:rsidR="003D065F" w:rsidRPr="006B4730">
        <w:t>)</w:t>
      </w:r>
      <w:r w:rsidR="003D065F">
        <w:t>.</w:t>
      </w:r>
    </w:p>
    <w:p w14:paraId="0414464C" w14:textId="77777777" w:rsidR="00802D39" w:rsidRPr="006B4730" w:rsidRDefault="00802D39" w:rsidP="006E7460">
      <w:pPr>
        <w:jc w:val="left"/>
      </w:pPr>
    </w:p>
    <w:p w14:paraId="5C6CC463" w14:textId="17F91BC1" w:rsidR="00192EC2" w:rsidRPr="006B4730" w:rsidRDefault="00192EC2" w:rsidP="006E7460">
      <w:pPr>
        <w:pStyle w:val="TableHeading"/>
        <w:jc w:val="left"/>
        <w:rPr>
          <w:szCs w:val="20"/>
        </w:rPr>
      </w:pPr>
      <w:bookmarkStart w:id="2" w:name="_Ref39158083"/>
      <w:r w:rsidRPr="006B4730">
        <w:t>Table</w:t>
      </w:r>
      <w:bookmarkEnd w:id="2"/>
      <w:r w:rsidR="00A57C59" w:rsidRPr="006B4730">
        <w:t xml:space="preserve"> 1</w:t>
      </w:r>
      <w:r w:rsidRPr="006B4730">
        <w:t xml:space="preserve">: Continuation of </w:t>
      </w:r>
      <w:r w:rsidR="00836671" w:rsidRPr="006B4730">
        <w:t>K</w:t>
      </w:r>
      <w:r w:rsidR="00D77E98" w:rsidRPr="006B4730">
        <w:t>ERENDIA</w:t>
      </w:r>
      <w:r w:rsidR="00836671" w:rsidRPr="006B4730">
        <w:t xml:space="preserve"> </w:t>
      </w:r>
      <w:r w:rsidRPr="006B4730">
        <w:t>treatment and dose adjustment</w:t>
      </w:r>
    </w:p>
    <w:tbl>
      <w:tblPr>
        <w:tblStyle w:val="TableGrid"/>
        <w:tblW w:w="8930" w:type="dxa"/>
        <w:tblInd w:w="846" w:type="dxa"/>
        <w:tblLook w:val="04A0" w:firstRow="1" w:lastRow="0" w:firstColumn="1" w:lastColumn="0" w:noHBand="0" w:noVBand="1"/>
      </w:tblPr>
      <w:tblGrid>
        <w:gridCol w:w="1117"/>
        <w:gridCol w:w="7813"/>
      </w:tblGrid>
      <w:tr w:rsidR="00192EC2" w:rsidRPr="006B4730" w14:paraId="53C57D38" w14:textId="77777777" w:rsidTr="00B43E78">
        <w:trPr>
          <w:cantSplit/>
        </w:trPr>
        <w:tc>
          <w:tcPr>
            <w:tcW w:w="11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B6F8A2" w14:textId="77777777" w:rsidR="00192EC2" w:rsidRPr="006B4730" w:rsidRDefault="00192EC2" w:rsidP="006E7460">
            <w:pPr>
              <w:jc w:val="left"/>
            </w:pPr>
            <w:r w:rsidRPr="006B4730">
              <w:t>Serum potassium (mmol/L)</w:t>
            </w:r>
          </w:p>
        </w:tc>
        <w:tc>
          <w:tcPr>
            <w:tcW w:w="7813" w:type="dxa"/>
            <w:tcBorders>
              <w:top w:val="single" w:sz="4" w:space="0" w:color="auto"/>
              <w:left w:val="single" w:sz="4" w:space="0" w:color="auto"/>
              <w:bottom w:val="single" w:sz="4" w:space="0" w:color="auto"/>
              <w:right w:val="single" w:sz="4" w:space="0" w:color="auto"/>
            </w:tcBorders>
            <w:vAlign w:val="center"/>
            <w:hideMark/>
          </w:tcPr>
          <w:p w14:paraId="2D6D438F" w14:textId="77777777" w:rsidR="00192EC2" w:rsidRPr="006B4730" w:rsidRDefault="00192EC2" w:rsidP="006E7460">
            <w:pPr>
              <w:jc w:val="left"/>
            </w:pPr>
            <w:r w:rsidRPr="006B4730">
              <w:t>Finerenone dose after 4 weeks</w:t>
            </w:r>
          </w:p>
        </w:tc>
      </w:tr>
      <w:tr w:rsidR="00192EC2" w:rsidRPr="006B4730" w14:paraId="1C55524E" w14:textId="77777777" w:rsidTr="00B43E78">
        <w:trPr>
          <w:cantSplit/>
          <w:trHeight w:val="870"/>
        </w:trPr>
        <w:tc>
          <w:tcPr>
            <w:tcW w:w="11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61B6FE" w14:textId="54357209" w:rsidR="00192EC2" w:rsidRPr="006B4730" w:rsidRDefault="00192EC2" w:rsidP="006E7460">
            <w:pPr>
              <w:jc w:val="left"/>
            </w:pPr>
            <w:r w:rsidRPr="006B4730">
              <w:t xml:space="preserve">≤ </w:t>
            </w:r>
            <w:r w:rsidR="007C736E" w:rsidRPr="006B4730">
              <w:t>4.8</w:t>
            </w:r>
          </w:p>
        </w:tc>
        <w:tc>
          <w:tcPr>
            <w:tcW w:w="7813" w:type="dxa"/>
            <w:tcBorders>
              <w:top w:val="single" w:sz="4" w:space="0" w:color="auto"/>
              <w:left w:val="single" w:sz="4" w:space="0" w:color="auto"/>
              <w:bottom w:val="single" w:sz="4" w:space="0" w:color="auto"/>
              <w:right w:val="single" w:sz="4" w:space="0" w:color="auto"/>
            </w:tcBorders>
            <w:hideMark/>
          </w:tcPr>
          <w:p w14:paraId="71B60C75" w14:textId="77777777" w:rsidR="00192EC2" w:rsidRPr="006B4730" w:rsidRDefault="00192EC2" w:rsidP="006E7460">
            <w:pPr>
              <w:jc w:val="left"/>
            </w:pPr>
            <w:r w:rsidRPr="006B4730">
              <w:t xml:space="preserve">Maintain 20 mg once daily. </w:t>
            </w:r>
          </w:p>
          <w:p w14:paraId="7008CAB4" w14:textId="77777777" w:rsidR="00192EC2" w:rsidRPr="006B4730" w:rsidRDefault="00192EC2" w:rsidP="006E7460">
            <w:pPr>
              <w:jc w:val="left"/>
            </w:pPr>
            <w:r w:rsidRPr="006B4730">
              <w:t>For patients on 10 mg once daily, increase the dose to 20 mg once daily if eGFR has not decreased &gt; 30% compared to the prior measurement.</w:t>
            </w:r>
          </w:p>
        </w:tc>
      </w:tr>
      <w:tr w:rsidR="00192EC2" w:rsidRPr="006B4730" w14:paraId="06FE5652" w14:textId="77777777" w:rsidTr="00B43E78">
        <w:trPr>
          <w:cantSplit/>
        </w:trPr>
        <w:tc>
          <w:tcPr>
            <w:tcW w:w="11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433801" w14:textId="4A00C4B5" w:rsidR="00192EC2" w:rsidRPr="006B4730" w:rsidRDefault="007C736E" w:rsidP="006E7460">
            <w:pPr>
              <w:jc w:val="left"/>
            </w:pPr>
            <w:r w:rsidRPr="006B4730">
              <w:t>4.9</w:t>
            </w:r>
            <w:r w:rsidR="00192EC2" w:rsidRPr="006B4730">
              <w:t xml:space="preserve"> – 5.5</w:t>
            </w:r>
          </w:p>
        </w:tc>
        <w:tc>
          <w:tcPr>
            <w:tcW w:w="7813" w:type="dxa"/>
            <w:tcBorders>
              <w:top w:val="single" w:sz="4" w:space="0" w:color="auto"/>
              <w:left w:val="single" w:sz="4" w:space="0" w:color="auto"/>
              <w:bottom w:val="single" w:sz="4" w:space="0" w:color="auto"/>
              <w:right w:val="single" w:sz="4" w:space="0" w:color="auto"/>
            </w:tcBorders>
            <w:hideMark/>
          </w:tcPr>
          <w:p w14:paraId="7DC844A4" w14:textId="77777777" w:rsidR="00192EC2" w:rsidRPr="006B4730" w:rsidRDefault="00192EC2" w:rsidP="006E7460">
            <w:pPr>
              <w:jc w:val="left"/>
            </w:pPr>
            <w:r w:rsidRPr="006B4730">
              <w:t>Maintain dose.</w:t>
            </w:r>
          </w:p>
        </w:tc>
      </w:tr>
      <w:tr w:rsidR="00192EC2" w:rsidRPr="006B4730" w14:paraId="4AFDE6C4" w14:textId="77777777" w:rsidTr="00B43E78">
        <w:trPr>
          <w:cantSplit/>
        </w:trPr>
        <w:tc>
          <w:tcPr>
            <w:tcW w:w="11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423C50" w14:textId="77777777" w:rsidR="00192EC2" w:rsidRPr="006B4730" w:rsidRDefault="00192EC2" w:rsidP="006E7460">
            <w:pPr>
              <w:jc w:val="left"/>
            </w:pPr>
            <w:r w:rsidRPr="006B4730">
              <w:t>&gt; 5.5</w:t>
            </w:r>
          </w:p>
        </w:tc>
        <w:tc>
          <w:tcPr>
            <w:tcW w:w="7813" w:type="dxa"/>
            <w:tcBorders>
              <w:top w:val="single" w:sz="4" w:space="0" w:color="auto"/>
              <w:left w:val="single" w:sz="4" w:space="0" w:color="auto"/>
              <w:bottom w:val="single" w:sz="4" w:space="0" w:color="auto"/>
              <w:right w:val="single" w:sz="4" w:space="0" w:color="auto"/>
            </w:tcBorders>
            <w:hideMark/>
          </w:tcPr>
          <w:p w14:paraId="1610AF91" w14:textId="3097A2E5" w:rsidR="00192EC2" w:rsidRPr="006B4730" w:rsidRDefault="00192EC2" w:rsidP="006E7460">
            <w:pPr>
              <w:jc w:val="left"/>
            </w:pPr>
            <w:r w:rsidRPr="006B4730">
              <w:t xml:space="preserve">Withhold finerenone. </w:t>
            </w:r>
          </w:p>
          <w:p w14:paraId="192C13BD" w14:textId="7934FAAD" w:rsidR="00192EC2" w:rsidRPr="006B4730" w:rsidRDefault="00192EC2" w:rsidP="006E7460">
            <w:pPr>
              <w:jc w:val="left"/>
            </w:pPr>
            <w:r w:rsidRPr="006B4730">
              <w:t xml:space="preserve">Restart at 10 mg once daily if serum potassium </w:t>
            </w:r>
            <w:r w:rsidR="00302CB9" w:rsidRPr="006B4730">
              <w:t>≤ 5.0 mmol/L.</w:t>
            </w:r>
          </w:p>
        </w:tc>
      </w:tr>
    </w:tbl>
    <w:p w14:paraId="0253F58A" w14:textId="77777777" w:rsidR="00A57C59" w:rsidRPr="006B4730" w:rsidRDefault="00A57C59" w:rsidP="006E7460">
      <w:pPr>
        <w:jc w:val="left"/>
      </w:pPr>
    </w:p>
    <w:p w14:paraId="6805F5A5" w14:textId="77777777" w:rsidR="00192EC2" w:rsidRPr="006B4730" w:rsidRDefault="00192EC2" w:rsidP="006E7460">
      <w:pPr>
        <w:pStyle w:val="InstructionalText"/>
        <w:jc w:val="left"/>
      </w:pPr>
    </w:p>
    <w:p w14:paraId="4D73312F" w14:textId="347E73E0" w:rsidR="0060327C" w:rsidRPr="006B4730" w:rsidRDefault="0060327C" w:rsidP="006E7460">
      <w:pPr>
        <w:pStyle w:val="Heading3"/>
        <w:jc w:val="left"/>
      </w:pPr>
      <w:r w:rsidRPr="006B4730">
        <w:t>Method of administration</w:t>
      </w:r>
    </w:p>
    <w:p w14:paraId="705E1821" w14:textId="4706471D" w:rsidR="00192EC2" w:rsidRPr="006B4730" w:rsidRDefault="00192EC2" w:rsidP="006E7460">
      <w:pPr>
        <w:jc w:val="left"/>
      </w:pPr>
      <w:r w:rsidRPr="006B4730">
        <w:t>Oral use.</w:t>
      </w:r>
    </w:p>
    <w:p w14:paraId="56E30970" w14:textId="77777777" w:rsidR="00192EC2" w:rsidRPr="006B4730" w:rsidRDefault="00192EC2" w:rsidP="006E7460">
      <w:pPr>
        <w:jc w:val="left"/>
      </w:pPr>
    </w:p>
    <w:p w14:paraId="64D092A9" w14:textId="4AAD8205" w:rsidR="00192EC2" w:rsidRPr="006B4730" w:rsidRDefault="00192EC2" w:rsidP="006E7460">
      <w:pPr>
        <w:jc w:val="left"/>
      </w:pPr>
      <w:r w:rsidRPr="006B4730">
        <w:t xml:space="preserve">Tablets may be taken with a glass of water and with or without food (see </w:t>
      </w:r>
      <w:r w:rsidR="00F37750">
        <w:t>S</w:t>
      </w:r>
      <w:r w:rsidRPr="006B4730">
        <w:t xml:space="preserve">ection </w:t>
      </w:r>
      <w:r w:rsidR="006E7460">
        <w:fldChar w:fldCharType="begin"/>
      </w:r>
      <w:r w:rsidR="006E7460">
        <w:instrText xml:space="preserve"> REF _Ref88419060  \* MERGEFORMAT </w:instrText>
      </w:r>
      <w:r w:rsidR="006E7460">
        <w:fldChar w:fldCharType="separate"/>
      </w:r>
      <w:r w:rsidR="00011E46" w:rsidRPr="006B4730">
        <w:t>5.2 PHARMACOKINETIC PROPERTIES</w:t>
      </w:r>
      <w:r w:rsidR="006E7460">
        <w:fldChar w:fldCharType="end"/>
      </w:r>
      <w:r w:rsidRPr="006B4730">
        <w:t>).</w:t>
      </w:r>
    </w:p>
    <w:p w14:paraId="54E704F3" w14:textId="77777777" w:rsidR="001239BC" w:rsidRPr="006B4730" w:rsidRDefault="001239BC" w:rsidP="006E7460">
      <w:pPr>
        <w:jc w:val="left"/>
      </w:pPr>
    </w:p>
    <w:p w14:paraId="47427348" w14:textId="2EA552D3" w:rsidR="00836671" w:rsidRPr="006B4730" w:rsidRDefault="00836671" w:rsidP="006E7460">
      <w:pPr>
        <w:jc w:val="left"/>
      </w:pPr>
      <w:r w:rsidRPr="006B4730">
        <w:t xml:space="preserve">Avoid taking </w:t>
      </w:r>
      <w:r w:rsidR="00D2454B" w:rsidRPr="006B4730">
        <w:t>KERENDIA</w:t>
      </w:r>
      <w:r w:rsidRPr="006B4730">
        <w:t xml:space="preserve"> with grapefruit or grapefruit juice (see </w:t>
      </w:r>
      <w:r w:rsidR="00F37750">
        <w:t>S</w:t>
      </w:r>
      <w:r w:rsidRPr="006B4730">
        <w:t xml:space="preserve">ection </w:t>
      </w:r>
      <w:r w:rsidR="00363088">
        <w:fldChar w:fldCharType="begin"/>
      </w:r>
      <w:r w:rsidR="00363088">
        <w:instrText xml:space="preserve"> REF  _Ref79419895 \* Upper \h </w:instrText>
      </w:r>
      <w:r w:rsidR="006E7460">
        <w:instrText xml:space="preserve"> \* MERGEFORMAT </w:instrText>
      </w:r>
      <w:r w:rsidR="00363088">
        <w:fldChar w:fldCharType="separate"/>
      </w:r>
      <w:r w:rsidR="00363088" w:rsidRPr="006B4730">
        <w:t>4.4 SPECIAL WARNINGS AND PRECAUTIONS FOR USE</w:t>
      </w:r>
      <w:r w:rsidR="00363088">
        <w:fldChar w:fldCharType="end"/>
      </w:r>
      <w:r w:rsidRPr="006B4730">
        <w:t xml:space="preserve"> and </w:t>
      </w:r>
      <w:r w:rsidR="00C37C11">
        <w:t>S</w:t>
      </w:r>
      <w:r w:rsidR="00D77E98" w:rsidRPr="006B4730">
        <w:t xml:space="preserve">ection </w:t>
      </w:r>
      <w:r w:rsidR="002E6344">
        <w:fldChar w:fldCharType="begin"/>
      </w:r>
      <w:r w:rsidR="002E6344">
        <w:instrText xml:space="preserve"> REF _Ref88419502 \h </w:instrText>
      </w:r>
      <w:r w:rsidR="006E7460">
        <w:instrText xml:space="preserve"> \* MERGEFORMAT </w:instrText>
      </w:r>
      <w:r w:rsidR="002E6344">
        <w:fldChar w:fldCharType="separate"/>
      </w:r>
      <w:r w:rsidR="002E6344" w:rsidRPr="006B4730">
        <w:t>4.5 INTERACTIONS WITH OTHER MEDICINES AND OTHER FORMS OF INTERACTIONS</w:t>
      </w:r>
      <w:r w:rsidR="002E6344">
        <w:fldChar w:fldCharType="end"/>
      </w:r>
      <w:r w:rsidR="00CD4075" w:rsidRPr="006B4730">
        <w:t>)</w:t>
      </w:r>
      <w:r w:rsidRPr="006B4730">
        <w:t>.</w:t>
      </w:r>
    </w:p>
    <w:p w14:paraId="0017608E" w14:textId="77777777" w:rsidR="001239BC" w:rsidRPr="006B4730" w:rsidRDefault="001239BC" w:rsidP="006E7460">
      <w:pPr>
        <w:jc w:val="left"/>
      </w:pPr>
    </w:p>
    <w:p w14:paraId="72301AAF" w14:textId="176727D2" w:rsidR="00192EC2" w:rsidRPr="006B4730" w:rsidRDefault="00192EC2" w:rsidP="006E7460">
      <w:pPr>
        <w:jc w:val="left"/>
      </w:pPr>
      <w:r w:rsidRPr="006B4730">
        <w:t xml:space="preserve">For patients who are unable to swallow whole tablets, </w:t>
      </w:r>
      <w:r w:rsidR="00735131" w:rsidRPr="006B4730">
        <w:t xml:space="preserve">KERENDIA </w:t>
      </w:r>
      <w:r w:rsidRPr="006B4730">
        <w:t>tablet may be crushed and mixed with water or soft foods, such as apple</w:t>
      </w:r>
      <w:r w:rsidR="00735131" w:rsidRPr="006B4730">
        <w:t xml:space="preserve"> </w:t>
      </w:r>
      <w:r w:rsidRPr="006B4730">
        <w:t xml:space="preserve">sauce, immediately prior to use and administered orally (see </w:t>
      </w:r>
      <w:r w:rsidR="00E37225">
        <w:t>S</w:t>
      </w:r>
      <w:r w:rsidRPr="006B4730">
        <w:t xml:space="preserve">ection </w:t>
      </w:r>
      <w:r w:rsidR="00363088">
        <w:fldChar w:fldCharType="begin"/>
      </w:r>
      <w:r w:rsidR="00363088">
        <w:instrText xml:space="preserve"> REF  _Ref88419060 \* Upper \h </w:instrText>
      </w:r>
      <w:r w:rsidR="006E7460">
        <w:instrText xml:space="preserve"> \* MERGEFORMAT </w:instrText>
      </w:r>
      <w:r w:rsidR="00363088">
        <w:fldChar w:fldCharType="separate"/>
      </w:r>
      <w:r w:rsidR="00363088" w:rsidRPr="006B4730">
        <w:t>5.2 PHARMACOKINETIC PROPERTIES</w:t>
      </w:r>
      <w:r w:rsidR="00363088">
        <w:fldChar w:fldCharType="end"/>
      </w:r>
      <w:r w:rsidR="00D2454B" w:rsidRPr="006B4730">
        <w:t>)</w:t>
      </w:r>
      <w:r w:rsidRPr="006B4730">
        <w:t>.</w:t>
      </w:r>
    </w:p>
    <w:p w14:paraId="65BB14E5" w14:textId="77777777" w:rsidR="00142272" w:rsidRPr="006B4730" w:rsidRDefault="00142272" w:rsidP="006E7460">
      <w:pPr>
        <w:pStyle w:val="Heading3"/>
        <w:jc w:val="left"/>
      </w:pPr>
      <w:r w:rsidRPr="006B4730">
        <w:lastRenderedPageBreak/>
        <w:t>Missed dose</w:t>
      </w:r>
    </w:p>
    <w:p w14:paraId="10E1B1E6" w14:textId="07B3F8AF" w:rsidR="00142272" w:rsidRPr="006B4730" w:rsidRDefault="00142272" w:rsidP="006E7460">
      <w:pPr>
        <w:jc w:val="left"/>
      </w:pPr>
      <w:r w:rsidRPr="006B4730">
        <w:t xml:space="preserve">A missed dose should be taken as soon as possible after it is noticed, but only on the same day. If this is not possible, the dose should be skipped and the next dose taken as prescribed. Two doses should not be taken to make up for a missed dose. </w:t>
      </w:r>
    </w:p>
    <w:p w14:paraId="1E57F910" w14:textId="77777777" w:rsidR="00D2454B" w:rsidRPr="006B4730" w:rsidRDefault="00D2454B" w:rsidP="006E7460">
      <w:pPr>
        <w:jc w:val="left"/>
      </w:pPr>
    </w:p>
    <w:p w14:paraId="6068ACB0" w14:textId="1A70F0BF" w:rsidR="00142272" w:rsidRPr="006B4730" w:rsidRDefault="00142272" w:rsidP="006E7460">
      <w:pPr>
        <w:jc w:val="left"/>
      </w:pPr>
      <w:r w:rsidRPr="006B4730">
        <w:t xml:space="preserve">The maximum daily dose of </w:t>
      </w:r>
      <w:r w:rsidR="00735131" w:rsidRPr="006B4730">
        <w:t xml:space="preserve">KERENDIA </w:t>
      </w:r>
      <w:r w:rsidRPr="006B4730">
        <w:t>is 20 mg.</w:t>
      </w:r>
    </w:p>
    <w:p w14:paraId="760E765B" w14:textId="2776FD2F" w:rsidR="00192EC2" w:rsidRPr="006B4730" w:rsidRDefault="00192EC2" w:rsidP="006E7460">
      <w:pPr>
        <w:pStyle w:val="InstructionalText"/>
        <w:jc w:val="left"/>
      </w:pPr>
    </w:p>
    <w:p w14:paraId="68394606" w14:textId="41FD3465" w:rsidR="003B30FB" w:rsidRPr="006B4730" w:rsidRDefault="0070021E" w:rsidP="006E7460">
      <w:pPr>
        <w:pStyle w:val="Heading3"/>
        <w:jc w:val="left"/>
      </w:pPr>
      <w:r w:rsidRPr="006B4730">
        <w:t>Patients with hepatic impairment</w:t>
      </w:r>
    </w:p>
    <w:p w14:paraId="7AC738FA" w14:textId="16DE6FF4" w:rsidR="003B30FB" w:rsidRPr="006B4730" w:rsidRDefault="003B30FB" w:rsidP="006E7460">
      <w:pPr>
        <w:jc w:val="left"/>
      </w:pPr>
      <w:r w:rsidRPr="006B4730">
        <w:t>In patients with severe hepatic impairment (Child Pugh C), avoid treatment with K</w:t>
      </w:r>
      <w:r w:rsidR="00D2454B" w:rsidRPr="006B4730">
        <w:t>ERENDIA</w:t>
      </w:r>
      <w:r w:rsidRPr="006B4730">
        <w:t xml:space="preserve"> (see </w:t>
      </w:r>
      <w:r w:rsidR="00F37750">
        <w:t>S</w:t>
      </w:r>
      <w:r w:rsidRPr="006B4730">
        <w:t xml:space="preserve">ection </w:t>
      </w:r>
      <w:r w:rsidR="00363088">
        <w:fldChar w:fldCharType="begin"/>
      </w:r>
      <w:r w:rsidR="00363088">
        <w:instrText xml:space="preserve"> REF  _Ref79419895 \* Upper \h </w:instrText>
      </w:r>
      <w:r w:rsidR="006E7460">
        <w:instrText xml:space="preserve"> \* MERGEFORMAT </w:instrText>
      </w:r>
      <w:r w:rsidR="00363088">
        <w:fldChar w:fldCharType="separate"/>
      </w:r>
      <w:r w:rsidR="00363088" w:rsidRPr="006B4730">
        <w:t>4.4 SPECIAL WARNINGS AND PRECAUTIONS FOR USE</w:t>
      </w:r>
      <w:r w:rsidR="00363088">
        <w:fldChar w:fldCharType="end"/>
      </w:r>
      <w:r w:rsidRPr="006B4730">
        <w:t xml:space="preserve"> and </w:t>
      </w:r>
      <w:r w:rsidR="00F37750">
        <w:t>S</w:t>
      </w:r>
      <w:r w:rsidRPr="006B4730">
        <w:t xml:space="preserve">ection </w:t>
      </w:r>
      <w:r w:rsidR="006E7460">
        <w:fldChar w:fldCharType="begin"/>
      </w:r>
      <w:r w:rsidR="006E7460">
        <w:instrText xml:space="preserve"> REF _Ref88419060  \* MERGEFORMAT </w:instrText>
      </w:r>
      <w:r w:rsidR="006E7460">
        <w:fldChar w:fldCharType="separate"/>
      </w:r>
      <w:r w:rsidR="00CF01A8" w:rsidRPr="006B4730">
        <w:t>5.2 PHARMACOKINETIC PROPERTIES</w:t>
      </w:r>
      <w:r w:rsidR="006E7460">
        <w:fldChar w:fldCharType="end"/>
      </w:r>
      <w:r w:rsidR="00D2454B" w:rsidRPr="006B4730">
        <w:t>)</w:t>
      </w:r>
      <w:r w:rsidRPr="006B4730">
        <w:t xml:space="preserve">. In patients with mild or moderate hepatic impairment, no initial dose adjustment is required (Child Pugh A or B) (see </w:t>
      </w:r>
      <w:r w:rsidR="00F37750">
        <w:t>S</w:t>
      </w:r>
      <w:r w:rsidRPr="006B4730">
        <w:t xml:space="preserve">ection </w:t>
      </w:r>
      <w:r w:rsidR="00363088">
        <w:fldChar w:fldCharType="begin"/>
      </w:r>
      <w:r w:rsidR="00363088">
        <w:instrText xml:space="preserve"> REF  _Ref88419060 \* Upper \h </w:instrText>
      </w:r>
      <w:r w:rsidR="006E7460">
        <w:instrText xml:space="preserve"> \* MERGEFORMAT </w:instrText>
      </w:r>
      <w:r w:rsidR="00363088">
        <w:fldChar w:fldCharType="separate"/>
      </w:r>
      <w:r w:rsidR="00363088" w:rsidRPr="006B4730">
        <w:t>5.2 PHARMACOKINETIC PROPERTIES</w:t>
      </w:r>
      <w:r w:rsidR="00363088">
        <w:fldChar w:fldCharType="end"/>
      </w:r>
      <w:r w:rsidRPr="006B4730">
        <w:t>).</w:t>
      </w:r>
    </w:p>
    <w:p w14:paraId="62B3EF53" w14:textId="77777777" w:rsidR="003B30FB" w:rsidRPr="006B4730" w:rsidRDefault="003B30FB" w:rsidP="006E7460">
      <w:pPr>
        <w:jc w:val="left"/>
      </w:pPr>
    </w:p>
    <w:p w14:paraId="10CA69D2" w14:textId="4C7E6ADA" w:rsidR="0070021E" w:rsidRPr="006B4730" w:rsidRDefault="003B30FB" w:rsidP="006E7460">
      <w:pPr>
        <w:jc w:val="left"/>
      </w:pPr>
      <w:r w:rsidRPr="006B4730">
        <w:t xml:space="preserve">In patients with moderate hepatic impairment (Child Pugh B), consider additional serum potassium monitoring and adapt monitoring according to patient characteristics (see </w:t>
      </w:r>
      <w:r w:rsidR="001E5518">
        <w:t>S</w:t>
      </w:r>
      <w:r w:rsidRPr="006B4730">
        <w:t xml:space="preserve">ection </w:t>
      </w:r>
      <w:r w:rsidR="00363088">
        <w:fldChar w:fldCharType="begin"/>
      </w:r>
      <w:r w:rsidR="00363088">
        <w:instrText xml:space="preserve"> REF  _Ref79419895 \* Upper \h </w:instrText>
      </w:r>
      <w:r w:rsidR="006E7460">
        <w:instrText xml:space="preserve"> \* MERGEFORMAT </w:instrText>
      </w:r>
      <w:r w:rsidR="00363088">
        <w:fldChar w:fldCharType="separate"/>
      </w:r>
      <w:r w:rsidR="00363088" w:rsidRPr="006B4730">
        <w:t>4.4 SPECIAL WARNINGS AND PRECAUTIONS FOR USE</w:t>
      </w:r>
      <w:r w:rsidR="00363088">
        <w:fldChar w:fldCharType="end"/>
      </w:r>
      <w:r w:rsidRPr="006B4730">
        <w:t xml:space="preserve"> and </w:t>
      </w:r>
      <w:r w:rsidR="001E5518">
        <w:t>S</w:t>
      </w:r>
      <w:r w:rsidRPr="006B4730">
        <w:t xml:space="preserve">ection </w:t>
      </w:r>
      <w:r w:rsidR="00363088">
        <w:fldChar w:fldCharType="begin"/>
      </w:r>
      <w:r w:rsidR="00363088">
        <w:instrText xml:space="preserve"> REF  _Ref88419060 \* Upper \h </w:instrText>
      </w:r>
      <w:r w:rsidR="006E7460">
        <w:instrText xml:space="preserve"> \* MERGEFORMAT </w:instrText>
      </w:r>
      <w:r w:rsidR="00363088">
        <w:fldChar w:fldCharType="separate"/>
      </w:r>
      <w:r w:rsidR="00363088" w:rsidRPr="006B4730">
        <w:t>5.2 PHARMACOKINETIC PROPERTIES</w:t>
      </w:r>
      <w:r w:rsidR="00363088">
        <w:fldChar w:fldCharType="end"/>
      </w:r>
      <w:r w:rsidRPr="006B4730">
        <w:t>).</w:t>
      </w:r>
    </w:p>
    <w:p w14:paraId="3DB7228D" w14:textId="77777777" w:rsidR="007C736E" w:rsidRPr="006B4730" w:rsidRDefault="007C736E" w:rsidP="006E7460">
      <w:pPr>
        <w:pStyle w:val="InstructionalText"/>
        <w:jc w:val="left"/>
      </w:pPr>
    </w:p>
    <w:p w14:paraId="19E9E819" w14:textId="2025852F" w:rsidR="0070021E" w:rsidRPr="006B4730" w:rsidRDefault="0070021E" w:rsidP="006E7460">
      <w:pPr>
        <w:pStyle w:val="Heading3"/>
        <w:jc w:val="left"/>
      </w:pPr>
      <w:r w:rsidRPr="006B4730">
        <w:t>Patients with renal impairment</w:t>
      </w:r>
    </w:p>
    <w:p w14:paraId="485E64EF" w14:textId="0B4EDC1F" w:rsidR="00836671" w:rsidRPr="006B4730" w:rsidRDefault="00836671" w:rsidP="006E7460">
      <w:pPr>
        <w:pStyle w:val="BayerBodyTextFull"/>
        <w:rPr>
          <w:rFonts w:ascii="Arial" w:hAnsi="Arial"/>
          <w:sz w:val="22"/>
          <w:u w:val="single"/>
        </w:rPr>
      </w:pPr>
      <w:r w:rsidRPr="006B4730">
        <w:rPr>
          <w:rFonts w:ascii="Arial" w:hAnsi="Arial"/>
          <w:sz w:val="22"/>
          <w:u w:val="single"/>
        </w:rPr>
        <w:t xml:space="preserve">Initiation of </w:t>
      </w:r>
      <w:r w:rsidR="00D2454B" w:rsidRPr="006B4730">
        <w:rPr>
          <w:rFonts w:ascii="Arial" w:hAnsi="Arial"/>
          <w:sz w:val="22"/>
          <w:u w:val="single"/>
        </w:rPr>
        <w:t>KERENDIA</w:t>
      </w:r>
      <w:r w:rsidRPr="006B4730">
        <w:rPr>
          <w:rFonts w:ascii="Arial" w:hAnsi="Arial"/>
          <w:sz w:val="22"/>
          <w:u w:val="single"/>
        </w:rPr>
        <w:t xml:space="preserve"> treatment</w:t>
      </w:r>
    </w:p>
    <w:p w14:paraId="68530CD3" w14:textId="71142BB9" w:rsidR="00836671" w:rsidRPr="006B4730" w:rsidRDefault="00836671" w:rsidP="006E7460">
      <w:pPr>
        <w:pStyle w:val="BayerBodyTextFull"/>
        <w:rPr>
          <w:rFonts w:ascii="Arial" w:hAnsi="Arial"/>
          <w:sz w:val="22"/>
        </w:rPr>
      </w:pPr>
      <w:bookmarkStart w:id="3" w:name="_Hlk51978572"/>
      <w:r w:rsidRPr="006B4730">
        <w:rPr>
          <w:rFonts w:ascii="Arial" w:hAnsi="Arial"/>
          <w:sz w:val="22"/>
        </w:rPr>
        <w:t>In patients with eGFR ≥ 25 to &lt; 60 mL/min/1.73m</w:t>
      </w:r>
      <w:r w:rsidRPr="006B4730">
        <w:rPr>
          <w:rFonts w:ascii="Arial" w:hAnsi="Arial"/>
          <w:sz w:val="22"/>
          <w:vertAlign w:val="superscript"/>
        </w:rPr>
        <w:t>2</w:t>
      </w:r>
      <w:r w:rsidRPr="006B4730">
        <w:rPr>
          <w:rFonts w:ascii="Arial" w:hAnsi="Arial"/>
          <w:sz w:val="22"/>
        </w:rPr>
        <w:t>, the starting dose of K</w:t>
      </w:r>
      <w:r w:rsidR="00A628B2" w:rsidRPr="006B4730">
        <w:rPr>
          <w:rFonts w:ascii="Arial" w:hAnsi="Arial"/>
          <w:sz w:val="22"/>
        </w:rPr>
        <w:t>ERENDIA</w:t>
      </w:r>
      <w:r w:rsidRPr="006B4730">
        <w:rPr>
          <w:rFonts w:ascii="Arial" w:hAnsi="Arial"/>
          <w:sz w:val="22"/>
        </w:rPr>
        <w:t xml:space="preserve"> is 10 mg once daily. See section ‘Initiation of treatment.’</w:t>
      </w:r>
    </w:p>
    <w:p w14:paraId="437D7A12" w14:textId="5C4ED8BF" w:rsidR="00D2454B" w:rsidRPr="006B4730" w:rsidRDefault="00836671" w:rsidP="006E7460">
      <w:pPr>
        <w:pStyle w:val="BayerBodyTextFull"/>
        <w:rPr>
          <w:rFonts w:ascii="Arial" w:hAnsi="Arial"/>
          <w:sz w:val="22"/>
        </w:rPr>
      </w:pPr>
      <w:r w:rsidRPr="006B4730">
        <w:rPr>
          <w:rFonts w:ascii="Arial" w:hAnsi="Arial"/>
          <w:sz w:val="22"/>
        </w:rPr>
        <w:t>In patients with eGFR &lt; 25 mL/min/1.73m</w:t>
      </w:r>
      <w:r w:rsidRPr="006B4730">
        <w:rPr>
          <w:rFonts w:ascii="Arial" w:hAnsi="Arial"/>
          <w:sz w:val="22"/>
          <w:vertAlign w:val="superscript"/>
        </w:rPr>
        <w:t>2</w:t>
      </w:r>
      <w:r w:rsidRPr="006B4730">
        <w:rPr>
          <w:rFonts w:ascii="Arial" w:hAnsi="Arial"/>
          <w:sz w:val="22"/>
        </w:rPr>
        <w:t>, initiation of K</w:t>
      </w:r>
      <w:r w:rsidR="00A628B2" w:rsidRPr="006B4730">
        <w:rPr>
          <w:rFonts w:ascii="Arial" w:hAnsi="Arial"/>
          <w:sz w:val="22"/>
        </w:rPr>
        <w:t>ERENDIA</w:t>
      </w:r>
      <w:r w:rsidRPr="006B4730">
        <w:rPr>
          <w:rFonts w:ascii="Arial" w:hAnsi="Arial"/>
          <w:sz w:val="22"/>
        </w:rPr>
        <w:t xml:space="preserve"> treatment is not recommended as clinical experience is limited (see </w:t>
      </w:r>
      <w:r w:rsidR="001D7B00">
        <w:rPr>
          <w:rFonts w:ascii="Arial" w:hAnsi="Arial"/>
          <w:sz w:val="22"/>
        </w:rPr>
        <w:t>S</w:t>
      </w:r>
      <w:r w:rsidRPr="006B4730">
        <w:rPr>
          <w:rFonts w:ascii="Arial" w:hAnsi="Arial"/>
          <w:sz w:val="22"/>
        </w:rPr>
        <w:t xml:space="preserve">ection </w:t>
      </w:r>
      <w:r w:rsidR="00363088" w:rsidRPr="00363088">
        <w:rPr>
          <w:rFonts w:ascii="Arial" w:hAnsi="Arial"/>
          <w:sz w:val="22"/>
        </w:rPr>
        <w:fldChar w:fldCharType="begin"/>
      </w:r>
      <w:r w:rsidR="00363088" w:rsidRPr="00363088">
        <w:rPr>
          <w:rFonts w:ascii="Arial" w:hAnsi="Arial"/>
          <w:sz w:val="22"/>
        </w:rPr>
        <w:instrText xml:space="preserve"> REF  _Ref79419895 \* Upper \h  \* MERGEFORMAT </w:instrText>
      </w:r>
      <w:r w:rsidR="00363088" w:rsidRPr="00363088">
        <w:rPr>
          <w:rFonts w:ascii="Arial" w:hAnsi="Arial"/>
          <w:sz w:val="22"/>
        </w:rPr>
      </w:r>
      <w:r w:rsidR="00363088" w:rsidRPr="00363088">
        <w:rPr>
          <w:rFonts w:ascii="Arial" w:hAnsi="Arial"/>
          <w:sz w:val="22"/>
        </w:rPr>
        <w:fldChar w:fldCharType="separate"/>
      </w:r>
      <w:r w:rsidR="00363088" w:rsidRPr="00363088">
        <w:rPr>
          <w:rFonts w:ascii="Arial" w:hAnsi="Arial"/>
          <w:sz w:val="22"/>
        </w:rPr>
        <w:t>4.4 SPECIAL WARNINGS AND PRECAUTIONS FOR USE</w:t>
      </w:r>
      <w:r w:rsidR="00363088" w:rsidRPr="00363088">
        <w:rPr>
          <w:rFonts w:ascii="Arial" w:hAnsi="Arial"/>
          <w:sz w:val="22"/>
        </w:rPr>
        <w:fldChar w:fldCharType="end"/>
      </w:r>
      <w:r w:rsidRPr="00363088">
        <w:rPr>
          <w:rFonts w:ascii="Arial" w:hAnsi="Arial"/>
          <w:sz w:val="22"/>
        </w:rPr>
        <w:t xml:space="preserve"> </w:t>
      </w:r>
      <w:r w:rsidRPr="006B4730">
        <w:rPr>
          <w:rFonts w:ascii="Arial" w:hAnsi="Arial"/>
          <w:sz w:val="22"/>
        </w:rPr>
        <w:t xml:space="preserve">and </w:t>
      </w:r>
      <w:r w:rsidR="001D7B00">
        <w:rPr>
          <w:rFonts w:ascii="Arial" w:hAnsi="Arial"/>
          <w:sz w:val="22"/>
        </w:rPr>
        <w:t>S</w:t>
      </w:r>
      <w:r w:rsidRPr="006B4730">
        <w:rPr>
          <w:rFonts w:ascii="Arial" w:hAnsi="Arial"/>
          <w:sz w:val="22"/>
        </w:rPr>
        <w:t>ection</w:t>
      </w:r>
      <w:r w:rsidRPr="00C03B58">
        <w:rPr>
          <w:rFonts w:ascii="Arial" w:hAnsi="Arial"/>
          <w:sz w:val="20"/>
          <w:szCs w:val="20"/>
        </w:rPr>
        <w:t xml:space="preserve"> </w:t>
      </w:r>
      <w:r w:rsidR="00363088" w:rsidRPr="00363088">
        <w:rPr>
          <w:rFonts w:ascii="Arial" w:hAnsi="Arial"/>
          <w:sz w:val="22"/>
        </w:rPr>
        <w:fldChar w:fldCharType="begin"/>
      </w:r>
      <w:r w:rsidR="00363088" w:rsidRPr="00363088">
        <w:rPr>
          <w:rFonts w:ascii="Arial" w:hAnsi="Arial"/>
          <w:sz w:val="22"/>
        </w:rPr>
        <w:instrText xml:space="preserve"> REF  _Ref88419060 \* Upper \h  \* MERGEFORMAT </w:instrText>
      </w:r>
      <w:r w:rsidR="00363088" w:rsidRPr="00363088">
        <w:rPr>
          <w:rFonts w:ascii="Arial" w:hAnsi="Arial"/>
          <w:sz w:val="22"/>
        </w:rPr>
      </w:r>
      <w:r w:rsidR="00363088" w:rsidRPr="00363088">
        <w:rPr>
          <w:rFonts w:ascii="Arial" w:hAnsi="Arial"/>
          <w:sz w:val="22"/>
        </w:rPr>
        <w:fldChar w:fldCharType="separate"/>
      </w:r>
      <w:r w:rsidR="00363088" w:rsidRPr="00363088">
        <w:rPr>
          <w:rFonts w:ascii="Arial" w:hAnsi="Arial"/>
          <w:sz w:val="22"/>
        </w:rPr>
        <w:t>5.2 PHARMACOKINETIC PROPERTIES</w:t>
      </w:r>
      <w:r w:rsidR="00363088" w:rsidRPr="00363088">
        <w:rPr>
          <w:rFonts w:ascii="Arial" w:hAnsi="Arial"/>
          <w:sz w:val="22"/>
        </w:rPr>
        <w:fldChar w:fldCharType="end"/>
      </w:r>
      <w:r w:rsidRPr="006B4730">
        <w:rPr>
          <w:rFonts w:ascii="Arial" w:hAnsi="Arial"/>
          <w:sz w:val="22"/>
        </w:rPr>
        <w:t>).</w:t>
      </w:r>
    </w:p>
    <w:bookmarkEnd w:id="3"/>
    <w:p w14:paraId="41D42FB0" w14:textId="37E2D8EB" w:rsidR="00836671" w:rsidRPr="006B4730" w:rsidRDefault="00836671" w:rsidP="006E7460">
      <w:pPr>
        <w:pStyle w:val="BayerBodyTextFull"/>
        <w:rPr>
          <w:rFonts w:ascii="Arial" w:hAnsi="Arial"/>
          <w:sz w:val="22"/>
          <w:u w:val="single"/>
        </w:rPr>
      </w:pPr>
      <w:r w:rsidRPr="006B4730">
        <w:rPr>
          <w:rFonts w:ascii="Arial" w:hAnsi="Arial"/>
          <w:sz w:val="22"/>
          <w:u w:val="single"/>
        </w:rPr>
        <w:t>Continuation of K</w:t>
      </w:r>
      <w:r w:rsidR="00D2454B" w:rsidRPr="006B4730">
        <w:rPr>
          <w:rFonts w:ascii="Arial" w:hAnsi="Arial"/>
          <w:sz w:val="22"/>
          <w:u w:val="single"/>
        </w:rPr>
        <w:t>ERENDIA</w:t>
      </w:r>
      <w:r w:rsidRPr="006B4730">
        <w:rPr>
          <w:rFonts w:ascii="Arial" w:hAnsi="Arial"/>
          <w:sz w:val="22"/>
          <w:u w:val="single"/>
        </w:rPr>
        <w:t xml:space="preserve"> treatment </w:t>
      </w:r>
    </w:p>
    <w:p w14:paraId="04363B3F" w14:textId="49194968" w:rsidR="00836671" w:rsidRPr="006B4730" w:rsidRDefault="00836671" w:rsidP="006E7460">
      <w:pPr>
        <w:pStyle w:val="BayerBodyTextFull"/>
        <w:rPr>
          <w:rFonts w:ascii="Arial" w:hAnsi="Arial"/>
          <w:sz w:val="22"/>
        </w:rPr>
      </w:pPr>
      <w:r w:rsidRPr="006B4730">
        <w:rPr>
          <w:rFonts w:ascii="Arial" w:hAnsi="Arial"/>
          <w:sz w:val="22"/>
        </w:rPr>
        <w:t>In patients with mild, moderate or severe renal impairment, continue K</w:t>
      </w:r>
      <w:r w:rsidR="00D2454B" w:rsidRPr="006B4730">
        <w:rPr>
          <w:rFonts w:ascii="Arial" w:hAnsi="Arial"/>
          <w:sz w:val="22"/>
        </w:rPr>
        <w:t>ERENDIA</w:t>
      </w:r>
      <w:r w:rsidRPr="006B4730">
        <w:rPr>
          <w:rFonts w:ascii="Arial" w:hAnsi="Arial"/>
          <w:sz w:val="22"/>
        </w:rPr>
        <w:t xml:space="preserve"> treatment and adjust dose based on serum potassium. Measure eGFR 4 weeks after initiation to determine up-titration. See Table 1 and section ‘Continuation of treatment.’</w:t>
      </w:r>
    </w:p>
    <w:p w14:paraId="06AAD5FF" w14:textId="1070649A" w:rsidR="0070021E" w:rsidRPr="006B4730" w:rsidRDefault="00836671" w:rsidP="006E7460">
      <w:pPr>
        <w:pStyle w:val="InstructionalText"/>
        <w:jc w:val="left"/>
        <w:rPr>
          <w:i w:val="0"/>
          <w:color w:val="auto"/>
        </w:rPr>
      </w:pPr>
      <w:r w:rsidRPr="006B4730">
        <w:rPr>
          <w:i w:val="0"/>
          <w:color w:val="auto"/>
        </w:rPr>
        <w:t>In patients with end-stage renal disease (eGFR &lt; 15 mL/min/1.73m</w:t>
      </w:r>
      <w:r w:rsidRPr="006B4730">
        <w:rPr>
          <w:i w:val="0"/>
          <w:color w:val="auto"/>
          <w:vertAlign w:val="superscript"/>
        </w:rPr>
        <w:t>2</w:t>
      </w:r>
      <w:r w:rsidRPr="006B4730">
        <w:rPr>
          <w:i w:val="0"/>
          <w:color w:val="auto"/>
        </w:rPr>
        <w:t>), continue K</w:t>
      </w:r>
      <w:r w:rsidR="00D2454B" w:rsidRPr="006B4730">
        <w:rPr>
          <w:i w:val="0"/>
          <w:color w:val="auto"/>
        </w:rPr>
        <w:t>ERENDIA</w:t>
      </w:r>
      <w:r w:rsidRPr="006B4730">
        <w:rPr>
          <w:i w:val="0"/>
          <w:color w:val="auto"/>
        </w:rPr>
        <w:t xml:space="preserve"> treatment with caution regarding serum potassium levels as clinical experience is limited (see </w:t>
      </w:r>
      <w:r w:rsidR="001D7B00">
        <w:rPr>
          <w:i w:val="0"/>
          <w:color w:val="auto"/>
        </w:rPr>
        <w:t>S</w:t>
      </w:r>
      <w:r w:rsidRPr="006B4730">
        <w:rPr>
          <w:i w:val="0"/>
          <w:color w:val="auto"/>
        </w:rPr>
        <w:t xml:space="preserve">ection </w:t>
      </w:r>
      <w:r w:rsidR="00DF4B82" w:rsidRPr="00DF4B82">
        <w:rPr>
          <w:i w:val="0"/>
          <w:iCs/>
          <w:color w:val="auto"/>
          <w:szCs w:val="20"/>
        </w:rPr>
        <w:fldChar w:fldCharType="begin"/>
      </w:r>
      <w:r w:rsidR="00DF4B82" w:rsidRPr="00DF4B82">
        <w:rPr>
          <w:i w:val="0"/>
          <w:iCs/>
          <w:color w:val="auto"/>
          <w:szCs w:val="20"/>
        </w:rPr>
        <w:instrText xml:space="preserve"> REF  _Ref79419895 \* Upper \h  \* MERGEFORMAT </w:instrText>
      </w:r>
      <w:r w:rsidR="00DF4B82" w:rsidRPr="00DF4B82">
        <w:rPr>
          <w:i w:val="0"/>
          <w:iCs/>
          <w:color w:val="auto"/>
          <w:szCs w:val="20"/>
        </w:rPr>
      </w:r>
      <w:r w:rsidR="00DF4B82" w:rsidRPr="00DF4B82">
        <w:rPr>
          <w:i w:val="0"/>
          <w:iCs/>
          <w:color w:val="auto"/>
          <w:szCs w:val="20"/>
        </w:rPr>
        <w:fldChar w:fldCharType="separate"/>
      </w:r>
      <w:r w:rsidR="00DF4B82" w:rsidRPr="00DF4B82">
        <w:rPr>
          <w:i w:val="0"/>
          <w:iCs/>
          <w:color w:val="auto"/>
        </w:rPr>
        <w:t>4.4 SPECIAL WARNINGS AND PRECAUTIONS FOR USE</w:t>
      </w:r>
      <w:r w:rsidR="00DF4B82" w:rsidRPr="00DF4B82">
        <w:rPr>
          <w:i w:val="0"/>
          <w:iCs/>
          <w:color w:val="auto"/>
          <w:szCs w:val="20"/>
        </w:rPr>
        <w:fldChar w:fldCharType="end"/>
      </w:r>
      <w:r w:rsidRPr="006B4730">
        <w:rPr>
          <w:i w:val="0"/>
          <w:color w:val="auto"/>
        </w:rPr>
        <w:t>)</w:t>
      </w:r>
      <w:r w:rsidR="00E324DA">
        <w:rPr>
          <w:i w:val="0"/>
          <w:color w:val="auto"/>
        </w:rPr>
        <w:t>.</w:t>
      </w:r>
    </w:p>
    <w:p w14:paraId="64F3171B" w14:textId="77777777" w:rsidR="00CB7C4B" w:rsidRPr="006B4730" w:rsidRDefault="00CB7C4B" w:rsidP="006E7460">
      <w:pPr>
        <w:pStyle w:val="InstructionalText"/>
        <w:jc w:val="left"/>
        <w:rPr>
          <w:i w:val="0"/>
          <w:color w:val="auto"/>
        </w:rPr>
      </w:pPr>
    </w:p>
    <w:p w14:paraId="423B4593" w14:textId="77777777" w:rsidR="00CB7C4B" w:rsidRPr="006B4730" w:rsidRDefault="00CB7C4B" w:rsidP="006E7460">
      <w:pPr>
        <w:pStyle w:val="Heading3"/>
        <w:jc w:val="left"/>
      </w:pPr>
      <w:r w:rsidRPr="006B4730">
        <w:t>Patients taking concomitant medications</w:t>
      </w:r>
    </w:p>
    <w:p w14:paraId="76E8EA5F" w14:textId="34C4C25C" w:rsidR="00CB7C4B" w:rsidRPr="006B4730" w:rsidRDefault="00CB7C4B" w:rsidP="006E7460">
      <w:pPr>
        <w:jc w:val="left"/>
      </w:pPr>
      <w:r w:rsidRPr="006B4730">
        <w:t>In patients taking Kerendia concomitantly with moderate or weak CYP3A4 inhibitors, potassium supplements, trimethoprim, or trimethoprim-sulfamethoxazole, consider additional serum potassium monitoring and adapt monitoring according to patient characteristics, and make Kerendia treatment decisions as directed in Table 1. Temporary discontinuation of Kerendia when taking trimethoprim, or trimethoprim-sulfamethoxazole, may be necessary (</w:t>
      </w:r>
      <w:r w:rsidR="00E324DA">
        <w:t>s</w:t>
      </w:r>
      <w:r w:rsidRPr="006B4730">
        <w:t xml:space="preserve">ee </w:t>
      </w:r>
      <w:r w:rsidR="00F0724F">
        <w:t>S</w:t>
      </w:r>
      <w:r w:rsidRPr="006B4730">
        <w:t xml:space="preserve">ection </w:t>
      </w:r>
      <w:r w:rsidR="00DF4B82">
        <w:fldChar w:fldCharType="begin"/>
      </w:r>
      <w:r w:rsidR="00DF4B82">
        <w:instrText xml:space="preserve"> REF  _Ref79419895 \* Upper \h </w:instrText>
      </w:r>
      <w:r w:rsidR="006E7460">
        <w:instrText xml:space="preserve"> \* MERGEFORMAT </w:instrText>
      </w:r>
      <w:r w:rsidR="00DF4B82">
        <w:fldChar w:fldCharType="separate"/>
      </w:r>
      <w:r w:rsidR="00DF4B82" w:rsidRPr="006B4730">
        <w:t>4.4 SPECIAL WARNINGS AND PRECAUTIONS FOR USE</w:t>
      </w:r>
      <w:r w:rsidR="00DF4B82">
        <w:fldChar w:fldCharType="end"/>
      </w:r>
      <w:r w:rsidRPr="006B4730">
        <w:t xml:space="preserve"> and </w:t>
      </w:r>
      <w:r w:rsidR="00F0724F">
        <w:t>S</w:t>
      </w:r>
      <w:r w:rsidRPr="006B4730">
        <w:t xml:space="preserve">ection </w:t>
      </w:r>
      <w:r w:rsidR="00DF4B82">
        <w:fldChar w:fldCharType="begin"/>
      </w:r>
      <w:r w:rsidR="00DF4B82">
        <w:instrText xml:space="preserve"> REF  _Ref88419502 \* Upper \h </w:instrText>
      </w:r>
      <w:r w:rsidR="006E7460">
        <w:instrText xml:space="preserve"> \* MERGEFORMAT </w:instrText>
      </w:r>
      <w:r w:rsidR="00DF4B82">
        <w:fldChar w:fldCharType="separate"/>
      </w:r>
      <w:r w:rsidR="00DF4B82" w:rsidRPr="006B4730">
        <w:t>4.5 INTERACTIONS WITH OTHER MEDICINES AND OTHER FORMS OF INTERACTIONS</w:t>
      </w:r>
      <w:r w:rsidR="00DF4B82">
        <w:fldChar w:fldCharType="end"/>
      </w:r>
      <w:r w:rsidRPr="006B4730">
        <w:t>)</w:t>
      </w:r>
      <w:r w:rsidR="00E324DA">
        <w:t>.</w:t>
      </w:r>
    </w:p>
    <w:p w14:paraId="43522AA8" w14:textId="77777777" w:rsidR="00CB7C4B" w:rsidRPr="006B4730" w:rsidRDefault="00CB7C4B" w:rsidP="006E7460">
      <w:pPr>
        <w:pStyle w:val="InstructionalText"/>
        <w:jc w:val="left"/>
      </w:pPr>
    </w:p>
    <w:p w14:paraId="1F3F130D" w14:textId="62E05ED1" w:rsidR="0070021E" w:rsidRPr="006B4730" w:rsidRDefault="0070021E" w:rsidP="006E7460">
      <w:pPr>
        <w:pStyle w:val="Heading3"/>
        <w:jc w:val="left"/>
      </w:pPr>
      <w:r w:rsidRPr="006B4730">
        <w:lastRenderedPageBreak/>
        <w:t>Elderly patients</w:t>
      </w:r>
    </w:p>
    <w:p w14:paraId="54A26731" w14:textId="3574AF7C" w:rsidR="0070021E" w:rsidRPr="006B4730" w:rsidRDefault="001A435B" w:rsidP="006E7460">
      <w:pPr>
        <w:jc w:val="left"/>
      </w:pPr>
      <w:r w:rsidRPr="006B4730">
        <w:t xml:space="preserve">No dose adjustment is required in the elderly (see </w:t>
      </w:r>
      <w:r w:rsidR="00B15C94">
        <w:t>S</w:t>
      </w:r>
      <w:r w:rsidRPr="006B4730">
        <w:t>ection</w:t>
      </w:r>
      <w:r w:rsidR="00D2454B" w:rsidRPr="006B4730">
        <w:t xml:space="preserve"> </w:t>
      </w:r>
      <w:r w:rsidR="00DF4B82">
        <w:fldChar w:fldCharType="begin"/>
      </w:r>
      <w:r w:rsidR="00DF4B82">
        <w:instrText xml:space="preserve"> REF  _Ref88419060 \* Upper \h  \* MERGEFORMAT </w:instrText>
      </w:r>
      <w:r w:rsidR="00DF4B82">
        <w:fldChar w:fldCharType="separate"/>
      </w:r>
      <w:r w:rsidR="00DF4B82" w:rsidRPr="006B4730">
        <w:t>5.2 PHARMACOKINETIC PROPERTIES</w:t>
      </w:r>
      <w:r w:rsidR="00DF4B82">
        <w:fldChar w:fldCharType="end"/>
      </w:r>
      <w:r w:rsidR="0005366B" w:rsidRPr="006B4730">
        <w:t>)</w:t>
      </w:r>
      <w:r w:rsidRPr="006B4730">
        <w:t xml:space="preserve">. </w:t>
      </w:r>
    </w:p>
    <w:p w14:paraId="687FE63E" w14:textId="77777777" w:rsidR="0070021E" w:rsidRPr="006B4730" w:rsidRDefault="0070021E" w:rsidP="006E7460">
      <w:pPr>
        <w:pStyle w:val="InstructionalText"/>
        <w:jc w:val="left"/>
      </w:pPr>
    </w:p>
    <w:p w14:paraId="4EF9F8CF" w14:textId="38C2D0AE" w:rsidR="00B1775A" w:rsidRPr="006B4730" w:rsidRDefault="008E41E1" w:rsidP="006E7460">
      <w:pPr>
        <w:pStyle w:val="Heading1"/>
        <w:numPr>
          <w:ilvl w:val="0"/>
          <w:numId w:val="0"/>
        </w:numPr>
        <w:ind w:left="432" w:hanging="432"/>
        <w:jc w:val="left"/>
      </w:pPr>
      <w:bookmarkStart w:id="4" w:name="_Ref88420316"/>
      <w:r w:rsidRPr="006B4730">
        <w:t xml:space="preserve">4.3 </w:t>
      </w:r>
      <w:r w:rsidR="001A3992" w:rsidRPr="006B4730">
        <w:t>Contraindications</w:t>
      </w:r>
      <w:bookmarkEnd w:id="4"/>
    </w:p>
    <w:p w14:paraId="0F372214" w14:textId="77777777" w:rsidR="0019018A" w:rsidRPr="006B4730" w:rsidRDefault="0019018A" w:rsidP="006E7460">
      <w:pPr>
        <w:jc w:val="left"/>
      </w:pPr>
      <w:r w:rsidRPr="006B4730">
        <w:t>Finerenone is contraindicated in patients:</w:t>
      </w:r>
    </w:p>
    <w:p w14:paraId="61421AB5" w14:textId="46DE9288" w:rsidR="007C736E" w:rsidRPr="006B4730" w:rsidRDefault="003B30FB" w:rsidP="006E7460">
      <w:pPr>
        <w:pStyle w:val="ListParagraph"/>
        <w:numPr>
          <w:ilvl w:val="0"/>
          <w:numId w:val="34"/>
        </w:numPr>
      </w:pPr>
      <w:r w:rsidRPr="006B4730">
        <w:t xml:space="preserve">taking concomitant medications that are strong CYP3A4 inhibitors (e.g., itraconazole, ketoconazole, ritonavir, nelfinavir, cobicistat, clarithromycin, telithromycin and nefazodone) (see </w:t>
      </w:r>
      <w:r w:rsidR="00B15C94">
        <w:t>Section</w:t>
      </w:r>
      <w:r w:rsidRPr="006B4730">
        <w:t xml:space="preserve"> ‘Interaction with other medicinal products and other forms of interaction’).</w:t>
      </w:r>
    </w:p>
    <w:p w14:paraId="40077B2E" w14:textId="3F8BABD5" w:rsidR="007C736E" w:rsidRPr="006B4730" w:rsidRDefault="007C736E" w:rsidP="006E7460">
      <w:pPr>
        <w:pStyle w:val="ListParagraph"/>
        <w:numPr>
          <w:ilvl w:val="0"/>
          <w:numId w:val="34"/>
        </w:numPr>
      </w:pPr>
      <w:r w:rsidRPr="006B4730">
        <w:t xml:space="preserve">with </w:t>
      </w:r>
      <w:r w:rsidR="0000128F">
        <w:t>a</w:t>
      </w:r>
      <w:r w:rsidR="0000128F" w:rsidRPr="0000128F">
        <w:t xml:space="preserve">drenal </w:t>
      </w:r>
      <w:bookmarkStart w:id="5" w:name="_Hlk86934789"/>
      <w:r w:rsidR="0000128F" w:rsidRPr="0000128F">
        <w:t>insufficiency</w:t>
      </w:r>
      <w:bookmarkEnd w:id="5"/>
      <w:r w:rsidRPr="006B4730">
        <w:t>.</w:t>
      </w:r>
    </w:p>
    <w:p w14:paraId="1621C3CA" w14:textId="6FD03C6A" w:rsidR="00B1775A" w:rsidRPr="006B4730" w:rsidRDefault="008E41E1" w:rsidP="006E7460">
      <w:pPr>
        <w:pStyle w:val="Heading1"/>
        <w:numPr>
          <w:ilvl w:val="0"/>
          <w:numId w:val="0"/>
        </w:numPr>
        <w:ind w:left="432" w:hanging="432"/>
        <w:jc w:val="left"/>
      </w:pPr>
      <w:bookmarkStart w:id="6" w:name="_Ref79419895"/>
      <w:r w:rsidRPr="006B4730">
        <w:t xml:space="preserve">4.4 </w:t>
      </w:r>
      <w:r w:rsidR="00E74A56" w:rsidRPr="006B4730">
        <w:t>Special warnings and p</w:t>
      </w:r>
      <w:r w:rsidR="001A3992" w:rsidRPr="006B4730">
        <w:t xml:space="preserve">recautions </w:t>
      </w:r>
      <w:r w:rsidR="00E74A56" w:rsidRPr="006B4730">
        <w:t>for use</w:t>
      </w:r>
      <w:bookmarkEnd w:id="6"/>
    </w:p>
    <w:p w14:paraId="71AD6C49" w14:textId="4786A489" w:rsidR="003B30FB" w:rsidRPr="006B4730" w:rsidRDefault="007653A7" w:rsidP="006E7460">
      <w:pPr>
        <w:pStyle w:val="Heading3"/>
        <w:jc w:val="left"/>
      </w:pPr>
      <w:r w:rsidRPr="006B4730">
        <w:t>Hyperkalaemia</w:t>
      </w:r>
    </w:p>
    <w:p w14:paraId="522B6AA2" w14:textId="44C5F4D0" w:rsidR="003B30FB" w:rsidRPr="006B4730" w:rsidRDefault="009335D8" w:rsidP="006E7460">
      <w:pPr>
        <w:jc w:val="left"/>
      </w:pPr>
      <w:r w:rsidRPr="006B4730">
        <w:t>Hyperkalaemia</w:t>
      </w:r>
      <w:r w:rsidR="003B30FB" w:rsidRPr="006B4730">
        <w:t xml:space="preserve"> has been observed in patients treated with K</w:t>
      </w:r>
      <w:r w:rsidR="00330327" w:rsidRPr="006B4730">
        <w:t>ERENDIA</w:t>
      </w:r>
      <w:r w:rsidR="003B30FB" w:rsidRPr="006B4730">
        <w:t xml:space="preserve">. </w:t>
      </w:r>
    </w:p>
    <w:p w14:paraId="66A6A40A" w14:textId="0B5C0AE5" w:rsidR="003B30FB" w:rsidRPr="006B4730" w:rsidRDefault="003B30FB" w:rsidP="006E7460">
      <w:pPr>
        <w:jc w:val="left"/>
      </w:pPr>
      <w:r w:rsidRPr="006B4730">
        <w:t xml:space="preserve">Some patients are at a higher risk to develop </w:t>
      </w:r>
      <w:r w:rsidR="009335D8" w:rsidRPr="006B4730">
        <w:t>hyperkalaemia</w:t>
      </w:r>
      <w:r w:rsidRPr="006B4730">
        <w:t xml:space="preserve">. Risk factors include low eGFR, higher serum potassium and previous episodes of </w:t>
      </w:r>
      <w:r w:rsidR="009335D8" w:rsidRPr="006B4730">
        <w:t>hyperkalaemia</w:t>
      </w:r>
      <w:r w:rsidRPr="006B4730">
        <w:t xml:space="preserve">. Consider more frequent monitoring in these patients. </w:t>
      </w:r>
    </w:p>
    <w:p w14:paraId="0CF06710" w14:textId="77777777" w:rsidR="00330327" w:rsidRPr="006B4730" w:rsidRDefault="003B30FB" w:rsidP="006E7460">
      <w:pPr>
        <w:jc w:val="left"/>
      </w:pPr>
      <w:r w:rsidRPr="006B4730">
        <w:t>Initiation of K</w:t>
      </w:r>
      <w:r w:rsidR="00330327" w:rsidRPr="006B4730">
        <w:t>ERENDIA</w:t>
      </w:r>
      <w:r w:rsidRPr="006B4730">
        <w:t xml:space="preserve"> treatment is not recommended if serum potassium &gt; 5.0 mmol/L. </w:t>
      </w:r>
    </w:p>
    <w:p w14:paraId="21EFEFA6" w14:textId="5B3D3720" w:rsidR="003B30FB" w:rsidRPr="006B4730" w:rsidRDefault="003B30FB" w:rsidP="006E7460">
      <w:pPr>
        <w:jc w:val="left"/>
      </w:pPr>
      <w:r w:rsidRPr="006B4730">
        <w:t>If serum potassium &gt; 4.8 to 5.0 mmol/L, initiation of K</w:t>
      </w:r>
      <w:r w:rsidR="00330327" w:rsidRPr="006B4730">
        <w:t>ERENDIA</w:t>
      </w:r>
      <w:r w:rsidRPr="006B4730">
        <w:t xml:space="preserve"> treatment may be considered with additional serum potassium monitoring within the first 4 weeks based on patient characteristics and serum potassium levels (</w:t>
      </w:r>
      <w:r w:rsidR="00E324DA">
        <w:t>s</w:t>
      </w:r>
      <w:r w:rsidRPr="006B4730">
        <w:t xml:space="preserve">ee </w:t>
      </w:r>
      <w:r w:rsidR="00B15C94">
        <w:t>Section</w:t>
      </w:r>
      <w:r w:rsidRPr="006B4730">
        <w:t xml:space="preserve"> </w:t>
      </w:r>
      <w:r w:rsidR="00D44ABF">
        <w:fldChar w:fldCharType="begin"/>
      </w:r>
      <w:r w:rsidR="00D44ABF">
        <w:instrText xml:space="preserve"> REF _Ref79419993 \h  \* MERGEFORMAT </w:instrText>
      </w:r>
      <w:r w:rsidR="00D44ABF">
        <w:fldChar w:fldCharType="separate"/>
      </w:r>
      <w:r w:rsidR="00D44ABF" w:rsidRPr="006B4730">
        <w:t>4.2 DOSE AND MET</w:t>
      </w:r>
      <w:r w:rsidR="00D44ABF" w:rsidRPr="00286AC4">
        <w:t>HOD OF</w:t>
      </w:r>
      <w:r w:rsidR="00D44ABF" w:rsidRPr="006B4730">
        <w:t xml:space="preserve"> ADMINISTRATION</w:t>
      </w:r>
      <w:r w:rsidR="00D44ABF">
        <w:fldChar w:fldCharType="end"/>
      </w:r>
      <w:r w:rsidRPr="006B4730">
        <w:t>)</w:t>
      </w:r>
      <w:r w:rsidR="00E324DA">
        <w:t>.</w:t>
      </w:r>
    </w:p>
    <w:p w14:paraId="0CC968E2" w14:textId="2CAB7EEE" w:rsidR="003B30FB" w:rsidRPr="006B4730" w:rsidRDefault="003B30FB" w:rsidP="006E7460">
      <w:pPr>
        <w:jc w:val="left"/>
      </w:pPr>
      <w:r w:rsidRPr="006B4730">
        <w:t>Withhold K</w:t>
      </w:r>
      <w:r w:rsidR="00330327" w:rsidRPr="006B4730">
        <w:t>ERENDIA</w:t>
      </w:r>
      <w:r w:rsidRPr="006B4730">
        <w:t xml:space="preserve"> in treated patients if serum potassium &gt; 5.5 mmol/L. Follow local guidelines for the management of </w:t>
      </w:r>
      <w:r w:rsidR="009335D8" w:rsidRPr="006B4730">
        <w:t>hyperkalaemia</w:t>
      </w:r>
      <w:r w:rsidRPr="006B4730">
        <w:t>. Restart K</w:t>
      </w:r>
      <w:r w:rsidR="00330327" w:rsidRPr="006B4730">
        <w:t>ERENDIA</w:t>
      </w:r>
      <w:r w:rsidRPr="006B4730">
        <w:t xml:space="preserve"> at 10 mg once daily if serum potassium ≤ 5.0 mmol/L (</w:t>
      </w:r>
      <w:r w:rsidR="00CA6D3B">
        <w:t>s</w:t>
      </w:r>
      <w:r w:rsidRPr="006B4730">
        <w:t xml:space="preserve">ee </w:t>
      </w:r>
      <w:r w:rsidR="00B15C94">
        <w:t>Section</w:t>
      </w:r>
      <w:r w:rsidRPr="006B4730">
        <w:t xml:space="preserve"> </w:t>
      </w:r>
      <w:r w:rsidR="00CF7581">
        <w:fldChar w:fldCharType="begin"/>
      </w:r>
      <w:r w:rsidR="00CF7581">
        <w:instrText xml:space="preserve"> REF _Ref79419993 \h </w:instrText>
      </w:r>
      <w:r w:rsidR="00286AC4">
        <w:instrText xml:space="preserve"> \* MERGEFORMAT </w:instrText>
      </w:r>
      <w:r w:rsidR="00CF7581">
        <w:fldChar w:fldCharType="separate"/>
      </w:r>
      <w:r w:rsidR="00CF7581" w:rsidRPr="006B4730">
        <w:t>4.2 DOSE AND MET</w:t>
      </w:r>
      <w:r w:rsidR="00CF7581" w:rsidRPr="00286AC4">
        <w:t>HOD OF</w:t>
      </w:r>
      <w:r w:rsidR="00CF7581" w:rsidRPr="006B4730">
        <w:t xml:space="preserve"> ADMINISTRATION</w:t>
      </w:r>
      <w:r w:rsidR="00CF7581">
        <w:fldChar w:fldCharType="end"/>
      </w:r>
      <w:r w:rsidRPr="006B4730">
        <w:t>)</w:t>
      </w:r>
      <w:r w:rsidR="00CA6D3B">
        <w:t>.</w:t>
      </w:r>
    </w:p>
    <w:p w14:paraId="483BC4A8" w14:textId="77777777" w:rsidR="00330327" w:rsidRPr="006B4730" w:rsidRDefault="00330327" w:rsidP="006E7460">
      <w:pPr>
        <w:jc w:val="left"/>
      </w:pPr>
    </w:p>
    <w:p w14:paraId="25C954B5" w14:textId="41A859AA" w:rsidR="003B30FB" w:rsidRPr="006B4730" w:rsidRDefault="003B30FB" w:rsidP="006E7460">
      <w:pPr>
        <w:jc w:val="left"/>
      </w:pPr>
      <w:r w:rsidRPr="006B4730">
        <w:t>Re</w:t>
      </w:r>
      <w:r w:rsidR="00CD4075" w:rsidRPr="006B4730">
        <w:t>-</w:t>
      </w:r>
      <w:r w:rsidRPr="006B4730">
        <w:t xml:space="preserve">measure serum potassium and eGFR in all patients 4 weeks after initiation or re-start or up-titration of </w:t>
      </w:r>
      <w:r w:rsidR="00007B4E" w:rsidRPr="006B4730">
        <w:t>KERENDIA</w:t>
      </w:r>
      <w:r w:rsidRPr="006B4730">
        <w:t xml:space="preserve"> treatment. Thereafter, remeasure serum potassium periodically and as needed based on patient characteristics and serum potassium levels (</w:t>
      </w:r>
      <w:r w:rsidR="00DC2B8D">
        <w:t>s</w:t>
      </w:r>
      <w:r w:rsidRPr="006B4730">
        <w:t xml:space="preserve">ee </w:t>
      </w:r>
      <w:r w:rsidR="00B15C94">
        <w:t>Section</w:t>
      </w:r>
      <w:r w:rsidRPr="006B4730">
        <w:t xml:space="preserve"> </w:t>
      </w:r>
      <w:r w:rsidR="00286AC4">
        <w:fldChar w:fldCharType="begin"/>
      </w:r>
      <w:r w:rsidR="00286AC4">
        <w:instrText xml:space="preserve"> REF _Ref79419993 \h  \* MERGEFORMAT </w:instrText>
      </w:r>
      <w:r w:rsidR="00286AC4">
        <w:fldChar w:fldCharType="separate"/>
      </w:r>
      <w:r w:rsidR="00286AC4" w:rsidRPr="006B4730">
        <w:t>4.2 DOSE AND MET</w:t>
      </w:r>
      <w:r w:rsidR="00286AC4" w:rsidRPr="00286AC4">
        <w:t>HOD OF</w:t>
      </w:r>
      <w:r w:rsidR="00286AC4" w:rsidRPr="006B4730">
        <w:t xml:space="preserve"> ADMINISTRATION</w:t>
      </w:r>
      <w:r w:rsidR="00286AC4">
        <w:fldChar w:fldCharType="end"/>
      </w:r>
      <w:r w:rsidRPr="006B4730">
        <w:t>)</w:t>
      </w:r>
      <w:r w:rsidR="00DC2B8D">
        <w:t>.</w:t>
      </w:r>
    </w:p>
    <w:p w14:paraId="0B848D85" w14:textId="77777777" w:rsidR="003B30FB" w:rsidRPr="006B4730" w:rsidRDefault="003B30FB" w:rsidP="006E7460">
      <w:pPr>
        <w:jc w:val="left"/>
      </w:pPr>
    </w:p>
    <w:p w14:paraId="37C37CD8" w14:textId="77777777" w:rsidR="003B30FB" w:rsidRPr="006B4730" w:rsidRDefault="003B30FB" w:rsidP="006E7460">
      <w:pPr>
        <w:pStyle w:val="Heading3"/>
        <w:jc w:val="left"/>
      </w:pPr>
      <w:r w:rsidRPr="006B4730">
        <w:t xml:space="preserve">Concomitant medications </w:t>
      </w:r>
    </w:p>
    <w:p w14:paraId="6199432F" w14:textId="7B61026F" w:rsidR="003B30FB" w:rsidRPr="006B4730" w:rsidRDefault="003B30FB" w:rsidP="006E7460">
      <w:pPr>
        <w:jc w:val="left"/>
      </w:pPr>
      <w:r w:rsidRPr="006B4730">
        <w:t xml:space="preserve">The risk of </w:t>
      </w:r>
      <w:r w:rsidR="009335D8" w:rsidRPr="006B4730">
        <w:t>hyperkalaemia</w:t>
      </w:r>
      <w:r w:rsidRPr="006B4730">
        <w:t xml:space="preserve"> also may increase with the intake of concomitant medications that may increase serum potassium (see </w:t>
      </w:r>
      <w:r w:rsidR="00B15C94">
        <w:t>Section</w:t>
      </w:r>
      <w:r w:rsidRPr="006B4730">
        <w:t xml:space="preserve"> </w:t>
      </w:r>
      <w:r w:rsidR="00EF2F05">
        <w:fldChar w:fldCharType="begin"/>
      </w:r>
      <w:r w:rsidR="00EF2F05">
        <w:instrText xml:space="preserve"> REF _Ref88419502 \h </w:instrText>
      </w:r>
      <w:r w:rsidR="006E7460">
        <w:instrText xml:space="preserve"> \* MERGEFORMAT </w:instrText>
      </w:r>
      <w:r w:rsidR="00EF2F05">
        <w:fldChar w:fldCharType="separate"/>
      </w:r>
      <w:r w:rsidR="00EF2F05" w:rsidRPr="006B4730">
        <w:t>4.5 INTERACTIONS WITH OTHER MEDICINES AND OTHER FORMS OF INTERACTIONS</w:t>
      </w:r>
      <w:r w:rsidR="00EF2F05">
        <w:fldChar w:fldCharType="end"/>
      </w:r>
      <w:r w:rsidRPr="006B4730">
        <w:t>). See also ‘Concomitant use of substances that affect finerenone exposure.’</w:t>
      </w:r>
    </w:p>
    <w:p w14:paraId="4FB33E4F" w14:textId="1C03559F" w:rsidR="003B30FB" w:rsidRPr="006B4730" w:rsidRDefault="003B30FB" w:rsidP="006E7460">
      <w:pPr>
        <w:jc w:val="left"/>
      </w:pPr>
      <w:r w:rsidRPr="006B4730">
        <w:t>Avoid concomitant use of K</w:t>
      </w:r>
      <w:r w:rsidR="00330327" w:rsidRPr="006B4730">
        <w:t>ERENDIA</w:t>
      </w:r>
      <w:r w:rsidRPr="006B4730">
        <w:t xml:space="preserve"> with the following medications:</w:t>
      </w:r>
    </w:p>
    <w:p w14:paraId="2A6A4D8B" w14:textId="77777777" w:rsidR="003B30FB" w:rsidRPr="006B4730" w:rsidRDefault="003B30FB" w:rsidP="006E7460">
      <w:pPr>
        <w:jc w:val="left"/>
      </w:pPr>
      <w:r w:rsidRPr="006B4730">
        <w:t>•</w:t>
      </w:r>
      <w:r w:rsidRPr="006B4730">
        <w:tab/>
        <w:t>potassium-sparing diuretics (e.g., amiloride, triamterene)</w:t>
      </w:r>
    </w:p>
    <w:p w14:paraId="4B2D961A" w14:textId="334BCEE0" w:rsidR="003B30FB" w:rsidRPr="006B4730" w:rsidRDefault="003B30FB" w:rsidP="006E7460">
      <w:pPr>
        <w:ind w:left="720" w:hanging="720"/>
        <w:jc w:val="left"/>
      </w:pPr>
      <w:r w:rsidRPr="006B4730">
        <w:t>•</w:t>
      </w:r>
      <w:r w:rsidRPr="006B4730">
        <w:tab/>
        <w:t>other mineralocorticoid receptor antagonists (MRAs) (e.g., eplerenone, spironolactone)</w:t>
      </w:r>
      <w:r w:rsidR="00BE3E42" w:rsidRPr="006B4730">
        <w:t xml:space="preserve">. </w:t>
      </w:r>
    </w:p>
    <w:p w14:paraId="0E29D787" w14:textId="77777777" w:rsidR="00330327" w:rsidRPr="006B4730" w:rsidRDefault="00330327" w:rsidP="006E7460">
      <w:pPr>
        <w:jc w:val="left"/>
      </w:pPr>
    </w:p>
    <w:p w14:paraId="2EE43DA9" w14:textId="262AAA34" w:rsidR="003B30FB" w:rsidRPr="006B4730" w:rsidRDefault="003B30FB" w:rsidP="006E7460">
      <w:pPr>
        <w:jc w:val="left"/>
      </w:pPr>
      <w:r w:rsidRPr="006B4730">
        <w:t>Use K</w:t>
      </w:r>
      <w:r w:rsidR="00330327" w:rsidRPr="006B4730">
        <w:t>ERENDIA</w:t>
      </w:r>
      <w:r w:rsidRPr="006B4730">
        <w:t xml:space="preserve"> with caution and monitor serum potassium when taken concomitantly with the following medications:</w:t>
      </w:r>
    </w:p>
    <w:p w14:paraId="051E4A8C" w14:textId="77777777" w:rsidR="003B30FB" w:rsidRPr="006B4730" w:rsidRDefault="003B30FB" w:rsidP="006E7460">
      <w:pPr>
        <w:jc w:val="left"/>
      </w:pPr>
      <w:r w:rsidRPr="006B4730">
        <w:t>•</w:t>
      </w:r>
      <w:r w:rsidRPr="006B4730">
        <w:tab/>
        <w:t xml:space="preserve">potassium supplements </w:t>
      </w:r>
    </w:p>
    <w:p w14:paraId="26F30700" w14:textId="28BA5595" w:rsidR="001A3992" w:rsidRPr="006B4730" w:rsidRDefault="003B30FB" w:rsidP="006E7460">
      <w:pPr>
        <w:jc w:val="left"/>
      </w:pPr>
      <w:r w:rsidRPr="006B4730">
        <w:t>•</w:t>
      </w:r>
      <w:r w:rsidRPr="006B4730">
        <w:tab/>
        <w:t>trimethoprim, or trimethoprim-sulfamethoxazole. Temporary discontinuation of K</w:t>
      </w:r>
      <w:r w:rsidR="00330327" w:rsidRPr="006B4730">
        <w:t>ERENDIA</w:t>
      </w:r>
      <w:r w:rsidRPr="006B4730">
        <w:t xml:space="preserve"> may</w:t>
      </w:r>
      <w:r w:rsidR="00330327" w:rsidRPr="006B4730">
        <w:t xml:space="preserve"> </w:t>
      </w:r>
      <w:r w:rsidRPr="006B4730">
        <w:t>be necessary.</w:t>
      </w:r>
    </w:p>
    <w:p w14:paraId="0F71F665" w14:textId="77777777" w:rsidR="00702082" w:rsidRPr="006B4730" w:rsidRDefault="00702082" w:rsidP="006E7460">
      <w:pPr>
        <w:jc w:val="left"/>
      </w:pPr>
    </w:p>
    <w:p w14:paraId="35DF990E" w14:textId="3BE8B0B4" w:rsidR="001A3992" w:rsidRPr="006B4730" w:rsidRDefault="001A3992" w:rsidP="006E7460">
      <w:pPr>
        <w:pStyle w:val="Heading3"/>
        <w:jc w:val="left"/>
      </w:pPr>
      <w:r w:rsidRPr="006B4730">
        <w:lastRenderedPageBreak/>
        <w:t xml:space="preserve">Use in </w:t>
      </w:r>
      <w:r w:rsidR="00B610A7" w:rsidRPr="006B4730">
        <w:t>H</w:t>
      </w:r>
      <w:r w:rsidRPr="006B4730">
        <w:t xml:space="preserve">epatic </w:t>
      </w:r>
      <w:r w:rsidR="00B610A7" w:rsidRPr="006B4730">
        <w:t>I</w:t>
      </w:r>
      <w:r w:rsidRPr="006B4730">
        <w:t>mpairment</w:t>
      </w:r>
    </w:p>
    <w:p w14:paraId="08D9DDEA" w14:textId="53A7534F" w:rsidR="003B30FB" w:rsidRPr="006B4730" w:rsidRDefault="003B30FB" w:rsidP="006E7460">
      <w:pPr>
        <w:jc w:val="left"/>
      </w:pPr>
      <w:r w:rsidRPr="006B4730">
        <w:t xml:space="preserve">Patients with severe hepatic impairment (Child Pugh C) have not been studied (see </w:t>
      </w:r>
      <w:r w:rsidR="00B15C94">
        <w:t>Section</w:t>
      </w:r>
      <w:r w:rsidR="007A6A4F" w:rsidRPr="006B4730">
        <w:t xml:space="preserve"> </w:t>
      </w:r>
      <w:r w:rsidR="00956D68">
        <w:fldChar w:fldCharType="begin"/>
      </w:r>
      <w:r w:rsidR="00956D68">
        <w:instrText xml:space="preserve"> REF _Ref88419060 \h </w:instrText>
      </w:r>
      <w:r w:rsidR="006E7460">
        <w:instrText xml:space="preserve"> \* MERGEFORMAT </w:instrText>
      </w:r>
      <w:r w:rsidR="00956D68">
        <w:fldChar w:fldCharType="separate"/>
      </w:r>
      <w:r w:rsidR="00956D68" w:rsidRPr="006B4730">
        <w:t>5.2 PHARMACOKINETIC PROPERTIES</w:t>
      </w:r>
      <w:r w:rsidR="00956D68">
        <w:fldChar w:fldCharType="end"/>
      </w:r>
      <w:r w:rsidRPr="006B4730">
        <w:t xml:space="preserve">). Due to an expected significant increase in finerenone exposure, avoid use of </w:t>
      </w:r>
      <w:r w:rsidR="00007B4E" w:rsidRPr="006B4730">
        <w:t>KERENDIA</w:t>
      </w:r>
      <w:r w:rsidRPr="006B4730">
        <w:t xml:space="preserve"> in patients with severe hepatic impairment (see </w:t>
      </w:r>
      <w:r w:rsidR="00B15C94">
        <w:t>Section</w:t>
      </w:r>
      <w:r w:rsidRPr="006B4730">
        <w:t xml:space="preserve"> </w:t>
      </w:r>
      <w:r w:rsidR="00141D08">
        <w:fldChar w:fldCharType="begin"/>
      </w:r>
      <w:r w:rsidR="00141D08">
        <w:instrText xml:space="preserve"> REF _Ref79419993 \h  \* MERGEFORMAT </w:instrText>
      </w:r>
      <w:r w:rsidR="00141D08">
        <w:fldChar w:fldCharType="separate"/>
      </w:r>
      <w:r w:rsidR="00141D08" w:rsidRPr="006B4730">
        <w:t>4.2 DOSE AND MET</w:t>
      </w:r>
      <w:r w:rsidR="00141D08" w:rsidRPr="00286AC4">
        <w:t>HOD OF</w:t>
      </w:r>
      <w:r w:rsidR="00141D08" w:rsidRPr="006B4730">
        <w:t xml:space="preserve"> ADMINISTRATION</w:t>
      </w:r>
      <w:r w:rsidR="00141D08">
        <w:fldChar w:fldCharType="end"/>
      </w:r>
      <w:r w:rsidRPr="006B4730">
        <w:t>).</w:t>
      </w:r>
    </w:p>
    <w:p w14:paraId="2A68F4F3" w14:textId="5533E89F" w:rsidR="007C736E" w:rsidRPr="006B4730" w:rsidRDefault="003B30FB" w:rsidP="006E7460">
      <w:pPr>
        <w:jc w:val="left"/>
      </w:pPr>
      <w:r w:rsidRPr="006B4730">
        <w:t xml:space="preserve">Due to an increase in finerenone exposure, consider additional serum potassium monitoring and adapt monitoring according to patient characteristics in patients with moderate hepatic impairment (Child Pugh B) (see </w:t>
      </w:r>
      <w:r w:rsidR="00B15C94">
        <w:t>Section</w:t>
      </w:r>
      <w:r w:rsidRPr="006B4730">
        <w:t xml:space="preserve"> </w:t>
      </w:r>
      <w:r w:rsidR="00DC1C91">
        <w:fldChar w:fldCharType="begin"/>
      </w:r>
      <w:r w:rsidR="00DC1C91">
        <w:instrText xml:space="preserve"> REF _Ref79419993 \h  \* MERGEFORMAT </w:instrText>
      </w:r>
      <w:r w:rsidR="00DC1C91">
        <w:fldChar w:fldCharType="separate"/>
      </w:r>
      <w:r w:rsidR="00DC1C91" w:rsidRPr="006B4730">
        <w:t>4.2 DOSE AND MET</w:t>
      </w:r>
      <w:r w:rsidR="00DC1C91" w:rsidRPr="00286AC4">
        <w:t>HOD OF</w:t>
      </w:r>
      <w:r w:rsidR="00DC1C91" w:rsidRPr="006B4730">
        <w:t xml:space="preserve"> ADMINISTRATION</w:t>
      </w:r>
      <w:r w:rsidR="00DC1C91">
        <w:fldChar w:fldCharType="end"/>
      </w:r>
      <w:r w:rsidRPr="006B4730">
        <w:t xml:space="preserve"> and </w:t>
      </w:r>
      <w:r w:rsidR="00B15C94">
        <w:t>Section</w:t>
      </w:r>
      <w:r w:rsidR="00DC1C91">
        <w:t xml:space="preserve"> </w:t>
      </w:r>
      <w:r w:rsidR="00DC1C91">
        <w:fldChar w:fldCharType="begin"/>
      </w:r>
      <w:r w:rsidR="00DC1C91">
        <w:instrText xml:space="preserve"> REF _Ref88419060 \h </w:instrText>
      </w:r>
      <w:r w:rsidR="006E7460">
        <w:instrText xml:space="preserve"> \* MERGEFORMAT </w:instrText>
      </w:r>
      <w:r w:rsidR="00DC1C91">
        <w:fldChar w:fldCharType="separate"/>
      </w:r>
      <w:r w:rsidR="00DC1C91" w:rsidRPr="006B4730">
        <w:t>5.2 PHARMACOKINETIC PROPERTIES</w:t>
      </w:r>
      <w:r w:rsidR="00DC1C91">
        <w:fldChar w:fldCharType="end"/>
      </w:r>
      <w:r w:rsidRPr="006B4730">
        <w:t xml:space="preserve">). </w:t>
      </w:r>
    </w:p>
    <w:p w14:paraId="4E650605" w14:textId="1789C67A" w:rsidR="001A3992" w:rsidRPr="006B4730" w:rsidRDefault="001A3992" w:rsidP="006E7460">
      <w:pPr>
        <w:pStyle w:val="Heading3"/>
        <w:jc w:val="left"/>
      </w:pPr>
      <w:r w:rsidRPr="006B4730">
        <w:t xml:space="preserve">Use in </w:t>
      </w:r>
      <w:r w:rsidR="00B610A7" w:rsidRPr="006B4730">
        <w:t>R</w:t>
      </w:r>
      <w:r w:rsidRPr="006B4730">
        <w:t xml:space="preserve">enal </w:t>
      </w:r>
      <w:r w:rsidR="00B610A7" w:rsidRPr="006B4730">
        <w:t>I</w:t>
      </w:r>
      <w:r w:rsidRPr="006B4730">
        <w:t xml:space="preserve">mpairment </w:t>
      </w:r>
    </w:p>
    <w:p w14:paraId="26671AA7" w14:textId="40CD9421" w:rsidR="003B30FB" w:rsidRPr="006B4730" w:rsidRDefault="003B30FB" w:rsidP="006E7460">
      <w:pPr>
        <w:jc w:val="left"/>
      </w:pPr>
      <w:r w:rsidRPr="006B4730">
        <w:t xml:space="preserve">The risk of </w:t>
      </w:r>
      <w:r w:rsidR="009335D8" w:rsidRPr="006B4730">
        <w:t>hyperkalaemia</w:t>
      </w:r>
      <w:r w:rsidRPr="006B4730">
        <w:t xml:space="preserve"> increases with decreasing renal function. Ongoing monitoring of renal function should be performed as needed according to standard practice (see </w:t>
      </w:r>
      <w:r w:rsidR="00B15C94">
        <w:t>Section</w:t>
      </w:r>
      <w:r w:rsidRPr="006B4730">
        <w:t xml:space="preserve"> </w:t>
      </w:r>
      <w:r w:rsidR="001A53D2">
        <w:fldChar w:fldCharType="begin"/>
      </w:r>
      <w:r w:rsidR="001A53D2">
        <w:instrText xml:space="preserve"> REF _Ref79419993 \h  \* MERGEFORMAT </w:instrText>
      </w:r>
      <w:r w:rsidR="001A53D2">
        <w:fldChar w:fldCharType="separate"/>
      </w:r>
      <w:r w:rsidR="001A53D2" w:rsidRPr="006B4730">
        <w:t>4.2 DOSE AND MET</w:t>
      </w:r>
      <w:r w:rsidR="001A53D2" w:rsidRPr="00286AC4">
        <w:t>HOD OF</w:t>
      </w:r>
      <w:r w:rsidR="001A53D2" w:rsidRPr="006B4730">
        <w:t xml:space="preserve"> ADMINISTRATION</w:t>
      </w:r>
      <w:r w:rsidR="001A53D2">
        <w:fldChar w:fldCharType="end"/>
      </w:r>
      <w:r w:rsidRPr="006B4730">
        <w:t>).</w:t>
      </w:r>
    </w:p>
    <w:p w14:paraId="5C762FE4" w14:textId="436FFD52" w:rsidR="003B30FB" w:rsidRPr="006B4730" w:rsidRDefault="003B30FB" w:rsidP="006E7460">
      <w:pPr>
        <w:jc w:val="left"/>
      </w:pPr>
      <w:r w:rsidRPr="006B4730">
        <w:t>Initiation of K</w:t>
      </w:r>
      <w:r w:rsidR="00F7449C" w:rsidRPr="006B4730">
        <w:t>ERENDIA</w:t>
      </w:r>
      <w:r w:rsidRPr="006B4730">
        <w:t xml:space="preserve"> treatment is not recommended in patients with eGFR &lt; 25 mL/min/1.73m</w:t>
      </w:r>
      <w:r w:rsidRPr="006B4730">
        <w:rPr>
          <w:vertAlign w:val="superscript"/>
        </w:rPr>
        <w:t>2</w:t>
      </w:r>
      <w:r w:rsidRPr="006B4730">
        <w:t xml:space="preserve"> as clinical experience is limited (see </w:t>
      </w:r>
      <w:r w:rsidR="00B15C94">
        <w:t>Section</w:t>
      </w:r>
      <w:r w:rsidRPr="006B4730">
        <w:t xml:space="preserve"> </w:t>
      </w:r>
      <w:r w:rsidR="00697D4A">
        <w:fldChar w:fldCharType="begin"/>
      </w:r>
      <w:r w:rsidR="00697D4A">
        <w:instrText xml:space="preserve"> REF _Ref79419993 \h  \* MERGEFORMAT </w:instrText>
      </w:r>
      <w:r w:rsidR="00697D4A">
        <w:fldChar w:fldCharType="separate"/>
      </w:r>
      <w:r w:rsidR="00697D4A" w:rsidRPr="006B4730">
        <w:t>4.2 DOSE AND MET</w:t>
      </w:r>
      <w:r w:rsidR="00697D4A" w:rsidRPr="00286AC4">
        <w:t>HOD OF</w:t>
      </w:r>
      <w:r w:rsidR="00697D4A" w:rsidRPr="006B4730">
        <w:t xml:space="preserve"> ADMINISTRATION</w:t>
      </w:r>
      <w:r w:rsidR="00697D4A">
        <w:fldChar w:fldCharType="end"/>
      </w:r>
      <w:r w:rsidRPr="006B4730">
        <w:t xml:space="preserve"> and </w:t>
      </w:r>
      <w:r w:rsidR="00B15C94">
        <w:t>Section</w:t>
      </w:r>
      <w:r w:rsidRPr="006B4730">
        <w:t xml:space="preserve"> </w:t>
      </w:r>
      <w:r w:rsidR="00697D4A">
        <w:fldChar w:fldCharType="begin"/>
      </w:r>
      <w:r w:rsidR="00697D4A">
        <w:instrText xml:space="preserve"> REF _Ref88419060 \h </w:instrText>
      </w:r>
      <w:r w:rsidR="006E7460">
        <w:instrText xml:space="preserve"> \* MERGEFORMAT </w:instrText>
      </w:r>
      <w:r w:rsidR="00697D4A">
        <w:fldChar w:fldCharType="separate"/>
      </w:r>
      <w:r w:rsidR="00697D4A" w:rsidRPr="006B4730">
        <w:t>5.2 PHARMACOKINETIC PROPERTIES</w:t>
      </w:r>
      <w:r w:rsidR="00697D4A">
        <w:fldChar w:fldCharType="end"/>
      </w:r>
      <w:r w:rsidRPr="006B4730">
        <w:t>).</w:t>
      </w:r>
    </w:p>
    <w:p w14:paraId="1B8FF2A4" w14:textId="5515AAA1" w:rsidR="007C736E" w:rsidRPr="006B4730" w:rsidRDefault="003B30FB" w:rsidP="006E7460">
      <w:pPr>
        <w:jc w:val="left"/>
      </w:pPr>
      <w:r w:rsidRPr="006B4730">
        <w:t>Continue K</w:t>
      </w:r>
      <w:r w:rsidR="00F7449C" w:rsidRPr="006B4730">
        <w:t>ERENDIA</w:t>
      </w:r>
      <w:r w:rsidRPr="006B4730">
        <w:t xml:space="preserve"> treatment with caution regarding serum potassium levels in patients with end-stage renal disease (eGFR &lt; 15 mL/min/1.73 m</w:t>
      </w:r>
      <w:r w:rsidRPr="006B4730">
        <w:rPr>
          <w:vertAlign w:val="superscript"/>
        </w:rPr>
        <w:t>2</w:t>
      </w:r>
      <w:r w:rsidRPr="006B4730">
        <w:t xml:space="preserve">) as clinical experience is limited (see </w:t>
      </w:r>
      <w:r w:rsidR="00B15C94">
        <w:t>Section</w:t>
      </w:r>
      <w:r w:rsidRPr="006B4730">
        <w:t xml:space="preserve"> </w:t>
      </w:r>
      <w:r w:rsidR="00437045">
        <w:fldChar w:fldCharType="begin"/>
      </w:r>
      <w:r w:rsidR="00437045">
        <w:instrText xml:space="preserve"> REF _Ref79419993 \h  \* MERGEFORMAT </w:instrText>
      </w:r>
      <w:r w:rsidR="00437045">
        <w:fldChar w:fldCharType="separate"/>
      </w:r>
      <w:r w:rsidR="00437045" w:rsidRPr="006B4730">
        <w:t>4.2 DOSE AND MET</w:t>
      </w:r>
      <w:r w:rsidR="00437045" w:rsidRPr="00286AC4">
        <w:t>HOD OF</w:t>
      </w:r>
      <w:r w:rsidR="00437045" w:rsidRPr="006B4730">
        <w:t xml:space="preserve"> ADMINISTRATION</w:t>
      </w:r>
      <w:r w:rsidR="00437045">
        <w:fldChar w:fldCharType="end"/>
      </w:r>
      <w:r w:rsidRPr="006B4730">
        <w:t>).</w:t>
      </w:r>
    </w:p>
    <w:p w14:paraId="3B6A3E22" w14:textId="7C5C3984" w:rsidR="001A3992" w:rsidRPr="006B4730" w:rsidRDefault="001A3992" w:rsidP="006E7460">
      <w:pPr>
        <w:pStyle w:val="Heading3"/>
        <w:jc w:val="left"/>
      </w:pPr>
      <w:r w:rsidRPr="006B4730">
        <w:t xml:space="preserve">Use in the </w:t>
      </w:r>
      <w:r w:rsidR="00B610A7" w:rsidRPr="006B4730">
        <w:t>E</w:t>
      </w:r>
      <w:r w:rsidRPr="006B4730">
        <w:t>lderly</w:t>
      </w:r>
    </w:p>
    <w:p w14:paraId="79178924" w14:textId="3A55F94C" w:rsidR="007C736E" w:rsidRPr="006B4730" w:rsidRDefault="00694C3A" w:rsidP="006E7460">
      <w:pPr>
        <w:jc w:val="left"/>
      </w:pPr>
      <w:r w:rsidRPr="006B4730">
        <w:t xml:space="preserve">No dose adjustment is required in the elderly (See </w:t>
      </w:r>
      <w:r w:rsidR="00B15C94">
        <w:t>Section</w:t>
      </w:r>
      <w:r w:rsidRPr="006B4730">
        <w:t xml:space="preserve"> </w:t>
      </w:r>
      <w:r w:rsidR="00C62B89">
        <w:fldChar w:fldCharType="begin"/>
      </w:r>
      <w:r w:rsidR="00C62B89">
        <w:instrText xml:space="preserve"> REF  _Ref88419060 \* Upper \h </w:instrText>
      </w:r>
      <w:r w:rsidR="006E7460">
        <w:instrText xml:space="preserve"> \* MERGEFORMAT </w:instrText>
      </w:r>
      <w:r w:rsidR="00C62B89">
        <w:fldChar w:fldCharType="separate"/>
      </w:r>
      <w:r w:rsidR="00C62B89" w:rsidRPr="006B4730">
        <w:t>5.2 PHARMACOKINETIC PROPERTIES</w:t>
      </w:r>
      <w:r w:rsidR="00C62B89">
        <w:fldChar w:fldCharType="end"/>
      </w:r>
      <w:r w:rsidRPr="006B4730">
        <w:t>)</w:t>
      </w:r>
      <w:r w:rsidR="00843758" w:rsidRPr="006B4730">
        <w:t>.</w:t>
      </w:r>
    </w:p>
    <w:p w14:paraId="7348F267" w14:textId="77777777" w:rsidR="00843758" w:rsidRPr="006B4730" w:rsidRDefault="00843758" w:rsidP="006E7460">
      <w:pPr>
        <w:jc w:val="left"/>
      </w:pPr>
    </w:p>
    <w:p w14:paraId="709679EA" w14:textId="77777777" w:rsidR="001A3992" w:rsidRPr="006B4730" w:rsidRDefault="00B610A7" w:rsidP="006E7460">
      <w:pPr>
        <w:pStyle w:val="Heading3"/>
        <w:jc w:val="left"/>
      </w:pPr>
      <w:r w:rsidRPr="006B4730">
        <w:t>Paediatric U</w:t>
      </w:r>
      <w:r w:rsidR="001A3992" w:rsidRPr="006B4730">
        <w:t>se</w:t>
      </w:r>
    </w:p>
    <w:p w14:paraId="29A0CDCB" w14:textId="7118FF39" w:rsidR="00705D96" w:rsidRPr="006B4730" w:rsidRDefault="006614B2" w:rsidP="006E7460">
      <w:pPr>
        <w:jc w:val="left"/>
      </w:pPr>
      <w:r w:rsidRPr="006B4730">
        <w:t>The safety and efficacy of KERENDIA have not been established in patients under 18 years of age. Therefore, KERENDIA is not recommended for use in paediatric patients.</w:t>
      </w:r>
    </w:p>
    <w:p w14:paraId="67042597" w14:textId="77777777" w:rsidR="00D14104" w:rsidRPr="006B4730" w:rsidRDefault="00D14104" w:rsidP="006E7460">
      <w:pPr>
        <w:jc w:val="left"/>
      </w:pPr>
    </w:p>
    <w:p w14:paraId="5E7A862E" w14:textId="7104D19E" w:rsidR="001A3992" w:rsidRPr="006B4730" w:rsidRDefault="001A3992" w:rsidP="006E7460">
      <w:pPr>
        <w:pStyle w:val="Heading3"/>
        <w:jc w:val="left"/>
      </w:pPr>
      <w:r w:rsidRPr="006B4730">
        <w:t xml:space="preserve">Effects on </w:t>
      </w:r>
      <w:r w:rsidR="00B610A7" w:rsidRPr="006B4730">
        <w:t>L</w:t>
      </w:r>
      <w:r w:rsidRPr="006B4730">
        <w:t xml:space="preserve">aboratory </w:t>
      </w:r>
      <w:r w:rsidR="00B610A7" w:rsidRPr="006B4730">
        <w:t>T</w:t>
      </w:r>
      <w:r w:rsidRPr="006B4730">
        <w:t>ests</w:t>
      </w:r>
    </w:p>
    <w:p w14:paraId="3C0B18A6" w14:textId="18DF9C7F" w:rsidR="00FB4706" w:rsidRPr="006B4730" w:rsidRDefault="00760049" w:rsidP="006E7460">
      <w:pPr>
        <w:jc w:val="left"/>
      </w:pPr>
      <w:r w:rsidRPr="006B4730">
        <w:t xml:space="preserve">See </w:t>
      </w:r>
      <w:r w:rsidR="00B15C94">
        <w:t>Section</w:t>
      </w:r>
      <w:r w:rsidRPr="006B4730">
        <w:t xml:space="preserve"> </w:t>
      </w:r>
      <w:r w:rsidR="00E62EF5">
        <w:fldChar w:fldCharType="begin"/>
      </w:r>
      <w:r w:rsidR="00E62EF5">
        <w:instrText xml:space="preserve"> REF _Ref88590262 \h </w:instrText>
      </w:r>
      <w:r w:rsidR="006E7460">
        <w:instrText xml:space="preserve"> \* MERGEFORMAT </w:instrText>
      </w:r>
      <w:r w:rsidR="00E62EF5">
        <w:fldChar w:fldCharType="separate"/>
      </w:r>
      <w:r w:rsidR="00E62EF5" w:rsidRPr="006B4730">
        <w:t>4.8 ADVERSE EFFECTS (UNDESIRABLE EFFECTS)</w:t>
      </w:r>
      <w:r w:rsidR="00E62EF5">
        <w:fldChar w:fldCharType="end"/>
      </w:r>
      <w:r w:rsidRPr="006B4730">
        <w:t>;</w:t>
      </w:r>
      <w:r w:rsidR="0075778F">
        <w:t xml:space="preserve"> </w:t>
      </w:r>
      <w:r w:rsidRPr="006B4730">
        <w:t xml:space="preserve">Table 4: Laboratory test abnormalities reported in ≥ 1% of Kerendia-treated patients in the phase III study FIDELIO-DKD, Table 2: Adverse reactions reported with KERENDIA in the phase III study FIDELIO-DKD and </w:t>
      </w:r>
      <w:r w:rsidR="00B15C94">
        <w:t>Section</w:t>
      </w:r>
      <w:r w:rsidRPr="006B4730">
        <w:t xml:space="preserve"> </w:t>
      </w:r>
      <w:r w:rsidR="00C62B89">
        <w:fldChar w:fldCharType="begin"/>
      </w:r>
      <w:r w:rsidR="00C62B89">
        <w:instrText xml:space="preserve"> REF  _Ref88420151 \* Upper \h </w:instrText>
      </w:r>
      <w:r w:rsidR="006E7460">
        <w:instrText xml:space="preserve"> \* MERGEFORMAT </w:instrText>
      </w:r>
      <w:r w:rsidR="00C62B89">
        <w:fldChar w:fldCharType="separate"/>
      </w:r>
      <w:r w:rsidR="00C62B89" w:rsidRPr="006B4730">
        <w:t>5.1 PHARMACODYNAMIC PROPERTIES</w:t>
      </w:r>
      <w:r w:rsidR="00C62B89">
        <w:fldChar w:fldCharType="end"/>
      </w:r>
      <w:r w:rsidR="00D56DDE">
        <w:t>,</w:t>
      </w:r>
      <w:r w:rsidRPr="006B4730">
        <w:t xml:space="preserve"> Clinical Trials</w:t>
      </w:r>
      <w:r w:rsidR="00E958E2">
        <w:t>.</w:t>
      </w:r>
    </w:p>
    <w:p w14:paraId="3D3FA00E" w14:textId="1692D99D" w:rsidR="00C67FA0" w:rsidRPr="006B4730" w:rsidRDefault="00C67FA0" w:rsidP="006E7460">
      <w:pPr>
        <w:jc w:val="left"/>
      </w:pPr>
    </w:p>
    <w:p w14:paraId="4CEC12B3" w14:textId="56108893" w:rsidR="00C67FA0" w:rsidRPr="006B4730" w:rsidRDefault="00C67FA0" w:rsidP="006E7460">
      <w:pPr>
        <w:pStyle w:val="Heading3"/>
        <w:jc w:val="left"/>
      </w:pPr>
      <w:r w:rsidRPr="006B4730">
        <w:t>Embryo-f</w:t>
      </w:r>
      <w:r w:rsidR="00FA4914">
        <w:t>o</w:t>
      </w:r>
      <w:r w:rsidRPr="006B4730">
        <w:t>etal toxicity</w:t>
      </w:r>
    </w:p>
    <w:p w14:paraId="63AEF244" w14:textId="55836E6E" w:rsidR="001615BA" w:rsidRDefault="003B30FB" w:rsidP="006E7460">
      <w:pPr>
        <w:jc w:val="left"/>
      </w:pPr>
      <w:bookmarkStart w:id="7" w:name="_Hlk46828752"/>
      <w:r w:rsidRPr="006B4730">
        <w:t>Animal data have shown reproductive toxicity. The relevance for humans is unknown. K</w:t>
      </w:r>
      <w:r w:rsidR="00A628B2" w:rsidRPr="006B4730">
        <w:t>ERENDIA</w:t>
      </w:r>
      <w:r w:rsidRPr="006B4730">
        <w:t xml:space="preserve"> should not be used during pregnancy unless there has been careful consideration of the benefit for the mother and the risk to the f</w:t>
      </w:r>
      <w:r w:rsidR="00FA4914">
        <w:t>o</w:t>
      </w:r>
      <w:r w:rsidRPr="006B4730">
        <w:t xml:space="preserve">etus. </w:t>
      </w:r>
      <w:bookmarkStart w:id="8" w:name="_Hlk82432849"/>
      <w:r w:rsidRPr="006B4730">
        <w:t xml:space="preserve">If the patient becomes pregnant while taking </w:t>
      </w:r>
      <w:r w:rsidR="00A628B2" w:rsidRPr="006B4730">
        <w:t>KERENDIA</w:t>
      </w:r>
      <w:r w:rsidRPr="006B4730">
        <w:t>, the patient should be informed of potential risks to the f</w:t>
      </w:r>
      <w:r w:rsidR="00FA4914">
        <w:t>o</w:t>
      </w:r>
      <w:r w:rsidRPr="006B4730">
        <w:t xml:space="preserve">etus. Advise women of childbearing potential to use effective contraception during treatment with </w:t>
      </w:r>
      <w:r w:rsidR="00A628B2" w:rsidRPr="006B4730">
        <w:t>KERENDIA</w:t>
      </w:r>
      <w:r w:rsidRPr="006B4730">
        <w:t xml:space="preserve">. Advise women not to breastfeed during treatment with </w:t>
      </w:r>
      <w:r w:rsidR="00A628B2" w:rsidRPr="006B4730">
        <w:t>KERENDIA</w:t>
      </w:r>
      <w:r w:rsidRPr="006B4730">
        <w:t xml:space="preserve"> (See </w:t>
      </w:r>
      <w:r w:rsidR="00B15C94">
        <w:t>Section</w:t>
      </w:r>
      <w:r w:rsidRPr="006B4730">
        <w:t xml:space="preserve"> </w:t>
      </w:r>
      <w:r w:rsidR="00C62B89">
        <w:fldChar w:fldCharType="begin"/>
      </w:r>
      <w:r w:rsidR="00C62B89">
        <w:instrText xml:space="preserve"> REF  _Ref88420177 \* Upper \h </w:instrText>
      </w:r>
      <w:r w:rsidR="006E7460">
        <w:instrText xml:space="preserve"> \* MERGEFORMAT </w:instrText>
      </w:r>
      <w:r w:rsidR="00C62B89">
        <w:fldChar w:fldCharType="separate"/>
      </w:r>
      <w:r w:rsidR="00C62B89" w:rsidRPr="006B4730">
        <w:t>4.6 FERTILITY, PREGNANCY AND LACTATION</w:t>
      </w:r>
      <w:r w:rsidR="00C62B89">
        <w:fldChar w:fldCharType="end"/>
      </w:r>
      <w:r w:rsidRPr="006B4730">
        <w:t>)</w:t>
      </w:r>
      <w:bookmarkEnd w:id="7"/>
      <w:r w:rsidR="000D1913">
        <w:t>.</w:t>
      </w:r>
      <w:bookmarkEnd w:id="8"/>
    </w:p>
    <w:p w14:paraId="68A6E676" w14:textId="77777777" w:rsidR="00F314D8" w:rsidRPr="006B4730" w:rsidRDefault="00F314D8" w:rsidP="006E7460">
      <w:pPr>
        <w:jc w:val="left"/>
      </w:pPr>
    </w:p>
    <w:p w14:paraId="0F7CB9E0" w14:textId="3626442C" w:rsidR="00914930" w:rsidRPr="006B4730" w:rsidRDefault="00914930" w:rsidP="006E7460">
      <w:pPr>
        <w:pStyle w:val="Heading3"/>
        <w:jc w:val="left"/>
      </w:pPr>
      <w:r w:rsidRPr="006B4730">
        <w:lastRenderedPageBreak/>
        <w:t>Concomitant use of substances that affect finerenone exposure</w:t>
      </w:r>
    </w:p>
    <w:p w14:paraId="0C95B768" w14:textId="77777777" w:rsidR="003B30FB" w:rsidRPr="006B4730" w:rsidRDefault="003B30FB" w:rsidP="006E7460">
      <w:pPr>
        <w:pStyle w:val="Heading4"/>
        <w:jc w:val="left"/>
        <w:rPr>
          <w:rFonts w:eastAsiaTheme="minorHAnsi"/>
          <w:lang w:val="en-AU"/>
        </w:rPr>
      </w:pPr>
      <w:r w:rsidRPr="006B4730">
        <w:rPr>
          <w:rFonts w:eastAsiaTheme="minorHAnsi"/>
          <w:lang w:val="en-AU"/>
        </w:rPr>
        <w:t xml:space="preserve">Moderate and weak CYP3A4 inhibitors   </w:t>
      </w:r>
    </w:p>
    <w:p w14:paraId="66A9B904" w14:textId="2E3057F1" w:rsidR="003B30FB" w:rsidRPr="006B4730" w:rsidRDefault="003B30FB" w:rsidP="006E7460">
      <w:pPr>
        <w:jc w:val="left"/>
      </w:pPr>
      <w:r w:rsidRPr="006B4730">
        <w:t xml:space="preserve">The concomitant use of </w:t>
      </w:r>
      <w:r w:rsidR="00A628B2" w:rsidRPr="006B4730">
        <w:t>KERENDIA</w:t>
      </w:r>
      <w:r w:rsidRPr="006B4730">
        <w:t xml:space="preserve"> with moderate CYP3A4 inhibitors (e.g., erythromycin and verapamil) and weak CYP3A4 inhibitors (e.g., amiodarone and fluvoxamine) is expected to increase finerenone exposure (see </w:t>
      </w:r>
      <w:r w:rsidR="00B15C94">
        <w:t>Section</w:t>
      </w:r>
      <w:r w:rsidRPr="006B4730">
        <w:t xml:space="preserve"> </w:t>
      </w:r>
      <w:r w:rsidR="0097224D">
        <w:fldChar w:fldCharType="begin"/>
      </w:r>
      <w:r w:rsidR="0097224D">
        <w:instrText xml:space="preserve"> REF  _Ref88419502 \* Upper \h </w:instrText>
      </w:r>
      <w:r w:rsidR="006E7460">
        <w:instrText xml:space="preserve"> \* MERGEFORMAT </w:instrText>
      </w:r>
      <w:r w:rsidR="0097224D">
        <w:fldChar w:fldCharType="separate"/>
      </w:r>
      <w:r w:rsidR="0097224D" w:rsidRPr="006B4730">
        <w:t>4.5 INTERACTIONS WITH OTHER MEDICINES AND OTHER FORMS OF INTERACTIONS</w:t>
      </w:r>
      <w:r w:rsidR="0097224D">
        <w:fldChar w:fldCharType="end"/>
      </w:r>
      <w:r w:rsidRPr="006B4730">
        <w:t xml:space="preserve">). Monitor serum potassium especially during initiation of or changes to dosing of </w:t>
      </w:r>
      <w:r w:rsidR="00A628B2" w:rsidRPr="006B4730">
        <w:t>KERENDIA</w:t>
      </w:r>
      <w:r w:rsidRPr="006B4730">
        <w:t xml:space="preserve"> or the CYP3A4 inhibitor (see </w:t>
      </w:r>
      <w:r w:rsidR="00B15C94">
        <w:t>Section</w:t>
      </w:r>
      <w:r w:rsidRPr="006B4730">
        <w:t xml:space="preserve"> </w:t>
      </w:r>
      <w:r w:rsidR="0097224D">
        <w:fldChar w:fldCharType="begin"/>
      </w:r>
      <w:r w:rsidR="0097224D">
        <w:instrText xml:space="preserve"> REF  _Ref79419993 \* Upper \h  \* MERGEFORMAT </w:instrText>
      </w:r>
      <w:r w:rsidR="0097224D">
        <w:fldChar w:fldCharType="separate"/>
      </w:r>
      <w:r w:rsidR="0097224D" w:rsidRPr="006B4730">
        <w:t>4.2 DOSE AND METHOD OF ADMINISTRATION</w:t>
      </w:r>
      <w:r w:rsidR="0097224D">
        <w:fldChar w:fldCharType="end"/>
      </w:r>
      <w:r w:rsidRPr="006B4730">
        <w:t>).</w:t>
      </w:r>
    </w:p>
    <w:p w14:paraId="182BBD0D" w14:textId="77777777" w:rsidR="003B30FB" w:rsidRPr="006B4730" w:rsidRDefault="003B30FB" w:rsidP="006E7460">
      <w:pPr>
        <w:pStyle w:val="Heading4"/>
        <w:jc w:val="left"/>
        <w:rPr>
          <w:rFonts w:eastAsiaTheme="minorHAnsi"/>
          <w:lang w:val="en-AU"/>
        </w:rPr>
      </w:pPr>
      <w:r w:rsidRPr="006B4730">
        <w:rPr>
          <w:rFonts w:eastAsiaTheme="minorHAnsi"/>
          <w:lang w:val="en-AU"/>
        </w:rPr>
        <w:t xml:space="preserve">Strong and moderate CYP3A4 inducers </w:t>
      </w:r>
    </w:p>
    <w:p w14:paraId="61005318" w14:textId="0FAA7432" w:rsidR="003B30FB" w:rsidRPr="006B4730" w:rsidRDefault="003B30FB" w:rsidP="006E7460">
      <w:pPr>
        <w:jc w:val="left"/>
      </w:pPr>
      <w:r w:rsidRPr="006B4730">
        <w:t xml:space="preserve">Avoid concomitant use of </w:t>
      </w:r>
      <w:r w:rsidR="00A628B2" w:rsidRPr="006B4730">
        <w:t>KERENDIA</w:t>
      </w:r>
      <w:r w:rsidRPr="006B4730">
        <w:t xml:space="preserve"> with strong CYP3A4 inducers (e.g., rifampicin, carbamazepine, phenytoin, phenobarbital, St John’s Wort) or moderate CYP3A4 inducers (e.g., efavirenz), which are expected to markedly decrease finerenone plasma concentrations and result in reduced therapeutic effect (see </w:t>
      </w:r>
      <w:r w:rsidR="00B15C94">
        <w:t>Section</w:t>
      </w:r>
      <w:r w:rsidR="00A33C30" w:rsidRPr="006B4730">
        <w:t xml:space="preserve"> </w:t>
      </w:r>
      <w:r w:rsidR="0097224D">
        <w:fldChar w:fldCharType="begin"/>
      </w:r>
      <w:r w:rsidR="0097224D">
        <w:instrText xml:space="preserve"> REF  _Ref88419502 \* Upper \h </w:instrText>
      </w:r>
      <w:r w:rsidR="006E7460">
        <w:instrText xml:space="preserve"> \* MERGEFORMAT </w:instrText>
      </w:r>
      <w:r w:rsidR="0097224D">
        <w:fldChar w:fldCharType="separate"/>
      </w:r>
      <w:r w:rsidR="0097224D" w:rsidRPr="006B4730">
        <w:t>4.5 INTERACTIONS WITH OTHER MEDICINES AND OTHER FORMS OF INTERACTIONS</w:t>
      </w:r>
      <w:r w:rsidR="0097224D">
        <w:fldChar w:fldCharType="end"/>
      </w:r>
      <w:r w:rsidRPr="006B4730">
        <w:t>). Consider selection of an alternate concomitant medicinal product with no or weak potential to induce CYP3A4.</w:t>
      </w:r>
    </w:p>
    <w:p w14:paraId="6480A279" w14:textId="77777777" w:rsidR="003B30FB" w:rsidRPr="006B4730" w:rsidRDefault="003B30FB" w:rsidP="006E7460">
      <w:pPr>
        <w:pStyle w:val="Heading4"/>
        <w:jc w:val="left"/>
        <w:rPr>
          <w:rFonts w:eastAsiaTheme="minorHAnsi"/>
          <w:lang w:val="en-AU"/>
        </w:rPr>
      </w:pPr>
      <w:r w:rsidRPr="006B4730">
        <w:rPr>
          <w:rFonts w:eastAsiaTheme="minorHAnsi"/>
          <w:lang w:val="en-AU"/>
        </w:rPr>
        <w:t>Grapefruit</w:t>
      </w:r>
    </w:p>
    <w:p w14:paraId="4AC2C96C" w14:textId="19386C1F" w:rsidR="00914930" w:rsidRPr="006B4730" w:rsidRDefault="003B30FB" w:rsidP="006E7460">
      <w:pPr>
        <w:jc w:val="left"/>
      </w:pPr>
      <w:r w:rsidRPr="006B4730">
        <w:t xml:space="preserve">Avoid concomitant intake of grapefruit or grapefruit juice as it is expected to increase the plasma concentration of finerenone (see </w:t>
      </w:r>
      <w:r w:rsidR="00B15C94">
        <w:t>Section</w:t>
      </w:r>
      <w:r w:rsidRPr="006B4730">
        <w:t>s</w:t>
      </w:r>
      <w:r w:rsidR="00C12385" w:rsidRPr="006B4730">
        <w:t xml:space="preserve"> </w:t>
      </w:r>
      <w:r w:rsidR="00D95725">
        <w:fldChar w:fldCharType="begin"/>
      </w:r>
      <w:r w:rsidR="00D95725">
        <w:instrText xml:space="preserve"> REF _Ref79419993 \h  \* MERGEFORMAT </w:instrText>
      </w:r>
      <w:r w:rsidR="00D95725">
        <w:fldChar w:fldCharType="separate"/>
      </w:r>
      <w:r w:rsidR="00D95725" w:rsidRPr="006B4730">
        <w:t>4.2 DOSE AND MET</w:t>
      </w:r>
      <w:r w:rsidR="00D95725" w:rsidRPr="00286AC4">
        <w:t>HOD OF</w:t>
      </w:r>
      <w:r w:rsidR="00D95725" w:rsidRPr="006B4730">
        <w:t xml:space="preserve"> ADMINISTRATION</w:t>
      </w:r>
      <w:r w:rsidR="00D95725">
        <w:fldChar w:fldCharType="end"/>
      </w:r>
      <w:r w:rsidRPr="006B4730">
        <w:t xml:space="preserve"> and</w:t>
      </w:r>
      <w:r w:rsidR="00C12385" w:rsidRPr="006B4730">
        <w:t xml:space="preserve"> </w:t>
      </w:r>
      <w:r w:rsidR="00B32F4E">
        <w:fldChar w:fldCharType="begin"/>
      </w:r>
      <w:r w:rsidR="00B32F4E">
        <w:instrText xml:space="preserve"> REF  _Ref88419502 \* Upper \h </w:instrText>
      </w:r>
      <w:r w:rsidR="006E7460">
        <w:instrText xml:space="preserve"> \* MERGEFORMAT </w:instrText>
      </w:r>
      <w:r w:rsidR="00B32F4E">
        <w:fldChar w:fldCharType="separate"/>
      </w:r>
      <w:r w:rsidR="00B32F4E" w:rsidRPr="006B4730">
        <w:t>4.5 INTERACTIONS WITH OTHER MEDICINES AND OTHER FORMS OF INTERACTIONS</w:t>
      </w:r>
      <w:r w:rsidR="00B32F4E">
        <w:fldChar w:fldCharType="end"/>
      </w:r>
      <w:r w:rsidRPr="006B4730">
        <w:t>).</w:t>
      </w:r>
    </w:p>
    <w:p w14:paraId="023B9863" w14:textId="28DDF24C" w:rsidR="00B1775A" w:rsidRPr="006B4730" w:rsidRDefault="008E41E1" w:rsidP="006E7460">
      <w:pPr>
        <w:pStyle w:val="Heading1"/>
        <w:numPr>
          <w:ilvl w:val="0"/>
          <w:numId w:val="0"/>
        </w:numPr>
        <w:ind w:left="432" w:hanging="432"/>
        <w:jc w:val="left"/>
      </w:pPr>
      <w:bookmarkStart w:id="9" w:name="_Ref88419502"/>
      <w:r w:rsidRPr="006B4730">
        <w:t xml:space="preserve">4.5 </w:t>
      </w:r>
      <w:r w:rsidR="001A3992" w:rsidRPr="006B4730">
        <w:t>Interactions with other medicines and other forms of interactions</w:t>
      </w:r>
      <w:bookmarkEnd w:id="9"/>
    </w:p>
    <w:p w14:paraId="2F0C62B7" w14:textId="3E68B44A" w:rsidR="0061413A" w:rsidRPr="006B4730" w:rsidRDefault="0061413A" w:rsidP="006E7460">
      <w:pPr>
        <w:pStyle w:val="Heading3"/>
        <w:jc w:val="left"/>
      </w:pPr>
      <w:r w:rsidRPr="006B4730">
        <w:t>Effects of other substances on finerenone</w:t>
      </w:r>
    </w:p>
    <w:p w14:paraId="449D8575" w14:textId="61268920" w:rsidR="00073629" w:rsidRPr="006B4730" w:rsidRDefault="00073629" w:rsidP="006E7460">
      <w:pPr>
        <w:jc w:val="left"/>
      </w:pPr>
      <w:r w:rsidRPr="006B4730">
        <w:t>Finerenone is cleared almost exclusively via cytochrome P450 (CYP)-mediated oxidative metabolism (mainly CYP3A4 [90%] with a small contribution of CYP2C8 [10%]).</w:t>
      </w:r>
      <w:r w:rsidR="00EC1DD5">
        <w:t xml:space="preserve"> </w:t>
      </w:r>
      <w:r w:rsidR="00EC1DD5" w:rsidRPr="00EC1DD5">
        <w:t>Accordingly, agents that affect CYP3A4 may significantly alter exposure to finerenone.</w:t>
      </w:r>
    </w:p>
    <w:p w14:paraId="7BC61488" w14:textId="1C60598B" w:rsidR="0061413A" w:rsidRPr="006B4730" w:rsidRDefault="0061413A" w:rsidP="006E7460">
      <w:pPr>
        <w:jc w:val="left"/>
      </w:pPr>
    </w:p>
    <w:p w14:paraId="2F605342" w14:textId="77777777" w:rsidR="00073629" w:rsidRPr="006B4730" w:rsidRDefault="00073629" w:rsidP="006E7460">
      <w:pPr>
        <w:pStyle w:val="Heading3"/>
        <w:jc w:val="left"/>
        <w:rPr>
          <w:rFonts w:eastAsia="Times New Roman"/>
        </w:rPr>
      </w:pPr>
      <w:r w:rsidRPr="006B4730">
        <w:rPr>
          <w:rFonts w:eastAsia="Times New Roman"/>
          <w:shd w:val="clear" w:color="auto" w:fill="FFFFFF"/>
        </w:rPr>
        <w:t>Effect of CYP3A4 inhibitors on finerenone</w:t>
      </w:r>
    </w:p>
    <w:p w14:paraId="1D66E03F" w14:textId="1A5C2D4E" w:rsidR="00073629" w:rsidRPr="006B4730" w:rsidRDefault="00073629" w:rsidP="006E7460">
      <w:pPr>
        <w:pStyle w:val="Heading4"/>
        <w:jc w:val="left"/>
        <w:rPr>
          <w:rFonts w:eastAsia="Times New Roman"/>
          <w:shd w:val="clear" w:color="auto" w:fill="FFFFFF"/>
          <w:lang w:val="en-AU"/>
        </w:rPr>
      </w:pPr>
      <w:r w:rsidRPr="006B4730">
        <w:rPr>
          <w:rFonts w:eastAsia="Times New Roman"/>
          <w:shd w:val="clear" w:color="auto" w:fill="FFFFFF"/>
          <w:lang w:val="en-AU"/>
        </w:rPr>
        <w:t xml:space="preserve">Strong CYP3A4 inhibitors </w:t>
      </w:r>
    </w:p>
    <w:p w14:paraId="0EB59F7D" w14:textId="24989F74" w:rsidR="00073629" w:rsidRPr="006B4730" w:rsidRDefault="00073629" w:rsidP="006E7460">
      <w:pPr>
        <w:spacing w:before="120" w:after="120"/>
        <w:jc w:val="left"/>
        <w:rPr>
          <w:rFonts w:ascii="Times New Roman" w:eastAsia="Times New Roman" w:hAnsi="Times New Roman" w:cs="Times New Roman"/>
          <w:sz w:val="24"/>
          <w:szCs w:val="20"/>
        </w:rPr>
      </w:pPr>
      <w:r w:rsidRPr="006B4730">
        <w:t xml:space="preserve">Simulations suggest that concomitant use of </w:t>
      </w:r>
      <w:r w:rsidR="00A628B2" w:rsidRPr="006B4730">
        <w:t>KERENDIA</w:t>
      </w:r>
      <w:r w:rsidRPr="006B4730">
        <w:t xml:space="preserve"> with itraconazole (200 mg BID), a strong CYP3A4 inhibitor, increases finerenone AUC (+531%) and C</w:t>
      </w:r>
      <w:r w:rsidRPr="006B4730">
        <w:rPr>
          <w:vertAlign w:val="subscript"/>
        </w:rPr>
        <w:t>max</w:t>
      </w:r>
      <w:r w:rsidRPr="006B4730">
        <w:t xml:space="preserve"> (+137%). Clarithromycin (500 mg BID), another strong inhibitor, also is predicted to increase finerenone AUC (+428%) and C</w:t>
      </w:r>
      <w:r w:rsidRPr="006B4730">
        <w:rPr>
          <w:vertAlign w:val="subscript"/>
        </w:rPr>
        <w:t>max</w:t>
      </w:r>
      <w:r w:rsidRPr="006B4730">
        <w:t xml:space="preserve"> (+125%). </w:t>
      </w:r>
      <w:bookmarkStart w:id="10" w:name="_Hlk52782276"/>
      <w:r w:rsidRPr="006B4730">
        <w:t xml:space="preserve">Due to an expected marked increase in finerenone exposure, concomitant </w:t>
      </w:r>
      <w:bookmarkEnd w:id="10"/>
      <w:r w:rsidRPr="006B4730">
        <w:t xml:space="preserve">use of </w:t>
      </w:r>
      <w:r w:rsidR="00A628B2" w:rsidRPr="006B4730">
        <w:t>KERENDIA</w:t>
      </w:r>
      <w:r w:rsidRPr="006B4730">
        <w:t xml:space="preserve"> with itraconazole, clarithromycin and other strong CYP3A4 inhibitors (e.g., ketoconazole, ritonavir, nelfinavir, cobicistat, telithromycin or nefazodone) is contraindicated (see </w:t>
      </w:r>
      <w:r w:rsidR="00B15C94">
        <w:t>Section</w:t>
      </w:r>
      <w:r w:rsidR="002043C6">
        <w:t xml:space="preserve"> </w:t>
      </w:r>
      <w:r w:rsidR="003352D7">
        <w:fldChar w:fldCharType="begin"/>
      </w:r>
      <w:r w:rsidR="003352D7">
        <w:instrText xml:space="preserve"> REF  _Ref88420316 \* Upper \h </w:instrText>
      </w:r>
      <w:r w:rsidR="006E7460">
        <w:instrText xml:space="preserve"> \* MERGEFORMAT </w:instrText>
      </w:r>
      <w:r w:rsidR="003352D7">
        <w:fldChar w:fldCharType="separate"/>
      </w:r>
      <w:r w:rsidR="003352D7" w:rsidRPr="006B4730">
        <w:t>4.3 CONTRAINDICATIONS</w:t>
      </w:r>
      <w:r w:rsidR="003352D7">
        <w:fldChar w:fldCharType="end"/>
      </w:r>
      <w:r w:rsidRPr="006B4730">
        <w:t xml:space="preserve">). </w:t>
      </w:r>
    </w:p>
    <w:p w14:paraId="68B446A4" w14:textId="77777777" w:rsidR="00073629" w:rsidRPr="006B4730" w:rsidRDefault="00073629" w:rsidP="006E7460">
      <w:pPr>
        <w:pStyle w:val="Heading4"/>
        <w:jc w:val="left"/>
        <w:rPr>
          <w:rFonts w:eastAsia="Times New Roman"/>
          <w:shd w:val="clear" w:color="auto" w:fill="FFFFFF"/>
          <w:lang w:val="en-AU"/>
        </w:rPr>
      </w:pPr>
      <w:r w:rsidRPr="006B4730">
        <w:rPr>
          <w:rFonts w:eastAsia="Times New Roman"/>
          <w:shd w:val="clear" w:color="auto" w:fill="FFFFFF"/>
          <w:lang w:val="en-AU"/>
        </w:rPr>
        <w:t xml:space="preserve">Moderate CYP3A4 inhibitors </w:t>
      </w:r>
    </w:p>
    <w:p w14:paraId="6706DF50" w14:textId="4488905B" w:rsidR="00073629" w:rsidRPr="006B4730" w:rsidRDefault="00073629" w:rsidP="006E7460">
      <w:pPr>
        <w:jc w:val="left"/>
        <w:rPr>
          <w:i/>
        </w:rPr>
      </w:pPr>
      <w:r w:rsidRPr="006B4730">
        <w:t>Concomitant use of erythromycin (500 mg thrice daily), a moderate CYP3A4 inhibitor, increased finerenone mean AUC and C</w:t>
      </w:r>
      <w:r w:rsidRPr="006B4730">
        <w:rPr>
          <w:vertAlign w:val="subscript"/>
        </w:rPr>
        <w:t>max</w:t>
      </w:r>
      <w:r w:rsidRPr="006B4730">
        <w:t xml:space="preserve"> by 248% and 88%, respectively. Another moderate CYP3A4 inhibitor, verapamil (240 mg controlled-release tablet once daily), increased finerenone mean AUC and C</w:t>
      </w:r>
      <w:r w:rsidRPr="006B4730">
        <w:rPr>
          <w:vertAlign w:val="subscript"/>
        </w:rPr>
        <w:t>max</w:t>
      </w:r>
      <w:r w:rsidRPr="006B4730">
        <w:t xml:space="preserve"> by 170% and 120%, respectively. Serum potassium may increase, and therefore, monitoring of serum potassium is recommended </w:t>
      </w:r>
      <w:r w:rsidRPr="006B4730">
        <w:rPr>
          <w:i/>
        </w:rPr>
        <w:t>(</w:t>
      </w:r>
      <w:r w:rsidRPr="002043C6">
        <w:rPr>
          <w:iCs/>
        </w:rPr>
        <w:t>see</w:t>
      </w:r>
      <w:r w:rsidRPr="006B4730">
        <w:rPr>
          <w:i/>
        </w:rPr>
        <w:t xml:space="preserve"> </w:t>
      </w:r>
      <w:r w:rsidR="00B15C94" w:rsidRPr="002043C6">
        <w:rPr>
          <w:iCs/>
        </w:rPr>
        <w:t>Section</w:t>
      </w:r>
      <w:r w:rsidRPr="002043C6">
        <w:rPr>
          <w:iCs/>
        </w:rPr>
        <w:t xml:space="preserve">s </w:t>
      </w:r>
      <w:r w:rsidR="00CA5ACD" w:rsidRPr="002043C6">
        <w:rPr>
          <w:iCs/>
        </w:rPr>
        <w:fldChar w:fldCharType="begin" w:fldLock="1"/>
      </w:r>
      <w:r w:rsidR="00CA5ACD" w:rsidRPr="002043C6">
        <w:rPr>
          <w:iCs/>
        </w:rPr>
        <w:instrText xml:space="preserve"> REF _Ref79419993 \h  \* MERGEFORMAT </w:instrText>
      </w:r>
      <w:r w:rsidR="00CA5ACD" w:rsidRPr="002043C6">
        <w:rPr>
          <w:iCs/>
        </w:rPr>
      </w:r>
      <w:r w:rsidR="00CA5ACD" w:rsidRPr="002043C6">
        <w:rPr>
          <w:iCs/>
        </w:rPr>
        <w:fldChar w:fldCharType="separate"/>
      </w:r>
      <w:r w:rsidR="002043C6" w:rsidRPr="002043C6">
        <w:rPr>
          <w:iCs/>
        </w:rPr>
        <w:t>4.2 DOSE AND METHOD OF ADMINISTRATION</w:t>
      </w:r>
      <w:r w:rsidR="00CA5ACD" w:rsidRPr="002043C6">
        <w:rPr>
          <w:iCs/>
        </w:rPr>
        <w:fldChar w:fldCharType="end"/>
      </w:r>
      <w:r w:rsidRPr="002043C6">
        <w:rPr>
          <w:iCs/>
        </w:rPr>
        <w:t xml:space="preserve"> and</w:t>
      </w:r>
      <w:r w:rsidR="00A62CEC" w:rsidRPr="002043C6">
        <w:rPr>
          <w:iCs/>
        </w:rPr>
        <w:t xml:space="preserve"> </w:t>
      </w:r>
      <w:r w:rsidR="00A62CEC" w:rsidRPr="002043C6">
        <w:rPr>
          <w:iCs/>
        </w:rPr>
        <w:fldChar w:fldCharType="begin" w:fldLock="1"/>
      </w:r>
      <w:r w:rsidR="00A62CEC" w:rsidRPr="002043C6">
        <w:rPr>
          <w:iCs/>
        </w:rPr>
        <w:instrText xml:space="preserve"> REF _Ref79419895 \h </w:instrText>
      </w:r>
      <w:r w:rsidR="00CA5ACD" w:rsidRPr="002043C6">
        <w:rPr>
          <w:iCs/>
        </w:rPr>
        <w:instrText xml:space="preserve"> \* MERGEFORMAT </w:instrText>
      </w:r>
      <w:r w:rsidR="00A62CEC" w:rsidRPr="002043C6">
        <w:rPr>
          <w:iCs/>
        </w:rPr>
      </w:r>
      <w:r w:rsidR="00A62CEC" w:rsidRPr="002043C6">
        <w:rPr>
          <w:iCs/>
        </w:rPr>
        <w:fldChar w:fldCharType="separate"/>
      </w:r>
      <w:r w:rsidR="00A62CEC" w:rsidRPr="002043C6">
        <w:rPr>
          <w:iCs/>
        </w:rPr>
        <w:t xml:space="preserve">4.4 </w:t>
      </w:r>
      <w:r w:rsidR="002043C6" w:rsidRPr="002043C6">
        <w:rPr>
          <w:iCs/>
        </w:rPr>
        <w:t>SPECIAL WARNINGS AND PRECAUTIONS FOR USE</w:t>
      </w:r>
      <w:r w:rsidR="00A62CEC" w:rsidRPr="002043C6">
        <w:rPr>
          <w:iCs/>
        </w:rPr>
        <w:fldChar w:fldCharType="end"/>
      </w:r>
      <w:r w:rsidRPr="006B4730">
        <w:rPr>
          <w:i/>
        </w:rPr>
        <w:t>).</w:t>
      </w:r>
    </w:p>
    <w:p w14:paraId="0DB1E2D2" w14:textId="2378622C" w:rsidR="00073629" w:rsidRPr="006B4730" w:rsidRDefault="00073629" w:rsidP="006E7460">
      <w:pPr>
        <w:pStyle w:val="Heading4"/>
        <w:jc w:val="left"/>
        <w:rPr>
          <w:rFonts w:eastAsia="Times New Roman"/>
          <w:shd w:val="clear" w:color="auto" w:fill="FFFFFF"/>
          <w:lang w:val="en-AU"/>
        </w:rPr>
      </w:pPr>
      <w:r w:rsidRPr="006B4730">
        <w:rPr>
          <w:rFonts w:eastAsia="Times New Roman"/>
          <w:shd w:val="clear" w:color="auto" w:fill="FFFFFF"/>
          <w:lang w:val="en-AU"/>
        </w:rPr>
        <w:lastRenderedPageBreak/>
        <w:t>Weak CYP3A4 inhibitors</w:t>
      </w:r>
    </w:p>
    <w:p w14:paraId="7C575532" w14:textId="12EE325F" w:rsidR="00073629" w:rsidRPr="006B4730" w:rsidRDefault="00073629" w:rsidP="006E7460">
      <w:pPr>
        <w:jc w:val="left"/>
        <w:rPr>
          <w:i/>
        </w:rPr>
      </w:pPr>
      <w:r w:rsidRPr="006B4730">
        <w:t xml:space="preserve">In an analysis of </w:t>
      </w:r>
      <w:r w:rsidR="00A628B2" w:rsidRPr="006B4730">
        <w:t>KERENDIA</w:t>
      </w:r>
      <w:r w:rsidRPr="006B4730">
        <w:t xml:space="preserve"> in patients, the use of </w:t>
      </w:r>
      <w:r w:rsidRPr="006B4730">
        <w:rPr>
          <w:bCs/>
        </w:rPr>
        <w:t>amiodarone</w:t>
      </w:r>
      <w:r w:rsidRPr="006B4730">
        <w:t>, a weak CYP3A4 inhibitor, was estimated to result in a 21% increase of finerenone AUC. Simulations suggest that fluvoxamine (100 mg BID), another weak inhibitor, increases finerenone AUC (+57%) and C</w:t>
      </w:r>
      <w:r w:rsidRPr="006B4730">
        <w:rPr>
          <w:vertAlign w:val="subscript"/>
        </w:rPr>
        <w:t>max</w:t>
      </w:r>
      <w:r w:rsidRPr="006B4730">
        <w:t xml:space="preserve"> (+38%). Serum potassium may increase, and therefore, monitoring of serum potassium is recommended </w:t>
      </w:r>
      <w:r w:rsidRPr="004A4E8F">
        <w:rPr>
          <w:iCs/>
        </w:rPr>
        <w:t xml:space="preserve">(see </w:t>
      </w:r>
      <w:r w:rsidR="00B15C94" w:rsidRPr="004A4E8F">
        <w:rPr>
          <w:iCs/>
        </w:rPr>
        <w:t>Section</w:t>
      </w:r>
      <w:r w:rsidRPr="004A4E8F">
        <w:rPr>
          <w:iCs/>
        </w:rPr>
        <w:t xml:space="preserve">s </w:t>
      </w:r>
      <w:r w:rsidR="00A62CEC" w:rsidRPr="004A4E8F">
        <w:rPr>
          <w:iCs/>
        </w:rPr>
        <w:fldChar w:fldCharType="begin" w:fldLock="1"/>
      </w:r>
      <w:r w:rsidR="00A62CEC" w:rsidRPr="004A4E8F">
        <w:rPr>
          <w:iCs/>
        </w:rPr>
        <w:instrText xml:space="preserve"> REF _Ref79419993 \h  \* MERGEFORMAT </w:instrText>
      </w:r>
      <w:r w:rsidR="00A62CEC" w:rsidRPr="004A4E8F">
        <w:rPr>
          <w:iCs/>
        </w:rPr>
      </w:r>
      <w:r w:rsidR="00A62CEC" w:rsidRPr="004A4E8F">
        <w:rPr>
          <w:iCs/>
        </w:rPr>
        <w:fldChar w:fldCharType="separate"/>
      </w:r>
      <w:r w:rsidR="004A4E8F" w:rsidRPr="004A4E8F">
        <w:rPr>
          <w:iCs/>
        </w:rPr>
        <w:t>4.2 DOSE AND METHOD OF ADMINISTRATION</w:t>
      </w:r>
      <w:r w:rsidR="00A62CEC" w:rsidRPr="004A4E8F">
        <w:rPr>
          <w:iCs/>
        </w:rPr>
        <w:fldChar w:fldCharType="end"/>
      </w:r>
      <w:r w:rsidRPr="004A4E8F">
        <w:rPr>
          <w:iCs/>
        </w:rPr>
        <w:t xml:space="preserve"> and </w:t>
      </w:r>
      <w:r w:rsidR="006014ED" w:rsidRPr="004A4E8F">
        <w:rPr>
          <w:iCs/>
        </w:rPr>
        <w:t xml:space="preserve"> </w:t>
      </w:r>
      <w:r w:rsidR="00A62CEC" w:rsidRPr="004A4E8F">
        <w:rPr>
          <w:iCs/>
        </w:rPr>
        <w:fldChar w:fldCharType="begin" w:fldLock="1"/>
      </w:r>
      <w:r w:rsidR="00A62CEC" w:rsidRPr="004A4E8F">
        <w:rPr>
          <w:iCs/>
        </w:rPr>
        <w:instrText xml:space="preserve"> REF _Ref79419895 \h  \* MERGEFORMAT </w:instrText>
      </w:r>
      <w:r w:rsidR="00A62CEC" w:rsidRPr="004A4E8F">
        <w:rPr>
          <w:iCs/>
        </w:rPr>
      </w:r>
      <w:r w:rsidR="00A62CEC" w:rsidRPr="004A4E8F">
        <w:rPr>
          <w:iCs/>
        </w:rPr>
        <w:fldChar w:fldCharType="separate"/>
      </w:r>
      <w:r w:rsidR="004A4E8F" w:rsidRPr="004A4E8F">
        <w:rPr>
          <w:iCs/>
        </w:rPr>
        <w:t>4.4 SPECIAL WARNINGS AND PRECAUTIONS FOR USE</w:t>
      </w:r>
      <w:r w:rsidR="00A62CEC" w:rsidRPr="004A4E8F">
        <w:rPr>
          <w:iCs/>
        </w:rPr>
        <w:fldChar w:fldCharType="end"/>
      </w:r>
      <w:r w:rsidRPr="004A4E8F">
        <w:rPr>
          <w:iCs/>
        </w:rPr>
        <w:t>)</w:t>
      </w:r>
      <w:r w:rsidRPr="006B4730">
        <w:rPr>
          <w:i/>
        </w:rPr>
        <w:t xml:space="preserve">. </w:t>
      </w:r>
    </w:p>
    <w:p w14:paraId="3D6C673C" w14:textId="77777777" w:rsidR="00073629" w:rsidRPr="006B4730" w:rsidRDefault="00073629" w:rsidP="006E7460">
      <w:pPr>
        <w:pStyle w:val="Heading4"/>
        <w:jc w:val="left"/>
        <w:rPr>
          <w:rFonts w:eastAsia="Times New Roman"/>
          <w:shd w:val="clear" w:color="auto" w:fill="FFFFFF"/>
          <w:lang w:val="en-AU"/>
        </w:rPr>
      </w:pPr>
      <w:r w:rsidRPr="006B4730">
        <w:rPr>
          <w:rFonts w:eastAsia="Times New Roman"/>
          <w:shd w:val="clear" w:color="auto" w:fill="FFFFFF"/>
          <w:lang w:val="en-AU"/>
        </w:rPr>
        <w:t>Grapefruit</w:t>
      </w:r>
    </w:p>
    <w:p w14:paraId="02C13D3F" w14:textId="40C96747" w:rsidR="00073629" w:rsidRPr="006B4730" w:rsidRDefault="00073629" w:rsidP="006E7460">
      <w:pPr>
        <w:jc w:val="left"/>
      </w:pPr>
      <w:r w:rsidRPr="006B4730">
        <w:t xml:space="preserve">Concomitant intake of grapefruit or grapefruit juice is expected to increase the plasma concentration of finerenone and should be avoided </w:t>
      </w:r>
      <w:r w:rsidRPr="004A4E8F">
        <w:rPr>
          <w:iCs/>
        </w:rPr>
        <w:t xml:space="preserve">(see </w:t>
      </w:r>
      <w:r w:rsidR="00B15C94" w:rsidRPr="004A4E8F">
        <w:rPr>
          <w:iCs/>
        </w:rPr>
        <w:t>Section</w:t>
      </w:r>
      <w:r w:rsidR="00924B7D" w:rsidRPr="004A4E8F">
        <w:rPr>
          <w:iCs/>
        </w:rPr>
        <w:t xml:space="preserve">s </w:t>
      </w:r>
      <w:r w:rsidR="00924B7D" w:rsidRPr="004A4E8F">
        <w:rPr>
          <w:iCs/>
        </w:rPr>
        <w:fldChar w:fldCharType="begin" w:fldLock="1"/>
      </w:r>
      <w:r w:rsidR="00924B7D" w:rsidRPr="004A4E8F">
        <w:rPr>
          <w:iCs/>
        </w:rPr>
        <w:instrText xml:space="preserve"> REF _Ref79419993 \h  \* MERGEFORMAT </w:instrText>
      </w:r>
      <w:r w:rsidR="00924B7D" w:rsidRPr="004A4E8F">
        <w:rPr>
          <w:iCs/>
        </w:rPr>
      </w:r>
      <w:r w:rsidR="00924B7D" w:rsidRPr="004A4E8F">
        <w:rPr>
          <w:iCs/>
        </w:rPr>
        <w:fldChar w:fldCharType="separate"/>
      </w:r>
      <w:r w:rsidR="00924B7D" w:rsidRPr="004A4E8F">
        <w:rPr>
          <w:iCs/>
        </w:rPr>
        <w:t xml:space="preserve">4.2 </w:t>
      </w:r>
      <w:r w:rsidR="004A4E8F" w:rsidRPr="004A4E8F">
        <w:rPr>
          <w:iCs/>
        </w:rPr>
        <w:t>DOSE AND METHOD OF ADMINISTRATION</w:t>
      </w:r>
      <w:r w:rsidR="00924B7D" w:rsidRPr="004A4E8F">
        <w:rPr>
          <w:iCs/>
        </w:rPr>
        <w:fldChar w:fldCharType="end"/>
      </w:r>
      <w:r w:rsidR="00924B7D" w:rsidRPr="004A4E8F">
        <w:rPr>
          <w:iCs/>
        </w:rPr>
        <w:t xml:space="preserve"> and </w:t>
      </w:r>
      <w:r w:rsidR="00924B7D" w:rsidRPr="004A4E8F">
        <w:rPr>
          <w:iCs/>
        </w:rPr>
        <w:fldChar w:fldCharType="begin" w:fldLock="1"/>
      </w:r>
      <w:r w:rsidR="00924B7D" w:rsidRPr="004A4E8F">
        <w:rPr>
          <w:iCs/>
        </w:rPr>
        <w:instrText xml:space="preserve"> REF _Ref79419895 \h  \* MERGEFORMAT </w:instrText>
      </w:r>
      <w:r w:rsidR="00924B7D" w:rsidRPr="004A4E8F">
        <w:rPr>
          <w:iCs/>
        </w:rPr>
      </w:r>
      <w:r w:rsidR="00924B7D" w:rsidRPr="004A4E8F">
        <w:rPr>
          <w:iCs/>
        </w:rPr>
        <w:fldChar w:fldCharType="separate"/>
      </w:r>
      <w:r w:rsidR="00924B7D" w:rsidRPr="004A4E8F">
        <w:rPr>
          <w:iCs/>
        </w:rPr>
        <w:t xml:space="preserve">4.4 </w:t>
      </w:r>
      <w:r w:rsidR="004A4E8F" w:rsidRPr="004A4E8F">
        <w:rPr>
          <w:iCs/>
        </w:rPr>
        <w:t>SPECIAL WARNINGS AND PRECAUTIONS FOR USE</w:t>
      </w:r>
      <w:r w:rsidR="00924B7D" w:rsidRPr="004A4E8F">
        <w:rPr>
          <w:iCs/>
        </w:rPr>
        <w:fldChar w:fldCharType="end"/>
      </w:r>
      <w:r w:rsidRPr="004A4E8F">
        <w:rPr>
          <w:iCs/>
        </w:rPr>
        <w:t>)</w:t>
      </w:r>
      <w:r w:rsidRPr="006B4730">
        <w:t>.</w:t>
      </w:r>
    </w:p>
    <w:p w14:paraId="4AF6B663" w14:textId="77777777" w:rsidR="00B43E78" w:rsidRPr="006B4730" w:rsidRDefault="00B43E78" w:rsidP="006E7460">
      <w:pPr>
        <w:jc w:val="left"/>
      </w:pPr>
    </w:p>
    <w:p w14:paraId="34D7893C" w14:textId="77777777" w:rsidR="00073629" w:rsidRPr="006B4730" w:rsidRDefault="00073629" w:rsidP="006E7460">
      <w:pPr>
        <w:pStyle w:val="Heading3"/>
        <w:jc w:val="left"/>
      </w:pPr>
      <w:r w:rsidRPr="006B4730">
        <w:t xml:space="preserve">Effect of strong and moderate CYP3A4 inducers on finerenone  </w:t>
      </w:r>
    </w:p>
    <w:p w14:paraId="4BB88A5A" w14:textId="77777777" w:rsidR="00073629" w:rsidRPr="006B4730" w:rsidRDefault="00073629" w:rsidP="006E7460">
      <w:pPr>
        <w:jc w:val="left"/>
      </w:pPr>
      <w:r w:rsidRPr="006B4730">
        <w:t>Simulations suggest that rifampicin (600 mg OD), a strong CYP3A4 inducer, decreases finerenone AUC (-93%) and C</w:t>
      </w:r>
      <w:r w:rsidRPr="00921138">
        <w:rPr>
          <w:vertAlign w:val="subscript"/>
        </w:rPr>
        <w:t>max</w:t>
      </w:r>
      <w:r w:rsidRPr="006B4730">
        <w:t xml:space="preserve"> (-86%). Efavirenz (600 mg OD), a moderate CYP3A4 inducer, is predicted to decrease finerenone AUC (-81%) and C</w:t>
      </w:r>
      <w:r w:rsidRPr="00921138">
        <w:rPr>
          <w:vertAlign w:val="subscript"/>
        </w:rPr>
        <w:t>max</w:t>
      </w:r>
      <w:r w:rsidRPr="006B4730">
        <w:t xml:space="preserve"> (-68%).</w:t>
      </w:r>
    </w:p>
    <w:p w14:paraId="01A08A72" w14:textId="59123A79" w:rsidR="00073629" w:rsidRPr="006B4730" w:rsidRDefault="00073629" w:rsidP="006E7460">
      <w:pPr>
        <w:jc w:val="left"/>
      </w:pPr>
      <w:r w:rsidRPr="006B4730">
        <w:t xml:space="preserve">Concomitant use of </w:t>
      </w:r>
      <w:r w:rsidR="00A628B2" w:rsidRPr="006B4730">
        <w:t>KERENDIA</w:t>
      </w:r>
      <w:r w:rsidRPr="006B4730">
        <w:t xml:space="preserve"> with rifampicin and other strong CYP3A4 inducers (e.g., carbamazepine, phenytoin, phenobarbital, St John’s Wort) or with efavirenz and other moderate CYP3A4 inducers, markedly decreases finerenone plasma concentration and results in reduced therapeutic effect and should be avoided (see </w:t>
      </w:r>
      <w:r w:rsidR="00B15C94">
        <w:t>Section</w:t>
      </w:r>
      <w:r w:rsidRPr="006B4730">
        <w:t xml:space="preserve"> </w:t>
      </w:r>
      <w:r w:rsidR="00C15C56" w:rsidRPr="004A4E8F">
        <w:rPr>
          <w:iCs/>
        </w:rPr>
        <w:fldChar w:fldCharType="begin" w:fldLock="1"/>
      </w:r>
      <w:r w:rsidR="00C15C56" w:rsidRPr="004A4E8F">
        <w:rPr>
          <w:iCs/>
        </w:rPr>
        <w:instrText xml:space="preserve"> REF _Ref79419895 \h  \* MERGEFORMAT </w:instrText>
      </w:r>
      <w:r w:rsidR="00C15C56" w:rsidRPr="004A4E8F">
        <w:rPr>
          <w:iCs/>
        </w:rPr>
      </w:r>
      <w:r w:rsidR="00C15C56" w:rsidRPr="004A4E8F">
        <w:rPr>
          <w:iCs/>
        </w:rPr>
        <w:fldChar w:fldCharType="separate"/>
      </w:r>
      <w:r w:rsidR="00C15C56" w:rsidRPr="004A4E8F">
        <w:rPr>
          <w:iCs/>
        </w:rPr>
        <w:t>4.4 SPECIAL WARNINGS AND PRECAUTIONS FOR USE</w:t>
      </w:r>
      <w:r w:rsidR="00C15C56" w:rsidRPr="004A4E8F">
        <w:rPr>
          <w:iCs/>
        </w:rPr>
        <w:fldChar w:fldCharType="end"/>
      </w:r>
      <w:r w:rsidRPr="006B4730">
        <w:t>).</w:t>
      </w:r>
    </w:p>
    <w:p w14:paraId="1D605FC5" w14:textId="77777777" w:rsidR="0061413A" w:rsidRPr="006B4730" w:rsidRDefault="0061413A" w:rsidP="006E7460">
      <w:pPr>
        <w:pStyle w:val="Heading4"/>
        <w:jc w:val="left"/>
        <w:rPr>
          <w:lang w:val="en-AU"/>
        </w:rPr>
      </w:pPr>
      <w:r w:rsidRPr="006B4730">
        <w:rPr>
          <w:lang w:val="en-AU"/>
        </w:rPr>
        <w:t>Lack of clinically relevant drug-drug interaction</w:t>
      </w:r>
    </w:p>
    <w:p w14:paraId="6C0FA6E2" w14:textId="5C5AFBB4" w:rsidR="00073629" w:rsidRPr="006B4730" w:rsidRDefault="00073629" w:rsidP="006E7460">
      <w:pPr>
        <w:pStyle w:val="BayerBodyTextFull"/>
        <w:rPr>
          <w:rFonts w:ascii="Arial" w:hAnsi="Arial"/>
          <w:sz w:val="22"/>
        </w:rPr>
      </w:pPr>
      <w:r w:rsidRPr="006B4730">
        <w:rPr>
          <w:rFonts w:ascii="Arial" w:hAnsi="Arial"/>
          <w:sz w:val="22"/>
        </w:rPr>
        <w:t>Concomitant use of gemfibrozil (600 mg twice daily), a strong inhibitor of CYP2C8, increased finerenone mean AUC and C</w:t>
      </w:r>
      <w:r w:rsidRPr="006B4730">
        <w:rPr>
          <w:rFonts w:ascii="Arial" w:hAnsi="Arial"/>
          <w:sz w:val="22"/>
          <w:vertAlign w:val="subscript"/>
        </w:rPr>
        <w:t xml:space="preserve">max </w:t>
      </w:r>
      <w:r w:rsidRPr="006B4730">
        <w:rPr>
          <w:rFonts w:ascii="Arial" w:hAnsi="Arial"/>
          <w:sz w:val="22"/>
        </w:rPr>
        <w:t xml:space="preserve">by 10% and 16%, respectively. This is not clinically relevant. </w:t>
      </w:r>
    </w:p>
    <w:p w14:paraId="2F822437" w14:textId="738A04D2" w:rsidR="00073629" w:rsidRPr="006B4730" w:rsidRDefault="00073629" w:rsidP="006E7460">
      <w:pPr>
        <w:pStyle w:val="BayerBodyTextFull"/>
        <w:rPr>
          <w:rFonts w:ascii="Arial" w:hAnsi="Arial"/>
          <w:sz w:val="22"/>
        </w:rPr>
      </w:pPr>
      <w:r w:rsidRPr="006B4730">
        <w:rPr>
          <w:rFonts w:ascii="Arial" w:hAnsi="Arial"/>
          <w:sz w:val="22"/>
        </w:rPr>
        <w:t>Pre</w:t>
      </w:r>
      <w:r w:rsidRPr="006B4730">
        <w:rPr>
          <w:rFonts w:ascii="Arial" w:hAnsi="Arial"/>
          <w:sz w:val="22"/>
        </w:rPr>
        <w:noBreakHyphen/>
        <w:t xml:space="preserve"> and co</w:t>
      </w:r>
      <w:r w:rsidRPr="006B4730">
        <w:rPr>
          <w:rFonts w:ascii="Arial" w:hAnsi="Arial"/>
          <w:sz w:val="22"/>
        </w:rPr>
        <w:noBreakHyphen/>
        <w:t>treatment with the proton pump inhibitor omeprazole (40 mg once daily) had no effect on finerenone mean AUC and mean C</w:t>
      </w:r>
      <w:r w:rsidRPr="006B4730">
        <w:rPr>
          <w:rFonts w:ascii="Arial" w:hAnsi="Arial"/>
          <w:sz w:val="22"/>
          <w:vertAlign w:val="subscript"/>
        </w:rPr>
        <w:t>max</w:t>
      </w:r>
      <w:r w:rsidRPr="006B4730">
        <w:rPr>
          <w:rFonts w:ascii="Arial" w:hAnsi="Arial"/>
          <w:sz w:val="22"/>
        </w:rPr>
        <w:t xml:space="preserve">. </w:t>
      </w:r>
    </w:p>
    <w:p w14:paraId="2EB40C0D" w14:textId="7C7F8955" w:rsidR="00073629" w:rsidRPr="006B4730" w:rsidRDefault="00073629" w:rsidP="006E7460">
      <w:pPr>
        <w:pStyle w:val="BayerBodyTextFull"/>
        <w:rPr>
          <w:rFonts w:ascii="Arial" w:hAnsi="Arial"/>
          <w:sz w:val="22"/>
        </w:rPr>
      </w:pPr>
      <w:r w:rsidRPr="006B4730">
        <w:rPr>
          <w:rFonts w:ascii="Arial" w:hAnsi="Arial"/>
          <w:sz w:val="22"/>
        </w:rPr>
        <w:t>Concomitant use of antacid alumin</w:t>
      </w:r>
      <w:r w:rsidR="00EC33F2">
        <w:rPr>
          <w:rFonts w:ascii="Arial" w:hAnsi="Arial"/>
          <w:sz w:val="22"/>
        </w:rPr>
        <w:t>i</w:t>
      </w:r>
      <w:r w:rsidRPr="006B4730">
        <w:rPr>
          <w:rFonts w:ascii="Arial" w:hAnsi="Arial"/>
          <w:sz w:val="22"/>
        </w:rPr>
        <w:t>um hydroxide and magnesium hydroxide (70 mVal) had no effect on finerenone mean AUC and reduced its mean C</w:t>
      </w:r>
      <w:r w:rsidRPr="006B4730">
        <w:rPr>
          <w:rFonts w:ascii="Arial" w:hAnsi="Arial"/>
          <w:sz w:val="22"/>
          <w:vertAlign w:val="subscript"/>
        </w:rPr>
        <w:t>max</w:t>
      </w:r>
      <w:r w:rsidRPr="006B4730">
        <w:rPr>
          <w:rFonts w:ascii="Arial" w:hAnsi="Arial"/>
          <w:sz w:val="22"/>
        </w:rPr>
        <w:t xml:space="preserve"> by 19%. This is not clinically relevant. </w:t>
      </w:r>
    </w:p>
    <w:p w14:paraId="51D95C4A" w14:textId="77777777" w:rsidR="0061413A" w:rsidRPr="006B4730" w:rsidRDefault="0061413A" w:rsidP="006E7460">
      <w:pPr>
        <w:jc w:val="left"/>
      </w:pPr>
    </w:p>
    <w:p w14:paraId="4C392E18" w14:textId="0491846E" w:rsidR="0061413A" w:rsidRPr="006B4730" w:rsidRDefault="0061413A" w:rsidP="006E7460">
      <w:pPr>
        <w:pStyle w:val="Heading3"/>
        <w:jc w:val="left"/>
      </w:pPr>
      <w:r w:rsidRPr="006B4730">
        <w:t>Effect of finerenone on other substances</w:t>
      </w:r>
    </w:p>
    <w:p w14:paraId="3A0842D9" w14:textId="0E84EC57" w:rsidR="00073629" w:rsidRPr="006B4730" w:rsidRDefault="00073629" w:rsidP="006E7460">
      <w:pPr>
        <w:jc w:val="left"/>
      </w:pPr>
      <w:r w:rsidRPr="006B4730">
        <w:rPr>
          <w:i/>
        </w:rPr>
        <w:t>In vivo</w:t>
      </w:r>
      <w:r w:rsidRPr="006B4730">
        <w:t xml:space="preserve"> a multiple-dose regimen of 20 mg finerenone once-daily had no effect on the AUC of the CYP3A4 probe substrate midazolam. Finerenone neither inhibits nor induces CYP3A4</w:t>
      </w:r>
      <w:r w:rsidR="00EC1DD5">
        <w:t xml:space="preserve"> </w:t>
      </w:r>
      <w:r w:rsidR="00EC1DD5" w:rsidRPr="00EC1DD5">
        <w:t>in patients at therapeutic doses.</w:t>
      </w:r>
    </w:p>
    <w:p w14:paraId="69F95765" w14:textId="0B8D3DC8" w:rsidR="00073629" w:rsidRPr="006B4730" w:rsidRDefault="00073629" w:rsidP="006E7460">
      <w:pPr>
        <w:jc w:val="left"/>
      </w:pPr>
      <w:r w:rsidRPr="006B4730">
        <w:t>A single dose of 20 mg finerenone also had no effect on AUC and C</w:t>
      </w:r>
      <w:r w:rsidRPr="006B4730">
        <w:rPr>
          <w:vertAlign w:val="subscript"/>
        </w:rPr>
        <w:t>max</w:t>
      </w:r>
      <w:r w:rsidRPr="006B4730">
        <w:t xml:space="preserve"> of the CYP2C8 probe substrate repaglinide. Finerenone does not inhibit CYP2C8</w:t>
      </w:r>
      <w:r w:rsidR="00EC1DD5">
        <w:t xml:space="preserve"> </w:t>
      </w:r>
      <w:r w:rsidR="00EC1DD5" w:rsidRPr="00EC1DD5">
        <w:t>in patients at therapeutic doses</w:t>
      </w:r>
      <w:r w:rsidRPr="006B4730">
        <w:t xml:space="preserve">. </w:t>
      </w:r>
    </w:p>
    <w:p w14:paraId="1D9AB25B" w14:textId="7EFDD4EA" w:rsidR="00073629" w:rsidRPr="006B4730" w:rsidRDefault="00073629" w:rsidP="006E7460">
      <w:pPr>
        <w:jc w:val="left"/>
      </w:pPr>
      <w:r w:rsidRPr="006B4730">
        <w:t xml:space="preserve">Lack of mutual pharmacokinetic interaction was demonstrated between finerenone and the CYP2C9 substrate warfarin and between finerenone and the P-gp substrate digoxin. </w:t>
      </w:r>
    </w:p>
    <w:p w14:paraId="7396B972" w14:textId="77777777" w:rsidR="00B43E78" w:rsidRPr="006B4730" w:rsidRDefault="00B43E78" w:rsidP="006E7460">
      <w:pPr>
        <w:jc w:val="left"/>
      </w:pPr>
    </w:p>
    <w:p w14:paraId="63A573A8" w14:textId="288C075D" w:rsidR="0061413A" w:rsidRPr="006B4730" w:rsidRDefault="0061413A" w:rsidP="006E7460">
      <w:pPr>
        <w:pStyle w:val="Heading3"/>
        <w:jc w:val="left"/>
      </w:pPr>
      <w:r w:rsidRPr="006B4730">
        <w:t>Pharmacodynamic interactions</w:t>
      </w:r>
    </w:p>
    <w:p w14:paraId="28F8CB60" w14:textId="77777777" w:rsidR="0061413A" w:rsidRPr="006B4730" w:rsidRDefault="0061413A" w:rsidP="006E7460">
      <w:pPr>
        <w:pStyle w:val="Heading4"/>
        <w:jc w:val="left"/>
        <w:rPr>
          <w:lang w:val="en-AU" w:eastAsia="de-DE"/>
        </w:rPr>
      </w:pPr>
      <w:r w:rsidRPr="006B4730">
        <w:rPr>
          <w:lang w:val="en-AU" w:eastAsia="de-DE"/>
        </w:rPr>
        <w:t>Medications that increase serum potassium</w:t>
      </w:r>
    </w:p>
    <w:p w14:paraId="31BE582E" w14:textId="77777777" w:rsidR="00073629" w:rsidRPr="006B4730" w:rsidRDefault="00073629" w:rsidP="006E7460">
      <w:pPr>
        <w:pStyle w:val="Heading5"/>
        <w:jc w:val="left"/>
        <w:rPr>
          <w:rFonts w:cs="Arial"/>
          <w:lang w:eastAsia="de-DE"/>
        </w:rPr>
      </w:pPr>
      <w:bookmarkStart w:id="11" w:name="_Hlk50136911"/>
      <w:r w:rsidRPr="006B4730">
        <w:rPr>
          <w:rFonts w:cs="Arial"/>
          <w:lang w:eastAsia="de-DE"/>
        </w:rPr>
        <w:t>Medications that increase serum potassium</w:t>
      </w:r>
    </w:p>
    <w:p w14:paraId="6E499FB2" w14:textId="4ED0D959" w:rsidR="00073629" w:rsidRPr="006B4730" w:rsidRDefault="00073629" w:rsidP="006E7460">
      <w:pPr>
        <w:pStyle w:val="BayerBodyTextFull"/>
        <w:rPr>
          <w:rFonts w:ascii="Arial" w:hAnsi="Arial"/>
          <w:sz w:val="22"/>
          <w:lang w:eastAsia="de-DE"/>
        </w:rPr>
      </w:pPr>
      <w:r w:rsidRPr="006B4730">
        <w:rPr>
          <w:rFonts w:ascii="Arial" w:hAnsi="Arial"/>
          <w:sz w:val="22"/>
          <w:lang w:eastAsia="de-DE"/>
        </w:rPr>
        <w:t>It is anticipated that medications that increase serum potassium will increase the risk of hyperkal</w:t>
      </w:r>
      <w:r w:rsidR="00240911" w:rsidRPr="006B4730">
        <w:rPr>
          <w:rFonts w:ascii="Arial" w:hAnsi="Arial"/>
          <w:sz w:val="22"/>
          <w:lang w:eastAsia="de-DE"/>
        </w:rPr>
        <w:t>a</w:t>
      </w:r>
      <w:r w:rsidRPr="006B4730">
        <w:rPr>
          <w:rFonts w:ascii="Arial" w:hAnsi="Arial"/>
          <w:sz w:val="22"/>
          <w:lang w:eastAsia="de-DE"/>
        </w:rPr>
        <w:t xml:space="preserve">emia when used concomitantly with </w:t>
      </w:r>
      <w:r w:rsidR="00A15E01" w:rsidRPr="006B4730">
        <w:rPr>
          <w:rFonts w:ascii="Arial" w:hAnsi="Arial"/>
          <w:sz w:val="22"/>
        </w:rPr>
        <w:t>KERENDIA</w:t>
      </w:r>
      <w:r w:rsidRPr="006B4730">
        <w:rPr>
          <w:rFonts w:ascii="Arial" w:hAnsi="Arial"/>
          <w:sz w:val="22"/>
          <w:lang w:eastAsia="de-DE"/>
        </w:rPr>
        <w:t xml:space="preserve">. </w:t>
      </w:r>
    </w:p>
    <w:p w14:paraId="19805857" w14:textId="0271825F" w:rsidR="00073629" w:rsidRPr="006B4730" w:rsidRDefault="00073629" w:rsidP="006E7460">
      <w:pPr>
        <w:autoSpaceDE w:val="0"/>
        <w:autoSpaceDN w:val="0"/>
        <w:spacing w:before="120"/>
        <w:jc w:val="left"/>
      </w:pPr>
      <w:r w:rsidRPr="006B4730">
        <w:lastRenderedPageBreak/>
        <w:t xml:space="preserve">Concomitant use of </w:t>
      </w:r>
      <w:r w:rsidR="00007B4E" w:rsidRPr="006B4730">
        <w:t>KERENDIA</w:t>
      </w:r>
      <w:r w:rsidRPr="006B4730">
        <w:t xml:space="preserve"> with the following medications should be avoided:</w:t>
      </w:r>
    </w:p>
    <w:p w14:paraId="6BC9D200" w14:textId="77777777" w:rsidR="00073629" w:rsidRPr="006B4730" w:rsidRDefault="00073629" w:rsidP="006E7460">
      <w:pPr>
        <w:pStyle w:val="ListParagraph"/>
        <w:widowControl/>
        <w:numPr>
          <w:ilvl w:val="0"/>
          <w:numId w:val="31"/>
        </w:numPr>
        <w:spacing w:before="120"/>
        <w:ind w:left="1080"/>
        <w:contextualSpacing/>
      </w:pPr>
      <w:r w:rsidRPr="006B4730">
        <w:t>potassium-sparing diuretics (e.g., amiloride, triamterene)</w:t>
      </w:r>
    </w:p>
    <w:p w14:paraId="388A4662" w14:textId="2CE40A09" w:rsidR="00073629" w:rsidRPr="006B4730" w:rsidRDefault="00073629" w:rsidP="006E7460">
      <w:pPr>
        <w:pStyle w:val="ListParagraph"/>
        <w:widowControl/>
        <w:numPr>
          <w:ilvl w:val="0"/>
          <w:numId w:val="31"/>
        </w:numPr>
        <w:spacing w:before="120"/>
        <w:ind w:left="1080"/>
        <w:contextualSpacing/>
      </w:pPr>
      <w:r w:rsidRPr="006B4730">
        <w:t>other mineralocorticoid receptor antagonists (MRAs) (e.g., eplerenone, spironolactone)</w:t>
      </w:r>
    </w:p>
    <w:p w14:paraId="3BF61B47" w14:textId="452FB594" w:rsidR="00073629" w:rsidRPr="006B4730" w:rsidRDefault="00A628B2" w:rsidP="006E7460">
      <w:pPr>
        <w:autoSpaceDE w:val="0"/>
        <w:autoSpaceDN w:val="0"/>
        <w:spacing w:before="120"/>
        <w:jc w:val="left"/>
        <w:rPr>
          <w:rFonts w:eastAsia="TimesNewRoman"/>
        </w:rPr>
      </w:pPr>
      <w:r w:rsidRPr="006B4730">
        <w:t>KERENDIA</w:t>
      </w:r>
      <w:r w:rsidR="00073629" w:rsidRPr="006B4730">
        <w:t xml:space="preserve"> should be used </w:t>
      </w:r>
      <w:r w:rsidR="00073629" w:rsidRPr="006B4730">
        <w:rPr>
          <w:rFonts w:eastAsia="TimesNewRoman"/>
        </w:rPr>
        <w:t>with caution and serum potassium monitored when taken concomitantly with the following medications</w:t>
      </w:r>
      <w:r w:rsidR="00073629" w:rsidRPr="006B4730">
        <w:t xml:space="preserve">: </w:t>
      </w:r>
    </w:p>
    <w:p w14:paraId="6B815446" w14:textId="77777777" w:rsidR="00073629" w:rsidRPr="006B4730" w:rsidRDefault="00073629" w:rsidP="006E7460">
      <w:pPr>
        <w:pStyle w:val="ListParagraph"/>
        <w:widowControl/>
        <w:numPr>
          <w:ilvl w:val="0"/>
          <w:numId w:val="31"/>
        </w:numPr>
        <w:spacing w:before="120"/>
        <w:ind w:left="1080"/>
        <w:contextualSpacing/>
      </w:pPr>
      <w:r w:rsidRPr="006B4730">
        <w:rPr>
          <w:color w:val="000000"/>
        </w:rPr>
        <w:t>potassium supplements</w:t>
      </w:r>
    </w:p>
    <w:p w14:paraId="5B8AE755" w14:textId="29517F19" w:rsidR="00073629" w:rsidRPr="006B4730" w:rsidRDefault="00073629" w:rsidP="006E7460">
      <w:pPr>
        <w:pStyle w:val="ListParagraph"/>
        <w:widowControl/>
        <w:numPr>
          <w:ilvl w:val="0"/>
          <w:numId w:val="31"/>
        </w:numPr>
        <w:spacing w:before="120"/>
        <w:ind w:left="1080"/>
        <w:contextualSpacing/>
      </w:pPr>
      <w:bookmarkStart w:id="12" w:name="_Hlk51979572"/>
      <w:r w:rsidRPr="006B4730">
        <w:rPr>
          <w:rFonts w:eastAsia="TimesNewRoman"/>
        </w:rPr>
        <w:t xml:space="preserve">trimethoprim, or trimethoprim-sulfamethoxazole. Temporary discontinuation of </w:t>
      </w:r>
      <w:r w:rsidRPr="006B4730">
        <w:t>K</w:t>
      </w:r>
      <w:r w:rsidR="00A15E01" w:rsidRPr="006B4730">
        <w:t xml:space="preserve">ERENDIA </w:t>
      </w:r>
      <w:r w:rsidRPr="006B4730">
        <w:t>may be necessary.</w:t>
      </w:r>
    </w:p>
    <w:p w14:paraId="7AD982EA" w14:textId="70BE2A9E" w:rsidR="00073629" w:rsidRPr="00E11745" w:rsidRDefault="00073629" w:rsidP="006E7460">
      <w:pPr>
        <w:autoSpaceDE w:val="0"/>
        <w:autoSpaceDN w:val="0"/>
        <w:spacing w:before="120"/>
        <w:jc w:val="left"/>
        <w:rPr>
          <w:iCs/>
        </w:rPr>
      </w:pPr>
      <w:r w:rsidRPr="00E11745">
        <w:rPr>
          <w:iCs/>
        </w:rPr>
        <w:t xml:space="preserve">(See </w:t>
      </w:r>
      <w:r w:rsidR="00B15C94" w:rsidRPr="00E11745">
        <w:rPr>
          <w:iCs/>
        </w:rPr>
        <w:t>Section</w:t>
      </w:r>
      <w:r w:rsidRPr="00E11745">
        <w:rPr>
          <w:iCs/>
        </w:rPr>
        <w:t xml:space="preserve"> </w:t>
      </w:r>
      <w:r w:rsidR="00E11745" w:rsidRPr="004A4E8F">
        <w:rPr>
          <w:iCs/>
        </w:rPr>
        <w:fldChar w:fldCharType="begin" w:fldLock="1"/>
      </w:r>
      <w:r w:rsidR="00E11745" w:rsidRPr="004A4E8F">
        <w:rPr>
          <w:iCs/>
        </w:rPr>
        <w:instrText xml:space="preserve"> REF _Ref79419895 \h  \* MERGEFORMAT </w:instrText>
      </w:r>
      <w:r w:rsidR="00E11745" w:rsidRPr="004A4E8F">
        <w:rPr>
          <w:iCs/>
        </w:rPr>
      </w:r>
      <w:r w:rsidR="00E11745" w:rsidRPr="004A4E8F">
        <w:rPr>
          <w:iCs/>
        </w:rPr>
        <w:fldChar w:fldCharType="separate"/>
      </w:r>
      <w:r w:rsidR="00E11745" w:rsidRPr="004A4E8F">
        <w:rPr>
          <w:iCs/>
        </w:rPr>
        <w:t>4.4 SPECIAL WARNINGS AND PRECAUTIONS FOR USE</w:t>
      </w:r>
      <w:r w:rsidR="00E11745" w:rsidRPr="004A4E8F">
        <w:rPr>
          <w:iCs/>
        </w:rPr>
        <w:fldChar w:fldCharType="end"/>
      </w:r>
      <w:r w:rsidRPr="00E11745">
        <w:rPr>
          <w:iCs/>
        </w:rPr>
        <w:t>)</w:t>
      </w:r>
    </w:p>
    <w:bookmarkEnd w:id="11"/>
    <w:bookmarkEnd w:id="12"/>
    <w:p w14:paraId="7FE779F7" w14:textId="77777777" w:rsidR="00F26D0D" w:rsidRPr="00E11745" w:rsidRDefault="00F26D0D" w:rsidP="006E7460">
      <w:pPr>
        <w:pStyle w:val="InstructionalText"/>
        <w:jc w:val="left"/>
        <w:rPr>
          <w:i w:val="0"/>
          <w:iCs/>
        </w:rPr>
      </w:pPr>
    </w:p>
    <w:p w14:paraId="3E2DADE7" w14:textId="77777777" w:rsidR="001A3992" w:rsidRPr="006B4730" w:rsidRDefault="008E41E1" w:rsidP="006E7460">
      <w:pPr>
        <w:pStyle w:val="Heading1"/>
        <w:numPr>
          <w:ilvl w:val="0"/>
          <w:numId w:val="0"/>
        </w:numPr>
        <w:ind w:left="432" w:hanging="432"/>
        <w:jc w:val="left"/>
      </w:pPr>
      <w:bookmarkStart w:id="13" w:name="_Ref88420177"/>
      <w:r w:rsidRPr="006B4730">
        <w:t xml:space="preserve">4.6 </w:t>
      </w:r>
      <w:r w:rsidR="001A3992" w:rsidRPr="006B4730">
        <w:t>Fer</w:t>
      </w:r>
      <w:r w:rsidR="00322873" w:rsidRPr="006B4730">
        <w:t>tility, pregnancy and lactation</w:t>
      </w:r>
      <w:bookmarkEnd w:id="13"/>
    </w:p>
    <w:p w14:paraId="25688B7C" w14:textId="414260D0" w:rsidR="001A3992" w:rsidRPr="006B4730" w:rsidRDefault="00322873" w:rsidP="006E7460">
      <w:pPr>
        <w:pStyle w:val="Heading3"/>
        <w:jc w:val="left"/>
      </w:pPr>
      <w:r w:rsidRPr="006B4730">
        <w:t>Effects on F</w:t>
      </w:r>
      <w:r w:rsidR="001A3992" w:rsidRPr="006B4730">
        <w:t>ertility</w:t>
      </w:r>
    </w:p>
    <w:p w14:paraId="2859AA78" w14:textId="4DBD1021" w:rsidR="00073629" w:rsidRPr="006B4730" w:rsidRDefault="00073629" w:rsidP="006E7460">
      <w:pPr>
        <w:jc w:val="left"/>
      </w:pPr>
      <w:r w:rsidRPr="006B4730">
        <w:t xml:space="preserve">No human data on the effect of </w:t>
      </w:r>
      <w:r w:rsidR="00A628B2" w:rsidRPr="006B4730">
        <w:t>KERENDIA</w:t>
      </w:r>
      <w:r w:rsidRPr="006B4730">
        <w:t xml:space="preserve"> on fertility </w:t>
      </w:r>
      <w:r w:rsidR="00BA34CA">
        <w:t>are</w:t>
      </w:r>
      <w:r w:rsidRPr="006B4730">
        <w:t xml:space="preserve"> available.  </w:t>
      </w:r>
      <w:r w:rsidR="00BA34CA" w:rsidRPr="00BA34CA">
        <w:t>No effect on male fertility was observed with finerenone in rats at oral doses up to 30 mg/kg/day (estimated to yield 16 times the exposure in patients at the maximum recommended human dose of 20 mg/day [based on plasma AUC for unbound drug]). In female rats, inhibition of ovulation was seen with treatment at 30 mg/kg/day (yielding 21 times the clinical exposure), while no effect on female fertility was observed at 3 mg/kg/day (relative exposure, 10). Based on these animal data and the margin of exposure, impairment of male and female fertility is not expected in patients.</w:t>
      </w:r>
    </w:p>
    <w:p w14:paraId="61713CD8" w14:textId="7353E05E" w:rsidR="00322873" w:rsidRPr="006B4730" w:rsidRDefault="001A3992" w:rsidP="006E7460">
      <w:pPr>
        <w:pStyle w:val="Heading3"/>
        <w:jc w:val="left"/>
      </w:pPr>
      <w:r w:rsidRPr="006B4730">
        <w:t xml:space="preserve">Use in </w:t>
      </w:r>
      <w:r w:rsidR="00322873" w:rsidRPr="006B4730">
        <w:t>P</w:t>
      </w:r>
      <w:r w:rsidRPr="006B4730">
        <w:t>regnancy</w:t>
      </w:r>
      <w:r w:rsidR="0005366B" w:rsidRPr="006B4730">
        <w:t xml:space="preserve"> (Category </w:t>
      </w:r>
      <w:r w:rsidR="00CD4075" w:rsidRPr="006B4730">
        <w:t>D</w:t>
      </w:r>
      <w:r w:rsidR="0005366B" w:rsidRPr="006B4730">
        <w:t>)</w:t>
      </w:r>
    </w:p>
    <w:p w14:paraId="3AE1ABDD" w14:textId="49F37D30" w:rsidR="006D035E" w:rsidRPr="006B4730" w:rsidRDefault="00BC3D53" w:rsidP="006E7460">
      <w:pPr>
        <w:jc w:val="left"/>
        <w:rPr>
          <w:highlight w:val="yellow"/>
        </w:rPr>
      </w:pPr>
      <w:r w:rsidRPr="006B4730">
        <w:t xml:space="preserve">There are no data on the use of </w:t>
      </w:r>
      <w:r w:rsidR="00A628B2" w:rsidRPr="006B4730">
        <w:t>KERENDIA</w:t>
      </w:r>
      <w:r w:rsidRPr="006B4730">
        <w:t xml:space="preserve"> in pregnant women. </w:t>
      </w:r>
    </w:p>
    <w:p w14:paraId="3853A030" w14:textId="77777777" w:rsidR="006D035E" w:rsidRPr="006B4730" w:rsidRDefault="006D035E" w:rsidP="006E7460">
      <w:pPr>
        <w:jc w:val="left"/>
        <w:rPr>
          <w:highlight w:val="yellow"/>
        </w:rPr>
      </w:pPr>
    </w:p>
    <w:p w14:paraId="1E67A502" w14:textId="77777777" w:rsidR="0063075D" w:rsidRDefault="0063075D" w:rsidP="006E7460">
      <w:pPr>
        <w:jc w:val="left"/>
      </w:pPr>
      <w:r w:rsidRPr="0063075D">
        <w:t xml:space="preserve">Adverse effects on embryofetal development, including teratogenicity, were observed with finerenone in animals. Placental transfer of finerenone and/or its metabolites was demonstrated in the rat. </w:t>
      </w:r>
    </w:p>
    <w:p w14:paraId="193E9811" w14:textId="03062936" w:rsidR="0063075D" w:rsidRPr="006B4730" w:rsidRDefault="0063075D" w:rsidP="006E7460">
      <w:pPr>
        <w:jc w:val="left"/>
      </w:pPr>
      <w:r w:rsidRPr="0063075D">
        <w:t>Administration of finerenone to pregnant rats reduced fetal weight and impaired fetal ossification at oral doses ≥10 mg/kg/day. Increased external and skeletal variations (slight oedema, shortened umbilical cord and slightly enlarged fontanelle) and malformation of the aortic arch were observed at 30 mg/kg/day. These doses yield exposure 19–25 times higher than in patients at the maximum recommended human dose of 20 mg/day (based on plasma AUC for unbound drug), and were maternotoxic. Maternal dosing with finerenone at ≥3 mg/kg/day during gestation and lactation (relative exposure, 4), decreased birth weight, increased perinatal mortality and slightly increased locomotor activity of rat pups. At 10 mg/kg/day, postnatal body weight gain was reduced and development delayed. The observed effect on neurobehaviour is consistent with a pharmacologically-mediated antidepressant-like effect of finerenone as a result of exposure in the fetal brain in utero. No adverse effects on embryofetal development were observed with finerenone in rabbits up to the highest dose tested (2.5 mg/kg/day, yielding 13 times the clinical exposure).</w:t>
      </w:r>
    </w:p>
    <w:p w14:paraId="3F2972BA" w14:textId="77777777" w:rsidR="006D035E" w:rsidRPr="006B4730" w:rsidRDefault="006D035E" w:rsidP="006E7460">
      <w:pPr>
        <w:jc w:val="left"/>
        <w:rPr>
          <w:highlight w:val="yellow"/>
        </w:rPr>
      </w:pPr>
    </w:p>
    <w:p w14:paraId="308B9909" w14:textId="2383FA96" w:rsidR="00BC3D53" w:rsidRPr="006B4730" w:rsidRDefault="00A628B2" w:rsidP="006E7460">
      <w:pPr>
        <w:jc w:val="left"/>
        <w:rPr>
          <w:rFonts w:ascii="Segoe UI" w:hAnsi="Segoe UI" w:cs="Segoe UI"/>
          <w:color w:val="000000"/>
          <w:sz w:val="20"/>
        </w:rPr>
      </w:pPr>
      <w:r w:rsidRPr="006B4730">
        <w:t>KERENDIA</w:t>
      </w:r>
      <w:r w:rsidR="00BC3D53" w:rsidRPr="006B4730">
        <w:t xml:space="preserve"> should not be used during pregnancy unless there has been careful consideration of the benefit for the mother and the risk to the fetus</w:t>
      </w:r>
      <w:r w:rsidR="00BC3D53" w:rsidRPr="006B4730">
        <w:rPr>
          <w:i/>
          <w:szCs w:val="24"/>
        </w:rPr>
        <w:t xml:space="preserve"> </w:t>
      </w:r>
      <w:r w:rsidR="00BC3D53" w:rsidRPr="0011517C">
        <w:rPr>
          <w:iCs/>
          <w:szCs w:val="24"/>
        </w:rPr>
        <w:t xml:space="preserve">(see </w:t>
      </w:r>
      <w:r w:rsidR="00B15C94" w:rsidRPr="0011517C">
        <w:rPr>
          <w:iCs/>
          <w:szCs w:val="24"/>
        </w:rPr>
        <w:t>Section</w:t>
      </w:r>
      <w:r w:rsidR="00BC3D53" w:rsidRPr="0011517C">
        <w:rPr>
          <w:iCs/>
          <w:szCs w:val="24"/>
        </w:rPr>
        <w:t xml:space="preserve"> </w:t>
      </w:r>
      <w:r w:rsidR="0011517C" w:rsidRPr="004A4E8F">
        <w:rPr>
          <w:iCs/>
        </w:rPr>
        <w:fldChar w:fldCharType="begin" w:fldLock="1"/>
      </w:r>
      <w:r w:rsidR="0011517C" w:rsidRPr="004A4E8F">
        <w:rPr>
          <w:iCs/>
        </w:rPr>
        <w:instrText xml:space="preserve"> REF _Ref79419895 \h  \* MERGEFORMAT </w:instrText>
      </w:r>
      <w:r w:rsidR="0011517C" w:rsidRPr="004A4E8F">
        <w:rPr>
          <w:iCs/>
        </w:rPr>
      </w:r>
      <w:r w:rsidR="0011517C" w:rsidRPr="004A4E8F">
        <w:rPr>
          <w:iCs/>
        </w:rPr>
        <w:fldChar w:fldCharType="separate"/>
      </w:r>
      <w:r w:rsidR="0011517C" w:rsidRPr="004A4E8F">
        <w:rPr>
          <w:iCs/>
        </w:rPr>
        <w:t>4.4 SPECIAL WARNINGS AND PRECAUTIONS FOR USE</w:t>
      </w:r>
      <w:r w:rsidR="0011517C" w:rsidRPr="004A4E8F">
        <w:rPr>
          <w:iCs/>
        </w:rPr>
        <w:fldChar w:fldCharType="end"/>
      </w:r>
      <w:r w:rsidR="00BC3D53" w:rsidRPr="0011517C">
        <w:rPr>
          <w:iCs/>
          <w:szCs w:val="24"/>
        </w:rPr>
        <w:t>).</w:t>
      </w:r>
      <w:r w:rsidR="00BC3D53" w:rsidRPr="006B4730">
        <w:rPr>
          <w:szCs w:val="24"/>
        </w:rPr>
        <w:t xml:space="preserve"> </w:t>
      </w:r>
    </w:p>
    <w:p w14:paraId="54FD5A89" w14:textId="2B837424" w:rsidR="00975A4E" w:rsidRPr="006B4730" w:rsidRDefault="00975A4E" w:rsidP="006E7460">
      <w:pPr>
        <w:pStyle w:val="Heading4"/>
        <w:jc w:val="left"/>
        <w:rPr>
          <w:lang w:val="en-AU"/>
        </w:rPr>
      </w:pPr>
      <w:r w:rsidRPr="006B4730">
        <w:rPr>
          <w:lang w:val="en-AU"/>
        </w:rPr>
        <w:lastRenderedPageBreak/>
        <w:t>Women of childbearing potential / Contraception</w:t>
      </w:r>
    </w:p>
    <w:p w14:paraId="7F44DE02" w14:textId="6820C9C9" w:rsidR="00975A4E" w:rsidRPr="006B4730" w:rsidRDefault="00A628B2" w:rsidP="006E7460">
      <w:pPr>
        <w:jc w:val="left"/>
      </w:pPr>
      <w:r w:rsidRPr="006B4730">
        <w:t>KERENDIA</w:t>
      </w:r>
      <w:r w:rsidR="007D3B50" w:rsidRPr="006B4730">
        <w:t xml:space="preserve"> may cause embryofetal harm when administered during pregnancy. Women of childbearing potential should use effective contraception during treatment with </w:t>
      </w:r>
      <w:r w:rsidRPr="006B4730">
        <w:t>KERENDIA</w:t>
      </w:r>
      <w:r w:rsidR="007D3B50" w:rsidRPr="006B4730">
        <w:t xml:space="preserve"> (see </w:t>
      </w:r>
      <w:r w:rsidR="00B15C94">
        <w:t>Section</w:t>
      </w:r>
      <w:r w:rsidR="007D3B50" w:rsidRPr="006B4730">
        <w:t xml:space="preserve"> </w:t>
      </w:r>
      <w:r w:rsidR="002C50C5" w:rsidRPr="004A4E8F">
        <w:rPr>
          <w:iCs/>
        </w:rPr>
        <w:fldChar w:fldCharType="begin" w:fldLock="1"/>
      </w:r>
      <w:r w:rsidR="002C50C5" w:rsidRPr="004A4E8F">
        <w:rPr>
          <w:iCs/>
        </w:rPr>
        <w:instrText xml:space="preserve"> REF _Ref79419895 \h  \* MERGEFORMAT </w:instrText>
      </w:r>
      <w:r w:rsidR="002C50C5" w:rsidRPr="004A4E8F">
        <w:rPr>
          <w:iCs/>
        </w:rPr>
      </w:r>
      <w:r w:rsidR="002C50C5" w:rsidRPr="004A4E8F">
        <w:rPr>
          <w:iCs/>
        </w:rPr>
        <w:fldChar w:fldCharType="separate"/>
      </w:r>
      <w:r w:rsidR="002C50C5" w:rsidRPr="004A4E8F">
        <w:rPr>
          <w:iCs/>
        </w:rPr>
        <w:t>4.4 SPECIAL WARNINGS AND PRECAUTIONS FOR USE</w:t>
      </w:r>
      <w:r w:rsidR="002C50C5" w:rsidRPr="004A4E8F">
        <w:rPr>
          <w:iCs/>
        </w:rPr>
        <w:fldChar w:fldCharType="end"/>
      </w:r>
      <w:r w:rsidR="007D3B50" w:rsidRPr="006B4730">
        <w:t>).</w:t>
      </w:r>
    </w:p>
    <w:p w14:paraId="64FC3013" w14:textId="077BCEA7" w:rsidR="001A3992" w:rsidRPr="006B4730" w:rsidRDefault="001A3992" w:rsidP="006E7460">
      <w:pPr>
        <w:pStyle w:val="Heading3"/>
        <w:jc w:val="left"/>
      </w:pPr>
      <w:r w:rsidRPr="006B4730">
        <w:t xml:space="preserve">Use in </w:t>
      </w:r>
      <w:r w:rsidR="00322873" w:rsidRPr="006B4730">
        <w:t>Lactation</w:t>
      </w:r>
    </w:p>
    <w:p w14:paraId="14EA85CB" w14:textId="0E29F5D7" w:rsidR="007C736E" w:rsidRPr="006B4730" w:rsidRDefault="007C736E" w:rsidP="006E7460">
      <w:pPr>
        <w:jc w:val="left"/>
      </w:pPr>
      <w:r w:rsidRPr="006B4730">
        <w:t>I</w:t>
      </w:r>
      <w:r w:rsidR="007D3B50" w:rsidRPr="006B4730">
        <w:t xml:space="preserve">t is unknown whether finerenone or its metabolites are excreted in human breast milk. </w:t>
      </w:r>
      <w:r w:rsidR="00355B45">
        <w:t>E</w:t>
      </w:r>
      <w:r w:rsidR="007D3B50" w:rsidRPr="006B4730">
        <w:t>xcretion of finerenone and its metabolites in milk</w:t>
      </w:r>
      <w:r w:rsidR="00205838">
        <w:t xml:space="preserve"> </w:t>
      </w:r>
      <w:r w:rsidR="00205838" w:rsidRPr="00205838">
        <w:t>was shown in rats</w:t>
      </w:r>
      <w:r w:rsidR="007D3B50" w:rsidRPr="006B4730">
        <w:t xml:space="preserve">.   Rat pups exposed </w:t>
      </w:r>
      <w:r w:rsidR="00205838" w:rsidRPr="00205838">
        <w:t xml:space="preserve">to finerenone </w:t>
      </w:r>
      <w:r w:rsidR="00205838" w:rsidRPr="008C3781">
        <w:rPr>
          <w:i/>
          <w:iCs/>
        </w:rPr>
        <w:t>in utero</w:t>
      </w:r>
      <w:r w:rsidR="00205838" w:rsidRPr="00205838">
        <w:t xml:space="preserve"> and through consumption of maternal milk</w:t>
      </w:r>
      <w:r w:rsidR="008C3781">
        <w:t xml:space="preserve"> </w:t>
      </w:r>
      <w:r w:rsidR="007D3B50" w:rsidRPr="006B4730">
        <w:t xml:space="preserve">showed adverse effects (see </w:t>
      </w:r>
      <w:r w:rsidR="00B15C94">
        <w:t>Section</w:t>
      </w:r>
      <w:r w:rsidR="009531E9">
        <w:t xml:space="preserve"> </w:t>
      </w:r>
      <w:r w:rsidR="00335227">
        <w:fldChar w:fldCharType="begin"/>
      </w:r>
      <w:r w:rsidR="00335227">
        <w:instrText xml:space="preserve"> REF  _Ref88420177 \* Upper \h </w:instrText>
      </w:r>
      <w:r w:rsidR="006E7460">
        <w:instrText xml:space="preserve"> \* MERGEFORMAT </w:instrText>
      </w:r>
      <w:r w:rsidR="00335227">
        <w:fldChar w:fldCharType="separate"/>
      </w:r>
      <w:r w:rsidR="00335227" w:rsidRPr="006B4730">
        <w:t>4.6 FERTILITY, PREGNANCY AND LACTATION</w:t>
      </w:r>
      <w:r w:rsidR="00335227">
        <w:fldChar w:fldCharType="end"/>
      </w:r>
      <w:r w:rsidR="007D3B50" w:rsidRPr="006B4730">
        <w:t xml:space="preserve">). A risk to the nursing infant cannot be excluded. Breastfeeding should be discontinued if use of </w:t>
      </w:r>
      <w:r w:rsidR="00A628B2" w:rsidRPr="006B4730">
        <w:t>KERENDIA</w:t>
      </w:r>
      <w:r w:rsidR="007D3B50" w:rsidRPr="006B4730">
        <w:t xml:space="preserve"> is considered essential (see </w:t>
      </w:r>
      <w:r w:rsidR="00B15C94">
        <w:t>Section</w:t>
      </w:r>
      <w:r w:rsidR="007D3B50" w:rsidRPr="006B4730">
        <w:t xml:space="preserve"> </w:t>
      </w:r>
      <w:r w:rsidR="00E157B3" w:rsidRPr="004A4E8F">
        <w:rPr>
          <w:iCs/>
        </w:rPr>
        <w:fldChar w:fldCharType="begin" w:fldLock="1"/>
      </w:r>
      <w:r w:rsidR="00E157B3" w:rsidRPr="004A4E8F">
        <w:rPr>
          <w:iCs/>
        </w:rPr>
        <w:instrText xml:space="preserve"> REF _Ref79419895 \h  \* MERGEFORMAT </w:instrText>
      </w:r>
      <w:r w:rsidR="00E157B3" w:rsidRPr="004A4E8F">
        <w:rPr>
          <w:iCs/>
        </w:rPr>
      </w:r>
      <w:r w:rsidR="00E157B3" w:rsidRPr="004A4E8F">
        <w:rPr>
          <w:iCs/>
        </w:rPr>
        <w:fldChar w:fldCharType="separate"/>
      </w:r>
      <w:r w:rsidR="00E157B3" w:rsidRPr="004A4E8F">
        <w:rPr>
          <w:iCs/>
        </w:rPr>
        <w:t>4.4 SPECIAL WARNINGS AND PRECAUTIONS FOR USE</w:t>
      </w:r>
      <w:r w:rsidR="00E157B3" w:rsidRPr="004A4E8F">
        <w:rPr>
          <w:iCs/>
        </w:rPr>
        <w:fldChar w:fldCharType="end"/>
      </w:r>
      <w:r w:rsidR="007D3B50" w:rsidRPr="006B4730">
        <w:t>).</w:t>
      </w:r>
    </w:p>
    <w:p w14:paraId="0DC6242E" w14:textId="45FCF908" w:rsidR="001A3992" w:rsidRPr="006B4730" w:rsidRDefault="008E41E1" w:rsidP="006E7460">
      <w:pPr>
        <w:pStyle w:val="Heading1"/>
        <w:numPr>
          <w:ilvl w:val="0"/>
          <w:numId w:val="0"/>
        </w:numPr>
        <w:ind w:left="432" w:hanging="432"/>
        <w:jc w:val="left"/>
      </w:pPr>
      <w:r w:rsidRPr="006B4730">
        <w:t xml:space="preserve">4.7 </w:t>
      </w:r>
      <w:r w:rsidR="001A3992" w:rsidRPr="006B4730">
        <w:t>Effects on ab</w:t>
      </w:r>
      <w:r w:rsidR="00322873" w:rsidRPr="006B4730">
        <w:t>ility to drive and use machines</w:t>
      </w:r>
    </w:p>
    <w:p w14:paraId="7CEEE6CD" w14:textId="5F95E8CF" w:rsidR="009335D8" w:rsidRPr="006B4730" w:rsidRDefault="009335D8" w:rsidP="006E7460">
      <w:pPr>
        <w:numPr>
          <w:ilvl w:val="9"/>
          <w:numId w:val="0"/>
        </w:numPr>
        <w:suppressAutoHyphens/>
        <w:jc w:val="left"/>
        <w:rPr>
          <w:color w:val="000000"/>
          <w:szCs w:val="24"/>
        </w:rPr>
      </w:pPr>
      <w:r w:rsidRPr="006B4730">
        <w:rPr>
          <w:color w:val="000000"/>
          <w:szCs w:val="24"/>
        </w:rPr>
        <w:t xml:space="preserve">No effects on ability to drive and use machines have been observed. </w:t>
      </w:r>
    </w:p>
    <w:p w14:paraId="151142FD" w14:textId="77777777" w:rsidR="00BA49BD" w:rsidRPr="006B4730" w:rsidRDefault="00BA49BD" w:rsidP="006E7460">
      <w:pPr>
        <w:numPr>
          <w:ilvl w:val="9"/>
          <w:numId w:val="0"/>
        </w:numPr>
        <w:suppressAutoHyphens/>
        <w:jc w:val="left"/>
        <w:rPr>
          <w:color w:val="000000"/>
          <w:szCs w:val="24"/>
        </w:rPr>
      </w:pPr>
    </w:p>
    <w:p w14:paraId="5E1ECD91" w14:textId="625F62FB" w:rsidR="001A3992" w:rsidRPr="006B4730" w:rsidRDefault="008E41E1" w:rsidP="006E7460">
      <w:pPr>
        <w:pStyle w:val="Heading1"/>
        <w:numPr>
          <w:ilvl w:val="0"/>
          <w:numId w:val="0"/>
        </w:numPr>
        <w:ind w:left="432" w:hanging="432"/>
        <w:jc w:val="left"/>
      </w:pPr>
      <w:bookmarkStart w:id="14" w:name="_Ref88590262"/>
      <w:r w:rsidRPr="006B4730">
        <w:t xml:space="preserve">4.8 </w:t>
      </w:r>
      <w:r w:rsidR="001A3992" w:rsidRPr="006B4730">
        <w:t>Adverse effects (Undesirable effects)</w:t>
      </w:r>
      <w:bookmarkEnd w:id="14"/>
    </w:p>
    <w:p w14:paraId="7B94187C" w14:textId="77777777" w:rsidR="00310902" w:rsidRPr="006B4730" w:rsidRDefault="00310902" w:rsidP="006E7460">
      <w:pPr>
        <w:pStyle w:val="Heading3"/>
        <w:jc w:val="left"/>
      </w:pPr>
      <w:r w:rsidRPr="006B4730">
        <w:t>Summary of the safety profile</w:t>
      </w:r>
    </w:p>
    <w:p w14:paraId="7B7C5424" w14:textId="77777777" w:rsidR="00310902" w:rsidRPr="006B4730" w:rsidRDefault="00310902" w:rsidP="006E7460">
      <w:pPr>
        <w:jc w:val="left"/>
        <w:rPr>
          <w:lang w:eastAsia="de-DE"/>
        </w:rPr>
      </w:pPr>
      <w:bookmarkStart w:id="15" w:name="_Hlk51253861"/>
      <w:r w:rsidRPr="006B4730">
        <w:rPr>
          <w:lang w:eastAsia="de-DE"/>
        </w:rPr>
        <w:t xml:space="preserve">The safety of </w:t>
      </w:r>
      <w:r w:rsidRPr="006B4730">
        <w:t>KERENDIA</w:t>
      </w:r>
      <w:r w:rsidRPr="006B4730">
        <w:rPr>
          <w:lang w:eastAsia="de-DE"/>
        </w:rPr>
        <w:t xml:space="preserve"> in patients with chronic kidney disease and type 2 diabetes was evaluated in the pivotal phase III study FIDELIO-DKD. In this study, 2,827 patients received </w:t>
      </w:r>
      <w:r w:rsidRPr="006B4730">
        <w:t>KERENDIA</w:t>
      </w:r>
      <w:r w:rsidRPr="006B4730">
        <w:rPr>
          <w:lang w:eastAsia="de-DE"/>
        </w:rPr>
        <w:t xml:space="preserve"> (10 or 20 mg once daily) and 2,831 received placebo.</w:t>
      </w:r>
      <w:bookmarkStart w:id="16" w:name="_Hlk52187963"/>
      <w:r w:rsidRPr="006B4730">
        <w:rPr>
          <w:lang w:eastAsia="de-DE"/>
        </w:rPr>
        <w:t xml:space="preserve"> For patients in the </w:t>
      </w:r>
      <w:r w:rsidRPr="006B4730">
        <w:t>KERENDIA</w:t>
      </w:r>
      <w:r w:rsidRPr="006B4730">
        <w:rPr>
          <w:lang w:eastAsia="de-DE"/>
        </w:rPr>
        <w:t xml:space="preserve"> group, the mean duration of treatment was 2.2 years.</w:t>
      </w:r>
    </w:p>
    <w:bookmarkEnd w:id="15"/>
    <w:bookmarkEnd w:id="16"/>
    <w:p w14:paraId="6BB4D619" w14:textId="6F3284D5" w:rsidR="00310902" w:rsidRPr="006B4730" w:rsidRDefault="00310902" w:rsidP="006E7460">
      <w:pPr>
        <w:jc w:val="left"/>
        <w:rPr>
          <w:i/>
          <w:iCs/>
          <w:szCs w:val="24"/>
        </w:rPr>
      </w:pPr>
      <w:r w:rsidRPr="006B4730">
        <w:rPr>
          <w:szCs w:val="24"/>
        </w:rPr>
        <w:t xml:space="preserve">The most frequently reported (≥ 10%) adverse reaction was </w:t>
      </w:r>
      <w:r w:rsidR="009335D8" w:rsidRPr="006B4730">
        <w:rPr>
          <w:szCs w:val="24"/>
        </w:rPr>
        <w:t>hyperkalaemia</w:t>
      </w:r>
      <w:r w:rsidRPr="006B4730">
        <w:rPr>
          <w:szCs w:val="24"/>
        </w:rPr>
        <w:t xml:space="preserve">. See ‘Description of selected adverse reactions’ below </w:t>
      </w:r>
      <w:r w:rsidRPr="00E6208A">
        <w:rPr>
          <w:szCs w:val="24"/>
        </w:rPr>
        <w:t>(</w:t>
      </w:r>
      <w:r w:rsidR="00824550" w:rsidRPr="00E6208A">
        <w:rPr>
          <w:szCs w:val="24"/>
        </w:rPr>
        <w:t>s</w:t>
      </w:r>
      <w:r w:rsidRPr="00E6208A">
        <w:rPr>
          <w:szCs w:val="24"/>
        </w:rPr>
        <w:t xml:space="preserve">ee </w:t>
      </w:r>
      <w:r w:rsidR="00B15C94" w:rsidRPr="00E6208A">
        <w:rPr>
          <w:szCs w:val="24"/>
        </w:rPr>
        <w:t>Section</w:t>
      </w:r>
      <w:r w:rsidRPr="00E6208A">
        <w:rPr>
          <w:szCs w:val="24"/>
        </w:rPr>
        <w:t xml:space="preserve"> </w:t>
      </w:r>
      <w:r w:rsidR="00E6208A" w:rsidRPr="004A4E8F">
        <w:rPr>
          <w:iCs/>
        </w:rPr>
        <w:fldChar w:fldCharType="begin" w:fldLock="1"/>
      </w:r>
      <w:r w:rsidR="00E6208A" w:rsidRPr="004A4E8F">
        <w:rPr>
          <w:iCs/>
        </w:rPr>
        <w:instrText xml:space="preserve"> REF _Ref79419895 \h  \* MERGEFORMAT </w:instrText>
      </w:r>
      <w:r w:rsidR="00E6208A" w:rsidRPr="004A4E8F">
        <w:rPr>
          <w:iCs/>
        </w:rPr>
      </w:r>
      <w:r w:rsidR="00E6208A" w:rsidRPr="004A4E8F">
        <w:rPr>
          <w:iCs/>
        </w:rPr>
        <w:fldChar w:fldCharType="separate"/>
      </w:r>
      <w:r w:rsidR="00E6208A" w:rsidRPr="004A4E8F">
        <w:rPr>
          <w:iCs/>
        </w:rPr>
        <w:t>4.4 SPECIAL WARNINGS AND PRECAUTIONS FOR USE</w:t>
      </w:r>
      <w:r w:rsidR="00E6208A" w:rsidRPr="004A4E8F">
        <w:rPr>
          <w:iCs/>
        </w:rPr>
        <w:fldChar w:fldCharType="end"/>
      </w:r>
      <w:r w:rsidRPr="00E6208A">
        <w:rPr>
          <w:szCs w:val="24"/>
        </w:rPr>
        <w:t>)</w:t>
      </w:r>
      <w:r w:rsidR="00824550">
        <w:rPr>
          <w:i/>
          <w:iCs/>
          <w:szCs w:val="24"/>
        </w:rPr>
        <w:t>.</w:t>
      </w:r>
    </w:p>
    <w:p w14:paraId="13866203" w14:textId="77777777" w:rsidR="00310902" w:rsidRPr="006B4730" w:rsidRDefault="00310902" w:rsidP="006E7460">
      <w:pPr>
        <w:jc w:val="left"/>
        <w:rPr>
          <w:i/>
        </w:rPr>
      </w:pPr>
    </w:p>
    <w:p w14:paraId="256ADA58" w14:textId="77777777" w:rsidR="00310902" w:rsidRPr="006B4730" w:rsidRDefault="00310902" w:rsidP="006E7460">
      <w:pPr>
        <w:pStyle w:val="Heading3"/>
        <w:jc w:val="left"/>
      </w:pPr>
      <w:r w:rsidRPr="006B4730">
        <w:t xml:space="preserve">Tabulated list of adverse reactions </w:t>
      </w:r>
    </w:p>
    <w:p w14:paraId="0F471FDD" w14:textId="69E70636" w:rsidR="00310902" w:rsidRPr="006B4730" w:rsidRDefault="00310902" w:rsidP="006E7460">
      <w:pPr>
        <w:jc w:val="left"/>
      </w:pPr>
      <w:r w:rsidRPr="006B4730">
        <w:t>The adverse reactions reported with KERENDIA are summari</w:t>
      </w:r>
      <w:r w:rsidR="00D51317" w:rsidRPr="006B4730">
        <w:t>s</w:t>
      </w:r>
      <w:r w:rsidRPr="006B4730">
        <w:t>ed in Table 2 below by MedDRA system organ class and by frequency.</w:t>
      </w:r>
    </w:p>
    <w:p w14:paraId="369E161C" w14:textId="77777777" w:rsidR="00310902" w:rsidRPr="006B4730" w:rsidRDefault="00310902" w:rsidP="006E7460">
      <w:pPr>
        <w:jc w:val="left"/>
      </w:pPr>
      <w:bookmarkStart w:id="17" w:name="_Hlk52188161"/>
      <w:r w:rsidRPr="006B4730">
        <w:rPr>
          <w:color w:val="000000"/>
        </w:rPr>
        <w:t xml:space="preserve">Adverse reactions are ranked by System organ class and then by frequency with the most frequent first, using the following convention: </w:t>
      </w:r>
    </w:p>
    <w:bookmarkEnd w:id="17"/>
    <w:p w14:paraId="69C30C2E" w14:textId="77777777" w:rsidR="00310902" w:rsidRPr="006B4730" w:rsidRDefault="00310902" w:rsidP="006E7460">
      <w:pPr>
        <w:ind w:left="720"/>
        <w:jc w:val="left"/>
      </w:pPr>
      <w:r w:rsidRPr="006B4730">
        <w:t>very common (≥1/10)</w:t>
      </w:r>
    </w:p>
    <w:p w14:paraId="7AB74302" w14:textId="77777777" w:rsidR="00310902" w:rsidRPr="006B4730" w:rsidRDefault="00310902" w:rsidP="006E7460">
      <w:pPr>
        <w:ind w:left="720"/>
        <w:jc w:val="left"/>
      </w:pPr>
      <w:r w:rsidRPr="006B4730">
        <w:t xml:space="preserve">common (≥1/100 to &lt;1/10) </w:t>
      </w:r>
    </w:p>
    <w:p w14:paraId="63929F0F" w14:textId="77777777" w:rsidR="00310902" w:rsidRPr="006B4730" w:rsidRDefault="00310902" w:rsidP="006E7460">
      <w:pPr>
        <w:ind w:left="720"/>
        <w:jc w:val="left"/>
      </w:pPr>
      <w:r w:rsidRPr="006B4730">
        <w:t>uncommon (≥1/1,000 to &lt;1/100)</w:t>
      </w:r>
    </w:p>
    <w:p w14:paraId="0AECDBB1" w14:textId="77777777" w:rsidR="00310902" w:rsidRPr="006B4730" w:rsidRDefault="00310902" w:rsidP="006E7460">
      <w:pPr>
        <w:ind w:left="720"/>
        <w:jc w:val="left"/>
      </w:pPr>
      <w:r w:rsidRPr="006B4730">
        <w:t>rare (≥1/10,000 to &lt;1/1,000)</w:t>
      </w:r>
    </w:p>
    <w:p w14:paraId="3BB4D597" w14:textId="77777777" w:rsidR="00310902" w:rsidRPr="006B4730" w:rsidRDefault="00310902" w:rsidP="006E7460">
      <w:pPr>
        <w:ind w:left="720"/>
        <w:jc w:val="left"/>
      </w:pPr>
      <w:r w:rsidRPr="006B4730">
        <w:t>very rare (&lt;1/10,000)</w:t>
      </w:r>
    </w:p>
    <w:p w14:paraId="2372D5DA" w14:textId="77777777" w:rsidR="00310902" w:rsidRPr="006B4730" w:rsidRDefault="00310902" w:rsidP="006E7460">
      <w:pPr>
        <w:jc w:val="left"/>
        <w:rPr>
          <w:color w:val="000000"/>
        </w:rPr>
      </w:pPr>
      <w:bookmarkStart w:id="18" w:name="_Hlk52188174"/>
      <w:r w:rsidRPr="006B4730">
        <w:rPr>
          <w:color w:val="000000"/>
        </w:rPr>
        <w:t>Within each frequency grouping, adverse reactions are ranked in order of decreasing seriousness.</w:t>
      </w:r>
    </w:p>
    <w:p w14:paraId="0782D76D" w14:textId="5243AC11" w:rsidR="00310902" w:rsidRPr="006B4730" w:rsidRDefault="00310902" w:rsidP="006E7460">
      <w:pPr>
        <w:jc w:val="left"/>
        <w:rPr>
          <w:color w:val="000000"/>
        </w:rPr>
      </w:pPr>
    </w:p>
    <w:p w14:paraId="092CDEF2" w14:textId="77777777" w:rsidR="00BA49BD" w:rsidRPr="006B4730" w:rsidRDefault="00BA49BD" w:rsidP="006E7460">
      <w:pPr>
        <w:pageBreakBefore/>
        <w:jc w:val="left"/>
        <w:rPr>
          <w:color w:val="000000"/>
        </w:rPr>
      </w:pPr>
    </w:p>
    <w:tbl>
      <w:tblPr>
        <w:tblStyle w:val="TableGrid"/>
        <w:tblW w:w="0" w:type="auto"/>
        <w:tblLook w:val="04A0" w:firstRow="1" w:lastRow="0" w:firstColumn="1" w:lastColumn="0" w:noHBand="0" w:noVBand="1"/>
      </w:tblPr>
      <w:tblGrid>
        <w:gridCol w:w="3017"/>
        <w:gridCol w:w="3023"/>
        <w:gridCol w:w="3030"/>
      </w:tblGrid>
      <w:tr w:rsidR="00310902" w:rsidRPr="006B4730" w14:paraId="2D842643" w14:textId="77777777" w:rsidTr="00310902">
        <w:tc>
          <w:tcPr>
            <w:tcW w:w="9070" w:type="dxa"/>
            <w:gridSpan w:val="3"/>
            <w:tcBorders>
              <w:top w:val="nil"/>
              <w:left w:val="nil"/>
              <w:right w:val="nil"/>
            </w:tcBorders>
          </w:tcPr>
          <w:bookmarkEnd w:id="18"/>
          <w:p w14:paraId="418F3229" w14:textId="77777777" w:rsidR="00310902" w:rsidRPr="006B4730" w:rsidRDefault="00310902" w:rsidP="006E7460">
            <w:pPr>
              <w:pStyle w:val="TableHeading"/>
              <w:jc w:val="left"/>
            </w:pPr>
            <w:r w:rsidRPr="006B4730">
              <w:t>Table 2: Adverse reactions reported with KERENDIA in the phase III study FIDELIO-DKD</w:t>
            </w:r>
          </w:p>
        </w:tc>
      </w:tr>
      <w:tr w:rsidR="00310902" w:rsidRPr="006B4730" w14:paraId="253BFB16" w14:textId="77777777" w:rsidTr="00310902">
        <w:tc>
          <w:tcPr>
            <w:tcW w:w="3017" w:type="dxa"/>
            <w:vAlign w:val="center"/>
          </w:tcPr>
          <w:p w14:paraId="41BCAA3D" w14:textId="77777777" w:rsidR="00310902" w:rsidRPr="006B4730" w:rsidRDefault="00310902" w:rsidP="006E7460">
            <w:pPr>
              <w:pStyle w:val="BayerBodyTextFull"/>
              <w:rPr>
                <w:rFonts w:ascii="Arial" w:hAnsi="Arial"/>
                <w:b/>
                <w:sz w:val="20"/>
              </w:rPr>
            </w:pPr>
            <w:r w:rsidRPr="006B4730">
              <w:rPr>
                <w:rFonts w:ascii="Arial" w:hAnsi="Arial"/>
                <w:b/>
                <w:sz w:val="20"/>
              </w:rPr>
              <w:t>MedDRA</w:t>
            </w:r>
          </w:p>
          <w:p w14:paraId="7DDBAE16" w14:textId="77777777" w:rsidR="00310902" w:rsidRPr="006B4730" w:rsidRDefault="00310902" w:rsidP="006E7460">
            <w:pPr>
              <w:pStyle w:val="BayerBodyTextFull"/>
              <w:rPr>
                <w:rFonts w:ascii="Arial" w:hAnsi="Arial"/>
                <w:bCs/>
                <w:sz w:val="20"/>
                <w:highlight w:val="yellow"/>
              </w:rPr>
            </w:pPr>
            <w:r w:rsidRPr="006B4730">
              <w:rPr>
                <w:rFonts w:ascii="Arial" w:hAnsi="Arial"/>
                <w:b/>
                <w:sz w:val="20"/>
              </w:rPr>
              <w:t>System Organ Class</w:t>
            </w:r>
          </w:p>
        </w:tc>
        <w:tc>
          <w:tcPr>
            <w:tcW w:w="3023" w:type="dxa"/>
            <w:vAlign w:val="center"/>
          </w:tcPr>
          <w:p w14:paraId="6FB29094" w14:textId="77777777" w:rsidR="00310902" w:rsidRPr="006B4730" w:rsidRDefault="00310902" w:rsidP="006E7460">
            <w:pPr>
              <w:pStyle w:val="BayerBodyTextFull"/>
              <w:rPr>
                <w:rFonts w:ascii="Arial" w:hAnsi="Arial"/>
                <w:bCs/>
                <w:sz w:val="20"/>
                <w:highlight w:val="yellow"/>
              </w:rPr>
            </w:pPr>
            <w:r w:rsidRPr="006B4730">
              <w:rPr>
                <w:rFonts w:ascii="Arial" w:hAnsi="Arial"/>
                <w:b/>
                <w:sz w:val="20"/>
              </w:rPr>
              <w:t>Very common</w:t>
            </w:r>
          </w:p>
        </w:tc>
        <w:tc>
          <w:tcPr>
            <w:tcW w:w="3030" w:type="dxa"/>
            <w:vAlign w:val="center"/>
          </w:tcPr>
          <w:p w14:paraId="30617115" w14:textId="77777777" w:rsidR="00310902" w:rsidRPr="006B4730" w:rsidRDefault="00310902" w:rsidP="006E7460">
            <w:pPr>
              <w:pStyle w:val="BayerBodyTextFull"/>
              <w:rPr>
                <w:rFonts w:ascii="Arial" w:hAnsi="Arial"/>
                <w:bCs/>
                <w:sz w:val="20"/>
                <w:highlight w:val="yellow"/>
              </w:rPr>
            </w:pPr>
            <w:r w:rsidRPr="006B4730">
              <w:rPr>
                <w:rFonts w:ascii="Arial" w:hAnsi="Arial"/>
                <w:b/>
                <w:sz w:val="20"/>
              </w:rPr>
              <w:t>Common</w:t>
            </w:r>
          </w:p>
        </w:tc>
      </w:tr>
      <w:tr w:rsidR="00310902" w:rsidRPr="006B4730" w14:paraId="389B970F" w14:textId="77777777" w:rsidTr="00310902">
        <w:tc>
          <w:tcPr>
            <w:tcW w:w="3017" w:type="dxa"/>
            <w:vAlign w:val="center"/>
          </w:tcPr>
          <w:p w14:paraId="091C4746" w14:textId="77777777" w:rsidR="00310902" w:rsidRPr="006B4730" w:rsidRDefault="00310902" w:rsidP="006E7460">
            <w:pPr>
              <w:pStyle w:val="BayerBodyTextFull"/>
              <w:rPr>
                <w:rFonts w:ascii="Arial" w:hAnsi="Arial"/>
                <w:bCs/>
                <w:sz w:val="20"/>
              </w:rPr>
            </w:pPr>
            <w:r w:rsidRPr="006B4730">
              <w:rPr>
                <w:rFonts w:ascii="Arial" w:hAnsi="Arial"/>
                <w:b/>
                <w:sz w:val="20"/>
              </w:rPr>
              <w:t>Metabolism and nutrition disorders</w:t>
            </w:r>
          </w:p>
        </w:tc>
        <w:tc>
          <w:tcPr>
            <w:tcW w:w="3023" w:type="dxa"/>
            <w:vAlign w:val="center"/>
          </w:tcPr>
          <w:p w14:paraId="1CE6F876" w14:textId="2FB2CBF8" w:rsidR="00310902" w:rsidRPr="006B4730" w:rsidRDefault="00310902" w:rsidP="006E7460">
            <w:pPr>
              <w:pStyle w:val="BayerBodyTextFull"/>
              <w:rPr>
                <w:rFonts w:ascii="Arial" w:hAnsi="Arial"/>
                <w:bCs/>
                <w:sz w:val="20"/>
              </w:rPr>
            </w:pPr>
            <w:r w:rsidRPr="006B4730">
              <w:rPr>
                <w:rFonts w:ascii="Arial" w:hAnsi="Arial"/>
                <w:sz w:val="20"/>
                <w:lang w:eastAsia="de-DE"/>
              </w:rPr>
              <w:t>Hyperkal</w:t>
            </w:r>
            <w:r w:rsidR="00240911" w:rsidRPr="006B4730">
              <w:rPr>
                <w:rFonts w:ascii="Arial" w:hAnsi="Arial"/>
                <w:sz w:val="20"/>
                <w:lang w:eastAsia="de-DE"/>
              </w:rPr>
              <w:t>a</w:t>
            </w:r>
            <w:r w:rsidRPr="006B4730">
              <w:rPr>
                <w:rFonts w:ascii="Arial" w:hAnsi="Arial"/>
                <w:sz w:val="20"/>
                <w:lang w:eastAsia="de-DE"/>
              </w:rPr>
              <w:t>emia</w:t>
            </w:r>
            <w:r w:rsidRPr="006B4730">
              <w:rPr>
                <w:rFonts w:ascii="Arial" w:hAnsi="Arial"/>
                <w:sz w:val="20"/>
                <w:vertAlign w:val="superscript"/>
                <w:lang w:eastAsia="de-DE"/>
              </w:rPr>
              <w:t>1</w:t>
            </w:r>
          </w:p>
        </w:tc>
        <w:tc>
          <w:tcPr>
            <w:tcW w:w="3030" w:type="dxa"/>
            <w:vAlign w:val="center"/>
          </w:tcPr>
          <w:p w14:paraId="63D68AE6" w14:textId="77777777" w:rsidR="00310902" w:rsidRPr="006B4730" w:rsidRDefault="00310902" w:rsidP="006E7460">
            <w:pPr>
              <w:pStyle w:val="BayerBodyTextFull"/>
              <w:rPr>
                <w:rFonts w:ascii="Arial" w:hAnsi="Arial"/>
                <w:bCs/>
                <w:sz w:val="20"/>
              </w:rPr>
            </w:pPr>
            <w:r w:rsidRPr="006B4730">
              <w:rPr>
                <w:rFonts w:ascii="Arial" w:hAnsi="Arial"/>
                <w:sz w:val="20"/>
              </w:rPr>
              <w:t>Hyponatremia</w:t>
            </w:r>
            <w:r w:rsidRPr="006B4730">
              <w:rPr>
                <w:rFonts w:ascii="Arial" w:hAnsi="Arial"/>
                <w:sz w:val="20"/>
                <w:vertAlign w:val="superscript"/>
              </w:rPr>
              <w:t>2</w:t>
            </w:r>
          </w:p>
        </w:tc>
      </w:tr>
      <w:tr w:rsidR="00310902" w:rsidRPr="006B4730" w14:paraId="4CDB9ACC" w14:textId="77777777" w:rsidTr="00310902">
        <w:tc>
          <w:tcPr>
            <w:tcW w:w="3017" w:type="dxa"/>
            <w:tcBorders>
              <w:bottom w:val="single" w:sz="4" w:space="0" w:color="auto"/>
            </w:tcBorders>
            <w:vAlign w:val="center"/>
          </w:tcPr>
          <w:p w14:paraId="43FEFDCE" w14:textId="77777777" w:rsidR="00310902" w:rsidRPr="006B4730" w:rsidRDefault="00310902" w:rsidP="006E7460">
            <w:pPr>
              <w:pStyle w:val="BayerBodyTextFull"/>
              <w:rPr>
                <w:rFonts w:ascii="Arial" w:hAnsi="Arial"/>
                <w:bCs/>
                <w:sz w:val="20"/>
              </w:rPr>
            </w:pPr>
            <w:r w:rsidRPr="006B4730">
              <w:rPr>
                <w:rFonts w:ascii="Arial" w:hAnsi="Arial"/>
                <w:b/>
                <w:sz w:val="20"/>
              </w:rPr>
              <w:t>Vascular disorders</w:t>
            </w:r>
          </w:p>
        </w:tc>
        <w:tc>
          <w:tcPr>
            <w:tcW w:w="3023" w:type="dxa"/>
            <w:tcBorders>
              <w:bottom w:val="single" w:sz="4" w:space="0" w:color="auto"/>
            </w:tcBorders>
            <w:vAlign w:val="center"/>
          </w:tcPr>
          <w:p w14:paraId="285B9C22" w14:textId="77777777" w:rsidR="00310902" w:rsidRPr="006B4730" w:rsidRDefault="00310902" w:rsidP="006E7460">
            <w:pPr>
              <w:pStyle w:val="BayerBodyTextFull"/>
              <w:rPr>
                <w:rFonts w:ascii="Arial" w:hAnsi="Arial"/>
                <w:bCs/>
                <w:sz w:val="20"/>
              </w:rPr>
            </w:pPr>
          </w:p>
        </w:tc>
        <w:tc>
          <w:tcPr>
            <w:tcW w:w="3030" w:type="dxa"/>
            <w:tcBorders>
              <w:bottom w:val="single" w:sz="4" w:space="0" w:color="auto"/>
            </w:tcBorders>
            <w:vAlign w:val="center"/>
          </w:tcPr>
          <w:p w14:paraId="5D818517" w14:textId="77777777" w:rsidR="00310902" w:rsidRPr="006B4730" w:rsidRDefault="00310902" w:rsidP="006E7460">
            <w:pPr>
              <w:pStyle w:val="BayerBodyTextFull"/>
              <w:rPr>
                <w:rFonts w:ascii="Arial" w:hAnsi="Arial"/>
                <w:bCs/>
                <w:sz w:val="20"/>
              </w:rPr>
            </w:pPr>
            <w:r w:rsidRPr="006B4730">
              <w:rPr>
                <w:rFonts w:ascii="Arial" w:hAnsi="Arial"/>
                <w:sz w:val="20"/>
                <w:lang w:eastAsia="de-DE"/>
              </w:rPr>
              <w:t>Hypotension</w:t>
            </w:r>
            <w:r w:rsidRPr="006B4730">
              <w:rPr>
                <w:rFonts w:ascii="Arial" w:hAnsi="Arial"/>
                <w:sz w:val="20"/>
                <w:vertAlign w:val="superscript"/>
                <w:lang w:eastAsia="de-DE"/>
              </w:rPr>
              <w:t>3, 4</w:t>
            </w:r>
          </w:p>
        </w:tc>
      </w:tr>
      <w:tr w:rsidR="00310902" w:rsidRPr="006B4730" w14:paraId="5703D6B6" w14:textId="77777777" w:rsidTr="00310902">
        <w:tc>
          <w:tcPr>
            <w:tcW w:w="3017" w:type="dxa"/>
            <w:tcBorders>
              <w:bottom w:val="single" w:sz="4" w:space="0" w:color="auto"/>
            </w:tcBorders>
            <w:vAlign w:val="center"/>
          </w:tcPr>
          <w:p w14:paraId="1FCE5CFA" w14:textId="77777777" w:rsidR="00310902" w:rsidRPr="006B4730" w:rsidRDefault="00310902" w:rsidP="006E7460">
            <w:pPr>
              <w:pStyle w:val="BayerBodyTextFull"/>
              <w:rPr>
                <w:rFonts w:ascii="Arial" w:hAnsi="Arial"/>
                <w:b/>
                <w:sz w:val="20"/>
              </w:rPr>
            </w:pPr>
            <w:r w:rsidRPr="006B4730">
              <w:rPr>
                <w:rFonts w:ascii="Arial" w:hAnsi="Arial"/>
                <w:b/>
                <w:sz w:val="20"/>
              </w:rPr>
              <w:t>Investigations</w:t>
            </w:r>
          </w:p>
        </w:tc>
        <w:tc>
          <w:tcPr>
            <w:tcW w:w="3023" w:type="dxa"/>
            <w:tcBorders>
              <w:bottom w:val="single" w:sz="4" w:space="0" w:color="auto"/>
            </w:tcBorders>
            <w:vAlign w:val="center"/>
          </w:tcPr>
          <w:p w14:paraId="4AD1A6A1" w14:textId="77777777" w:rsidR="00310902" w:rsidRPr="006B4730" w:rsidRDefault="00310902" w:rsidP="006E7460">
            <w:pPr>
              <w:pStyle w:val="BayerBodyTextFull"/>
              <w:rPr>
                <w:rFonts w:ascii="Arial" w:hAnsi="Arial"/>
                <w:bCs/>
                <w:sz w:val="20"/>
              </w:rPr>
            </w:pPr>
          </w:p>
        </w:tc>
        <w:tc>
          <w:tcPr>
            <w:tcW w:w="3030" w:type="dxa"/>
            <w:tcBorders>
              <w:bottom w:val="single" w:sz="4" w:space="0" w:color="auto"/>
            </w:tcBorders>
            <w:vAlign w:val="center"/>
          </w:tcPr>
          <w:p w14:paraId="67F25716" w14:textId="77777777" w:rsidR="00310902" w:rsidRPr="006B4730" w:rsidRDefault="00310902" w:rsidP="006E7460">
            <w:pPr>
              <w:pStyle w:val="BayerBodyTextFull"/>
              <w:rPr>
                <w:rFonts w:ascii="Arial" w:hAnsi="Arial"/>
                <w:sz w:val="20"/>
                <w:lang w:eastAsia="de-DE"/>
              </w:rPr>
            </w:pPr>
            <w:r w:rsidRPr="006B4730">
              <w:rPr>
                <w:rFonts w:ascii="Arial" w:hAnsi="Arial"/>
                <w:sz w:val="20"/>
                <w:lang w:eastAsia="de-DE"/>
              </w:rPr>
              <w:t>Glomerular filtration rate decreased</w:t>
            </w:r>
            <w:r w:rsidRPr="006B4730">
              <w:rPr>
                <w:rFonts w:ascii="Arial" w:hAnsi="Arial"/>
                <w:sz w:val="20"/>
                <w:vertAlign w:val="superscript"/>
                <w:lang w:eastAsia="de-DE"/>
              </w:rPr>
              <w:t>5</w:t>
            </w:r>
          </w:p>
        </w:tc>
      </w:tr>
      <w:tr w:rsidR="00310902" w:rsidRPr="006B4730" w14:paraId="4B21F76D" w14:textId="77777777" w:rsidTr="00310902">
        <w:tc>
          <w:tcPr>
            <w:tcW w:w="9070" w:type="dxa"/>
            <w:gridSpan w:val="3"/>
            <w:tcBorders>
              <w:left w:val="nil"/>
              <w:bottom w:val="nil"/>
              <w:right w:val="nil"/>
            </w:tcBorders>
          </w:tcPr>
          <w:p w14:paraId="4950D74A" w14:textId="7947B644" w:rsidR="00310902" w:rsidRPr="006B4730" w:rsidRDefault="00310902" w:rsidP="006E7460">
            <w:pPr>
              <w:pStyle w:val="BayerFootnote"/>
              <w:tabs>
                <w:tab w:val="clear" w:pos="907"/>
                <w:tab w:val="left" w:pos="0"/>
              </w:tabs>
              <w:spacing w:before="60" w:after="0"/>
              <w:ind w:hanging="1015"/>
              <w:rPr>
                <w:rFonts w:ascii="Arial" w:hAnsi="Arial" w:cs="Arial"/>
                <w:sz w:val="16"/>
                <w:szCs w:val="16"/>
                <w:lang w:val="en-AU"/>
              </w:rPr>
            </w:pPr>
            <w:r w:rsidRPr="006B4730">
              <w:rPr>
                <w:rFonts w:ascii="Arial" w:hAnsi="Arial" w:cs="Arial"/>
                <w:sz w:val="16"/>
                <w:szCs w:val="16"/>
                <w:vertAlign w:val="superscript"/>
                <w:lang w:val="en-AU"/>
              </w:rPr>
              <w:t>1</w:t>
            </w:r>
            <w:r w:rsidRPr="006B4730">
              <w:rPr>
                <w:rFonts w:ascii="Arial" w:hAnsi="Arial" w:cs="Arial"/>
                <w:sz w:val="16"/>
                <w:szCs w:val="16"/>
                <w:lang w:val="en-AU"/>
              </w:rPr>
              <w:t xml:space="preserve"> includes Blood potassium increased and Hyperkal</w:t>
            </w:r>
            <w:r w:rsidR="00240911" w:rsidRPr="006B4730">
              <w:rPr>
                <w:rFonts w:ascii="Arial" w:hAnsi="Arial" w:cs="Arial"/>
                <w:sz w:val="16"/>
                <w:szCs w:val="16"/>
                <w:lang w:val="en-AU"/>
              </w:rPr>
              <w:t>a</w:t>
            </w:r>
            <w:r w:rsidRPr="006B4730">
              <w:rPr>
                <w:rFonts w:ascii="Arial" w:hAnsi="Arial" w:cs="Arial"/>
                <w:sz w:val="16"/>
                <w:szCs w:val="16"/>
                <w:lang w:val="en-AU"/>
              </w:rPr>
              <w:t>emia</w:t>
            </w:r>
          </w:p>
          <w:p w14:paraId="3D5FFD30" w14:textId="77777777" w:rsidR="00310902" w:rsidRPr="006B4730" w:rsidRDefault="00310902" w:rsidP="006E7460">
            <w:pPr>
              <w:pStyle w:val="BayerFootnote"/>
              <w:spacing w:after="0"/>
              <w:ind w:hanging="1015"/>
              <w:rPr>
                <w:rFonts w:ascii="Arial" w:hAnsi="Arial" w:cs="Arial"/>
                <w:sz w:val="16"/>
                <w:szCs w:val="16"/>
                <w:lang w:val="en-AU"/>
              </w:rPr>
            </w:pPr>
            <w:r w:rsidRPr="006B4730">
              <w:rPr>
                <w:rFonts w:ascii="Arial" w:hAnsi="Arial" w:cs="Arial"/>
                <w:sz w:val="16"/>
                <w:szCs w:val="16"/>
                <w:vertAlign w:val="superscript"/>
                <w:lang w:val="en-AU"/>
              </w:rPr>
              <w:t>2</w:t>
            </w:r>
            <w:r w:rsidRPr="006B4730">
              <w:rPr>
                <w:rFonts w:ascii="Arial" w:hAnsi="Arial" w:cs="Arial"/>
                <w:sz w:val="16"/>
                <w:szCs w:val="16"/>
                <w:lang w:val="en-AU"/>
              </w:rPr>
              <w:t xml:space="preserve"> includes Blood sodium decreased and Hyponatremia</w:t>
            </w:r>
          </w:p>
          <w:p w14:paraId="2680E2F8" w14:textId="77777777" w:rsidR="00310902" w:rsidRPr="006B4730" w:rsidRDefault="00310902" w:rsidP="006E7460">
            <w:pPr>
              <w:pStyle w:val="BayerFootnote"/>
              <w:spacing w:after="0"/>
              <w:ind w:hanging="1015"/>
              <w:rPr>
                <w:rFonts w:ascii="Arial" w:hAnsi="Arial" w:cs="Arial"/>
                <w:sz w:val="16"/>
                <w:szCs w:val="16"/>
                <w:lang w:val="en-AU"/>
              </w:rPr>
            </w:pPr>
            <w:r w:rsidRPr="006B4730">
              <w:rPr>
                <w:rFonts w:ascii="Arial" w:hAnsi="Arial" w:cs="Arial"/>
                <w:b/>
                <w:kern w:val="28"/>
                <w:sz w:val="16"/>
                <w:szCs w:val="16"/>
                <w:vertAlign w:val="superscript"/>
                <w:lang w:val="en-AU"/>
              </w:rPr>
              <w:t>3</w:t>
            </w:r>
            <w:r w:rsidRPr="006B4730">
              <w:rPr>
                <w:rFonts w:ascii="Arial" w:hAnsi="Arial" w:cs="Arial"/>
                <w:b/>
                <w:kern w:val="28"/>
                <w:sz w:val="16"/>
                <w:szCs w:val="16"/>
                <w:lang w:val="en-AU"/>
              </w:rPr>
              <w:t xml:space="preserve"> </w:t>
            </w:r>
            <w:r w:rsidRPr="006B4730">
              <w:rPr>
                <w:rFonts w:ascii="Arial" w:hAnsi="Arial" w:cs="Arial"/>
                <w:sz w:val="16"/>
                <w:szCs w:val="16"/>
                <w:lang w:val="en-AU"/>
              </w:rPr>
              <w:t>includes Blood pressure decreased, Blood pressure diastolic decreased, Diastolic hypotension and Hypotension</w:t>
            </w:r>
          </w:p>
          <w:p w14:paraId="39901757" w14:textId="77777777" w:rsidR="00310902" w:rsidRPr="006B4730" w:rsidRDefault="00310902" w:rsidP="006E7460">
            <w:pPr>
              <w:pStyle w:val="BayerFootnote"/>
              <w:tabs>
                <w:tab w:val="clear" w:pos="907"/>
                <w:tab w:val="left" w:pos="-20"/>
              </w:tabs>
              <w:spacing w:after="0"/>
              <w:ind w:left="0" w:hanging="108"/>
              <w:rPr>
                <w:rFonts w:ascii="Arial" w:hAnsi="Arial" w:cs="Arial"/>
                <w:bCs/>
                <w:kern w:val="28"/>
                <w:sz w:val="16"/>
                <w:szCs w:val="16"/>
                <w:lang w:val="en-AU"/>
              </w:rPr>
            </w:pPr>
            <w:r w:rsidRPr="006B4730">
              <w:rPr>
                <w:rFonts w:ascii="Arial" w:hAnsi="Arial" w:cs="Arial"/>
                <w:b/>
                <w:kern w:val="28"/>
                <w:sz w:val="16"/>
                <w:szCs w:val="16"/>
                <w:vertAlign w:val="superscript"/>
                <w:lang w:val="en-AU"/>
              </w:rPr>
              <w:t>4</w:t>
            </w:r>
            <w:r w:rsidRPr="006B4730">
              <w:rPr>
                <w:rFonts w:ascii="Arial" w:hAnsi="Arial" w:cs="Arial"/>
                <w:b/>
                <w:kern w:val="28"/>
                <w:sz w:val="16"/>
                <w:szCs w:val="16"/>
                <w:lang w:val="en-AU"/>
              </w:rPr>
              <w:t xml:space="preserve"> </w:t>
            </w:r>
            <w:r w:rsidRPr="006B4730">
              <w:rPr>
                <w:rFonts w:ascii="Arial" w:hAnsi="Arial" w:cs="Arial"/>
                <w:bCs/>
                <w:kern w:val="28"/>
                <w:sz w:val="16"/>
                <w:szCs w:val="16"/>
                <w:lang w:val="en-AU"/>
              </w:rPr>
              <w:t>In patients treated with Kerendia, the mean systolic blood pressure (SBP) decreased by 3 mmHg and the mean diastolic blood pressure (DBP) decreased by 1-2 mmHg at month 1, remaining stable thereafter. The majority of hypotension events were mild or moderate and resolved. Events associated with hypotension, e.g., dizziness, syncope, or fall, were not more frequent in patients using Kerendia in comparison to placebo.</w:t>
            </w:r>
          </w:p>
          <w:p w14:paraId="67DC36E0" w14:textId="77777777" w:rsidR="00310902" w:rsidRPr="006B4730" w:rsidRDefault="00310902" w:rsidP="006E7460">
            <w:pPr>
              <w:pStyle w:val="BayerFootnote"/>
              <w:tabs>
                <w:tab w:val="clear" w:pos="907"/>
                <w:tab w:val="left" w:pos="-20"/>
              </w:tabs>
              <w:spacing w:after="0"/>
              <w:ind w:left="0" w:hanging="108"/>
              <w:rPr>
                <w:rFonts w:ascii="Arial" w:hAnsi="Arial" w:cs="Arial"/>
                <w:bCs/>
                <w:sz w:val="16"/>
                <w:szCs w:val="16"/>
                <w:lang w:val="en-AU"/>
              </w:rPr>
            </w:pPr>
            <w:r w:rsidRPr="006B4730">
              <w:rPr>
                <w:rFonts w:ascii="Arial" w:hAnsi="Arial" w:cs="Arial"/>
                <w:b/>
                <w:bCs/>
                <w:kern w:val="28"/>
                <w:sz w:val="16"/>
                <w:szCs w:val="16"/>
                <w:vertAlign w:val="superscript"/>
                <w:lang w:val="en-AU"/>
              </w:rPr>
              <w:t>5</w:t>
            </w:r>
            <w:r w:rsidRPr="006B4730">
              <w:rPr>
                <w:rFonts w:ascii="Arial" w:hAnsi="Arial" w:cs="Arial"/>
                <w:b/>
                <w:bCs/>
                <w:kern w:val="28"/>
                <w:sz w:val="16"/>
                <w:szCs w:val="16"/>
                <w:lang w:val="en-AU"/>
              </w:rPr>
              <w:t xml:space="preserve"> </w:t>
            </w:r>
            <w:r w:rsidRPr="006B4730">
              <w:rPr>
                <w:rFonts w:ascii="Arial" w:hAnsi="Arial" w:cs="Arial"/>
                <w:bCs/>
                <w:kern w:val="28"/>
                <w:sz w:val="16"/>
                <w:szCs w:val="16"/>
                <w:lang w:val="en-AU"/>
              </w:rPr>
              <w:t>An initial decrease in eGFR (mean 2 mL/min/1.73m</w:t>
            </w:r>
            <w:r w:rsidRPr="006B4730">
              <w:rPr>
                <w:rFonts w:ascii="Arial" w:hAnsi="Arial" w:cs="Arial"/>
                <w:bCs/>
                <w:kern w:val="28"/>
                <w:sz w:val="16"/>
                <w:szCs w:val="16"/>
                <w:vertAlign w:val="superscript"/>
                <w:lang w:val="en-AU"/>
              </w:rPr>
              <w:t>2</w:t>
            </w:r>
            <w:r w:rsidRPr="006B4730">
              <w:rPr>
                <w:rFonts w:ascii="Arial" w:hAnsi="Arial" w:cs="Arial"/>
                <w:bCs/>
                <w:kern w:val="28"/>
                <w:sz w:val="16"/>
                <w:szCs w:val="16"/>
                <w:lang w:val="en-AU"/>
              </w:rPr>
              <w:t>) attenuated over time compared to placebo. This decrease has been shown to be reversible after treatment discontinuation.</w:t>
            </w:r>
          </w:p>
          <w:p w14:paraId="06321A27" w14:textId="77777777" w:rsidR="00310902" w:rsidRPr="006B4730" w:rsidRDefault="00310902" w:rsidP="006E7460">
            <w:pPr>
              <w:pStyle w:val="BayerFootnote"/>
              <w:tabs>
                <w:tab w:val="clear" w:pos="907"/>
                <w:tab w:val="left" w:pos="0"/>
              </w:tabs>
              <w:spacing w:after="0"/>
              <w:ind w:left="0" w:hanging="45"/>
              <w:rPr>
                <w:rFonts w:ascii="Arial" w:hAnsi="Arial" w:cs="Arial"/>
                <w:sz w:val="16"/>
                <w:szCs w:val="16"/>
                <w:lang w:val="en-AU"/>
              </w:rPr>
            </w:pPr>
          </w:p>
        </w:tc>
      </w:tr>
    </w:tbl>
    <w:p w14:paraId="0DBA5371" w14:textId="77777777" w:rsidR="0012420D" w:rsidRDefault="0012420D" w:rsidP="006E7460">
      <w:pPr>
        <w:pStyle w:val="TableHeading"/>
        <w:jc w:val="left"/>
      </w:pPr>
    </w:p>
    <w:p w14:paraId="448A4EC2" w14:textId="38D991C7" w:rsidR="00DD2D60" w:rsidRPr="006B4730" w:rsidRDefault="00DD2D60" w:rsidP="006E7460">
      <w:pPr>
        <w:pStyle w:val="TableHeading"/>
        <w:jc w:val="left"/>
      </w:pPr>
      <w:r w:rsidRPr="006B4730">
        <w:t>Table 3: Adverse reactions reported in ≥1% of Kerendia treated patients in the phase III study FIDELIO-DKD</w:t>
      </w:r>
    </w:p>
    <w:tbl>
      <w:tblPr>
        <w:tblW w:w="0" w:type="auto"/>
        <w:tblInd w:w="113" w:type="dxa"/>
        <w:tblLayout w:type="fixed"/>
        <w:tblCellMar>
          <w:left w:w="10" w:type="dxa"/>
          <w:right w:w="10" w:type="dxa"/>
        </w:tblCellMar>
        <w:tblLook w:val="0000" w:firstRow="0" w:lastRow="0" w:firstColumn="0" w:lastColumn="0" w:noHBand="0" w:noVBand="0"/>
      </w:tblPr>
      <w:tblGrid>
        <w:gridCol w:w="3458"/>
        <w:gridCol w:w="2738"/>
        <w:gridCol w:w="2738"/>
      </w:tblGrid>
      <w:tr w:rsidR="00DD2D60" w:rsidRPr="006B4730" w14:paraId="098B9D8A" w14:textId="77777777" w:rsidTr="00F163E9">
        <w:tc>
          <w:tcPr>
            <w:tcW w:w="345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8FC3AE7" w14:textId="77777777" w:rsidR="00DD2D60" w:rsidRPr="006B4730" w:rsidRDefault="00DD2D60" w:rsidP="006E7460">
            <w:pPr>
              <w:spacing w:line="259" w:lineRule="auto"/>
              <w:jc w:val="left"/>
              <w:rPr>
                <w:sz w:val="20"/>
                <w:szCs w:val="20"/>
              </w:rPr>
            </w:pPr>
            <w:r w:rsidRPr="006B4730">
              <w:rPr>
                <w:b/>
                <w:bCs/>
                <w:sz w:val="20"/>
                <w:szCs w:val="20"/>
              </w:rPr>
              <w:t>Adverse reactions</w:t>
            </w:r>
          </w:p>
        </w:tc>
        <w:tc>
          <w:tcPr>
            <w:tcW w:w="2738" w:type="dxa"/>
            <w:tcBorders>
              <w:top w:val="single" w:sz="4" w:space="0" w:color="000000"/>
              <w:bottom w:val="single" w:sz="4" w:space="0" w:color="000000"/>
              <w:right w:val="single" w:sz="4" w:space="0" w:color="000000"/>
            </w:tcBorders>
            <w:tcMar>
              <w:top w:w="0" w:type="dxa"/>
              <w:left w:w="108" w:type="dxa"/>
              <w:bottom w:w="0" w:type="dxa"/>
              <w:right w:w="108" w:type="dxa"/>
            </w:tcMar>
          </w:tcPr>
          <w:p w14:paraId="4F6C5BE6" w14:textId="77777777" w:rsidR="00DD2D60" w:rsidRPr="006B4730" w:rsidRDefault="00DD2D60" w:rsidP="006E7460">
            <w:pPr>
              <w:spacing w:line="259" w:lineRule="auto"/>
              <w:jc w:val="left"/>
              <w:rPr>
                <w:sz w:val="20"/>
                <w:szCs w:val="20"/>
              </w:rPr>
            </w:pPr>
            <w:r w:rsidRPr="006B4730">
              <w:rPr>
                <w:b/>
                <w:bCs/>
                <w:sz w:val="20"/>
                <w:szCs w:val="20"/>
              </w:rPr>
              <w:t>Kerendia</w:t>
            </w:r>
          </w:p>
          <w:p w14:paraId="0B0E784D" w14:textId="77777777" w:rsidR="00DD2D60" w:rsidRPr="006B4730" w:rsidRDefault="00DD2D60" w:rsidP="006E7460">
            <w:pPr>
              <w:spacing w:line="259" w:lineRule="auto"/>
              <w:jc w:val="left"/>
              <w:rPr>
                <w:sz w:val="20"/>
                <w:szCs w:val="20"/>
              </w:rPr>
            </w:pPr>
            <w:r w:rsidRPr="006B4730">
              <w:rPr>
                <w:b/>
                <w:bCs/>
                <w:sz w:val="20"/>
                <w:szCs w:val="20"/>
              </w:rPr>
              <w:t>N = 2827</w:t>
            </w:r>
          </w:p>
          <w:p w14:paraId="4529CB1C" w14:textId="77777777" w:rsidR="00DD2D60" w:rsidRPr="006B4730" w:rsidRDefault="00DD2D60" w:rsidP="006E7460">
            <w:pPr>
              <w:spacing w:line="259" w:lineRule="auto"/>
              <w:jc w:val="left"/>
              <w:rPr>
                <w:sz w:val="20"/>
                <w:szCs w:val="20"/>
              </w:rPr>
            </w:pPr>
            <w:r w:rsidRPr="006B4730">
              <w:rPr>
                <w:b/>
                <w:bCs/>
                <w:sz w:val="20"/>
                <w:szCs w:val="20"/>
              </w:rPr>
              <w:t>n (%)</w:t>
            </w:r>
          </w:p>
        </w:tc>
        <w:tc>
          <w:tcPr>
            <w:tcW w:w="2738" w:type="dxa"/>
            <w:tcBorders>
              <w:top w:val="single" w:sz="4" w:space="0" w:color="000000"/>
              <w:bottom w:val="single" w:sz="4" w:space="0" w:color="000000"/>
              <w:right w:val="single" w:sz="4" w:space="0" w:color="000000"/>
            </w:tcBorders>
            <w:tcMar>
              <w:top w:w="0" w:type="dxa"/>
              <w:left w:w="108" w:type="dxa"/>
              <w:bottom w:w="0" w:type="dxa"/>
              <w:right w:w="108" w:type="dxa"/>
            </w:tcMar>
          </w:tcPr>
          <w:p w14:paraId="6F61C04B" w14:textId="77777777" w:rsidR="00DD2D60" w:rsidRPr="006B4730" w:rsidRDefault="00DD2D60" w:rsidP="006E7460">
            <w:pPr>
              <w:spacing w:line="259" w:lineRule="auto"/>
              <w:jc w:val="left"/>
              <w:rPr>
                <w:sz w:val="20"/>
                <w:szCs w:val="20"/>
              </w:rPr>
            </w:pPr>
            <w:r w:rsidRPr="006B4730">
              <w:rPr>
                <w:b/>
                <w:bCs/>
                <w:sz w:val="20"/>
                <w:szCs w:val="20"/>
              </w:rPr>
              <w:t>Placebo</w:t>
            </w:r>
          </w:p>
          <w:p w14:paraId="141AF642" w14:textId="77777777" w:rsidR="00DD2D60" w:rsidRPr="006B4730" w:rsidRDefault="00DD2D60" w:rsidP="006E7460">
            <w:pPr>
              <w:spacing w:line="259" w:lineRule="auto"/>
              <w:jc w:val="left"/>
              <w:rPr>
                <w:sz w:val="20"/>
                <w:szCs w:val="20"/>
              </w:rPr>
            </w:pPr>
            <w:r w:rsidRPr="006B4730">
              <w:rPr>
                <w:b/>
                <w:bCs/>
                <w:sz w:val="20"/>
                <w:szCs w:val="20"/>
              </w:rPr>
              <w:t>N = 2831</w:t>
            </w:r>
          </w:p>
          <w:p w14:paraId="696602F0" w14:textId="77777777" w:rsidR="00DD2D60" w:rsidRPr="006B4730" w:rsidRDefault="00DD2D60" w:rsidP="006E7460">
            <w:pPr>
              <w:spacing w:line="259" w:lineRule="auto"/>
              <w:jc w:val="left"/>
              <w:rPr>
                <w:sz w:val="20"/>
                <w:szCs w:val="20"/>
              </w:rPr>
            </w:pPr>
            <w:r w:rsidRPr="006B4730">
              <w:rPr>
                <w:b/>
                <w:bCs/>
                <w:sz w:val="20"/>
                <w:szCs w:val="20"/>
              </w:rPr>
              <w:t>n (%)</w:t>
            </w:r>
          </w:p>
        </w:tc>
      </w:tr>
      <w:tr w:rsidR="00DD2D60" w:rsidRPr="006B4730" w14:paraId="01C06C8F" w14:textId="77777777" w:rsidTr="00F163E9">
        <w:tc>
          <w:tcPr>
            <w:tcW w:w="345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C275D45" w14:textId="4F28525A" w:rsidR="00DD2D60" w:rsidRPr="006B4730" w:rsidRDefault="00DD2D60" w:rsidP="006E7460">
            <w:pPr>
              <w:spacing w:line="259" w:lineRule="auto"/>
              <w:jc w:val="left"/>
              <w:rPr>
                <w:sz w:val="20"/>
                <w:szCs w:val="20"/>
              </w:rPr>
            </w:pPr>
            <w:r w:rsidRPr="006B4730">
              <w:rPr>
                <w:sz w:val="20"/>
                <w:szCs w:val="20"/>
              </w:rPr>
              <w:t>Hyperkal</w:t>
            </w:r>
            <w:r w:rsidR="00240911" w:rsidRPr="006B4730">
              <w:rPr>
                <w:sz w:val="20"/>
                <w:szCs w:val="20"/>
              </w:rPr>
              <w:t>a</w:t>
            </w:r>
            <w:r w:rsidRPr="006B4730">
              <w:rPr>
                <w:sz w:val="20"/>
                <w:szCs w:val="20"/>
              </w:rPr>
              <w:t>emia</w:t>
            </w:r>
            <w:r w:rsidRPr="006B4730">
              <w:rPr>
                <w:sz w:val="20"/>
                <w:szCs w:val="20"/>
                <w:vertAlign w:val="superscript"/>
              </w:rPr>
              <w:t>1</w:t>
            </w:r>
          </w:p>
        </w:tc>
        <w:tc>
          <w:tcPr>
            <w:tcW w:w="2738" w:type="dxa"/>
            <w:tcBorders>
              <w:bottom w:val="single" w:sz="4" w:space="0" w:color="000000"/>
              <w:right w:val="single" w:sz="4" w:space="0" w:color="000000"/>
            </w:tcBorders>
            <w:tcMar>
              <w:top w:w="28" w:type="dxa"/>
              <w:left w:w="113" w:type="dxa"/>
              <w:bottom w:w="28" w:type="dxa"/>
              <w:right w:w="113" w:type="dxa"/>
            </w:tcMar>
          </w:tcPr>
          <w:p w14:paraId="1D320B5E" w14:textId="77777777" w:rsidR="00DD2D60" w:rsidRPr="006B4730" w:rsidRDefault="00DD2D60" w:rsidP="006E7460">
            <w:pPr>
              <w:spacing w:line="259" w:lineRule="auto"/>
              <w:jc w:val="left"/>
              <w:rPr>
                <w:sz w:val="20"/>
                <w:szCs w:val="20"/>
              </w:rPr>
            </w:pPr>
            <w:r w:rsidRPr="006B4730">
              <w:rPr>
                <w:sz w:val="20"/>
                <w:szCs w:val="20"/>
              </w:rPr>
              <w:t>516 (18.3)</w:t>
            </w:r>
          </w:p>
        </w:tc>
        <w:tc>
          <w:tcPr>
            <w:tcW w:w="2738" w:type="dxa"/>
            <w:tcBorders>
              <w:bottom w:val="single" w:sz="4" w:space="0" w:color="000000"/>
              <w:right w:val="single" w:sz="4" w:space="0" w:color="000000"/>
            </w:tcBorders>
            <w:tcMar>
              <w:top w:w="28" w:type="dxa"/>
              <w:left w:w="113" w:type="dxa"/>
              <w:bottom w:w="28" w:type="dxa"/>
              <w:right w:w="113" w:type="dxa"/>
            </w:tcMar>
          </w:tcPr>
          <w:p w14:paraId="23EACCD2" w14:textId="77777777" w:rsidR="00DD2D60" w:rsidRPr="006B4730" w:rsidRDefault="00DD2D60" w:rsidP="006E7460">
            <w:pPr>
              <w:spacing w:line="259" w:lineRule="auto"/>
              <w:jc w:val="left"/>
              <w:rPr>
                <w:sz w:val="20"/>
                <w:szCs w:val="20"/>
              </w:rPr>
            </w:pPr>
            <w:r w:rsidRPr="006B4730">
              <w:rPr>
                <w:sz w:val="20"/>
                <w:szCs w:val="20"/>
              </w:rPr>
              <w:t>255 (9.0)</w:t>
            </w:r>
          </w:p>
        </w:tc>
      </w:tr>
      <w:tr w:rsidR="00DD2D60" w:rsidRPr="006B4730" w14:paraId="5F9E4C30" w14:textId="77777777" w:rsidTr="00F163E9">
        <w:tc>
          <w:tcPr>
            <w:tcW w:w="345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E115C60" w14:textId="77777777" w:rsidR="00DD2D60" w:rsidRPr="006B4730" w:rsidRDefault="00DD2D60" w:rsidP="006E7460">
            <w:pPr>
              <w:spacing w:line="259" w:lineRule="auto"/>
              <w:jc w:val="left"/>
              <w:rPr>
                <w:sz w:val="20"/>
                <w:szCs w:val="20"/>
              </w:rPr>
            </w:pPr>
            <w:r w:rsidRPr="006B4730">
              <w:rPr>
                <w:sz w:val="20"/>
                <w:szCs w:val="20"/>
              </w:rPr>
              <w:t>Hypotension</w:t>
            </w:r>
            <w:r w:rsidRPr="006B4730">
              <w:rPr>
                <w:sz w:val="20"/>
                <w:szCs w:val="20"/>
                <w:vertAlign w:val="superscript"/>
              </w:rPr>
              <w:t>2,3</w:t>
            </w:r>
          </w:p>
        </w:tc>
        <w:tc>
          <w:tcPr>
            <w:tcW w:w="2738" w:type="dxa"/>
            <w:tcBorders>
              <w:bottom w:val="single" w:sz="4" w:space="0" w:color="000000"/>
              <w:right w:val="single" w:sz="4" w:space="0" w:color="000000"/>
            </w:tcBorders>
            <w:tcMar>
              <w:top w:w="28" w:type="dxa"/>
              <w:left w:w="113" w:type="dxa"/>
              <w:bottom w:w="28" w:type="dxa"/>
              <w:right w:w="113" w:type="dxa"/>
            </w:tcMar>
          </w:tcPr>
          <w:p w14:paraId="0B11B216" w14:textId="77777777" w:rsidR="00DD2D60" w:rsidRPr="006B4730" w:rsidRDefault="00DD2D60" w:rsidP="006E7460">
            <w:pPr>
              <w:spacing w:line="259" w:lineRule="auto"/>
              <w:jc w:val="left"/>
              <w:rPr>
                <w:sz w:val="20"/>
                <w:szCs w:val="20"/>
              </w:rPr>
            </w:pPr>
            <w:r w:rsidRPr="006B4730">
              <w:rPr>
                <w:sz w:val="20"/>
                <w:szCs w:val="20"/>
              </w:rPr>
              <w:t>135 (4.8)</w:t>
            </w:r>
          </w:p>
        </w:tc>
        <w:tc>
          <w:tcPr>
            <w:tcW w:w="2738" w:type="dxa"/>
            <w:tcBorders>
              <w:bottom w:val="single" w:sz="4" w:space="0" w:color="000000"/>
              <w:right w:val="single" w:sz="4" w:space="0" w:color="000000"/>
            </w:tcBorders>
            <w:tcMar>
              <w:top w:w="28" w:type="dxa"/>
              <w:left w:w="113" w:type="dxa"/>
              <w:bottom w:w="28" w:type="dxa"/>
              <w:right w:w="113" w:type="dxa"/>
            </w:tcMar>
          </w:tcPr>
          <w:p w14:paraId="40E9ACFD" w14:textId="77777777" w:rsidR="00DD2D60" w:rsidRPr="006B4730" w:rsidRDefault="00DD2D60" w:rsidP="006E7460">
            <w:pPr>
              <w:spacing w:line="259" w:lineRule="auto"/>
              <w:jc w:val="left"/>
              <w:rPr>
                <w:sz w:val="20"/>
                <w:szCs w:val="20"/>
              </w:rPr>
            </w:pPr>
            <w:r w:rsidRPr="006B4730">
              <w:rPr>
                <w:sz w:val="20"/>
                <w:szCs w:val="20"/>
              </w:rPr>
              <w:t>96 (3.4)</w:t>
            </w:r>
          </w:p>
        </w:tc>
      </w:tr>
      <w:tr w:rsidR="00DD2D60" w:rsidRPr="006B4730" w14:paraId="007841B5" w14:textId="77777777" w:rsidTr="00F163E9">
        <w:tc>
          <w:tcPr>
            <w:tcW w:w="345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6DDA4F4" w14:textId="77777777" w:rsidR="00DD2D60" w:rsidRPr="006B4730" w:rsidRDefault="00DD2D60" w:rsidP="006E7460">
            <w:pPr>
              <w:spacing w:line="259" w:lineRule="auto"/>
              <w:jc w:val="left"/>
              <w:rPr>
                <w:sz w:val="20"/>
                <w:szCs w:val="20"/>
              </w:rPr>
            </w:pPr>
            <w:r w:rsidRPr="006B4730">
              <w:rPr>
                <w:sz w:val="20"/>
                <w:szCs w:val="20"/>
              </w:rPr>
              <w:t>Hyponatremia</w:t>
            </w:r>
            <w:r w:rsidRPr="006B4730">
              <w:rPr>
                <w:sz w:val="20"/>
                <w:szCs w:val="20"/>
                <w:vertAlign w:val="superscript"/>
              </w:rPr>
              <w:t>4</w:t>
            </w:r>
          </w:p>
        </w:tc>
        <w:tc>
          <w:tcPr>
            <w:tcW w:w="2738" w:type="dxa"/>
            <w:tcBorders>
              <w:bottom w:val="single" w:sz="4" w:space="0" w:color="000000"/>
              <w:right w:val="single" w:sz="4" w:space="0" w:color="000000"/>
            </w:tcBorders>
            <w:tcMar>
              <w:top w:w="28" w:type="dxa"/>
              <w:left w:w="113" w:type="dxa"/>
              <w:bottom w:w="28" w:type="dxa"/>
              <w:right w:w="113" w:type="dxa"/>
            </w:tcMar>
          </w:tcPr>
          <w:p w14:paraId="100E047A" w14:textId="77777777" w:rsidR="00DD2D60" w:rsidRPr="006B4730" w:rsidRDefault="00DD2D60" w:rsidP="006E7460">
            <w:pPr>
              <w:spacing w:line="259" w:lineRule="auto"/>
              <w:jc w:val="left"/>
              <w:rPr>
                <w:sz w:val="20"/>
                <w:szCs w:val="20"/>
              </w:rPr>
            </w:pPr>
            <w:r w:rsidRPr="006B4730">
              <w:rPr>
                <w:sz w:val="20"/>
                <w:szCs w:val="20"/>
              </w:rPr>
              <w:t>40 (1.4)</w:t>
            </w:r>
          </w:p>
        </w:tc>
        <w:tc>
          <w:tcPr>
            <w:tcW w:w="2738" w:type="dxa"/>
            <w:tcBorders>
              <w:bottom w:val="single" w:sz="4" w:space="0" w:color="000000"/>
              <w:right w:val="single" w:sz="4" w:space="0" w:color="000000"/>
            </w:tcBorders>
            <w:tcMar>
              <w:top w:w="28" w:type="dxa"/>
              <w:left w:w="113" w:type="dxa"/>
              <w:bottom w:w="28" w:type="dxa"/>
              <w:right w:w="113" w:type="dxa"/>
            </w:tcMar>
          </w:tcPr>
          <w:p w14:paraId="04CE7C03" w14:textId="77777777" w:rsidR="00DD2D60" w:rsidRPr="006B4730" w:rsidRDefault="00DD2D60" w:rsidP="006E7460">
            <w:pPr>
              <w:spacing w:line="259" w:lineRule="auto"/>
              <w:jc w:val="left"/>
              <w:rPr>
                <w:sz w:val="20"/>
                <w:szCs w:val="20"/>
              </w:rPr>
            </w:pPr>
            <w:r w:rsidRPr="006B4730">
              <w:rPr>
                <w:sz w:val="20"/>
                <w:szCs w:val="20"/>
              </w:rPr>
              <w:t>19 (0.7)</w:t>
            </w:r>
          </w:p>
        </w:tc>
      </w:tr>
    </w:tbl>
    <w:p w14:paraId="207D5C3A" w14:textId="77777777" w:rsidR="00DD2D60" w:rsidRPr="006B4730" w:rsidRDefault="00DD2D60" w:rsidP="006E7460">
      <w:pPr>
        <w:spacing w:after="160" w:line="259" w:lineRule="auto"/>
        <w:jc w:val="left"/>
      </w:pPr>
    </w:p>
    <w:p w14:paraId="0447DBA4" w14:textId="767DAFDE" w:rsidR="00DD2D60" w:rsidRPr="006B4730" w:rsidRDefault="00DD2D60" w:rsidP="006E7460">
      <w:pPr>
        <w:spacing w:line="259" w:lineRule="auto"/>
        <w:jc w:val="left"/>
        <w:rPr>
          <w:sz w:val="16"/>
          <w:szCs w:val="16"/>
        </w:rPr>
      </w:pPr>
      <w:r w:rsidRPr="006B4730">
        <w:rPr>
          <w:sz w:val="16"/>
          <w:szCs w:val="16"/>
          <w:vertAlign w:val="superscript"/>
        </w:rPr>
        <w:t>1</w:t>
      </w:r>
      <w:r w:rsidRPr="006B4730">
        <w:rPr>
          <w:sz w:val="16"/>
          <w:szCs w:val="16"/>
        </w:rPr>
        <w:t xml:space="preserve"> includes Blood potassium increased and Hyperkalaemia</w:t>
      </w:r>
    </w:p>
    <w:p w14:paraId="53C1D4E4" w14:textId="77777777" w:rsidR="00DD2D60" w:rsidRPr="006B4730" w:rsidRDefault="00DD2D60" w:rsidP="006E7460">
      <w:pPr>
        <w:spacing w:line="259" w:lineRule="auto"/>
        <w:jc w:val="left"/>
        <w:rPr>
          <w:sz w:val="16"/>
          <w:szCs w:val="16"/>
        </w:rPr>
      </w:pPr>
      <w:r w:rsidRPr="006B4730">
        <w:rPr>
          <w:sz w:val="16"/>
          <w:szCs w:val="16"/>
          <w:vertAlign w:val="superscript"/>
        </w:rPr>
        <w:t>2</w:t>
      </w:r>
      <w:r w:rsidRPr="006B4730">
        <w:rPr>
          <w:sz w:val="16"/>
          <w:szCs w:val="16"/>
        </w:rPr>
        <w:t xml:space="preserve"> includes Blood pressure decreased, Blood pressure diastolic decreased, Diastolic hypotension and Hypotension</w:t>
      </w:r>
    </w:p>
    <w:p w14:paraId="4E111AC3" w14:textId="77777777" w:rsidR="00DD2D60" w:rsidRPr="006B4730" w:rsidRDefault="00DD2D60" w:rsidP="006E7460">
      <w:pPr>
        <w:spacing w:line="259" w:lineRule="auto"/>
        <w:jc w:val="left"/>
        <w:rPr>
          <w:sz w:val="16"/>
          <w:szCs w:val="16"/>
        </w:rPr>
      </w:pPr>
      <w:r w:rsidRPr="006B4730">
        <w:rPr>
          <w:sz w:val="16"/>
          <w:szCs w:val="16"/>
          <w:vertAlign w:val="superscript"/>
        </w:rPr>
        <w:t>3</w:t>
      </w:r>
      <w:r w:rsidRPr="006B4730">
        <w:rPr>
          <w:sz w:val="16"/>
          <w:szCs w:val="16"/>
        </w:rPr>
        <w:t xml:space="preserve"> In patients treated with Kerendia, the mean systolic blood pressure (SBP) decreased by 3 mmHg and the mean diastolic blood pressure (DBP) decreased by 1-2 mmHg at month 1, remaining stable thereafter. The majority of hypotension events were mild or moderate and resolved. Events associated with hypotension, e.g., dizziness, syncope, or fall, were not more frequent in patients using Kerendia in comparison to placebo.</w:t>
      </w:r>
    </w:p>
    <w:p w14:paraId="013C8A9A" w14:textId="077F1F9A" w:rsidR="00DD2D60" w:rsidRPr="006B4730" w:rsidRDefault="00DD2D60" w:rsidP="006E7460">
      <w:pPr>
        <w:spacing w:line="259" w:lineRule="auto"/>
        <w:jc w:val="left"/>
        <w:rPr>
          <w:sz w:val="16"/>
          <w:szCs w:val="16"/>
        </w:rPr>
      </w:pPr>
      <w:r w:rsidRPr="006B4730">
        <w:rPr>
          <w:sz w:val="16"/>
          <w:szCs w:val="16"/>
          <w:vertAlign w:val="superscript"/>
        </w:rPr>
        <w:t>4</w:t>
      </w:r>
      <w:r w:rsidRPr="006B4730">
        <w:rPr>
          <w:b/>
          <w:bCs/>
          <w:sz w:val="16"/>
          <w:szCs w:val="16"/>
        </w:rPr>
        <w:t xml:space="preserve"> </w:t>
      </w:r>
      <w:r w:rsidRPr="006B4730">
        <w:rPr>
          <w:sz w:val="16"/>
          <w:szCs w:val="16"/>
        </w:rPr>
        <w:t xml:space="preserve">includes Blood sodium decreased and </w:t>
      </w:r>
      <w:r w:rsidR="00884509" w:rsidRPr="006B4730">
        <w:rPr>
          <w:sz w:val="16"/>
          <w:szCs w:val="16"/>
        </w:rPr>
        <w:t>Hyponatremia</w:t>
      </w:r>
    </w:p>
    <w:p w14:paraId="0A9DEEAB" w14:textId="77777777" w:rsidR="00DD2D60" w:rsidRPr="006B4730" w:rsidRDefault="00DD2D60" w:rsidP="006E7460">
      <w:pPr>
        <w:spacing w:after="160" w:line="259" w:lineRule="auto"/>
        <w:jc w:val="left"/>
      </w:pPr>
    </w:p>
    <w:p w14:paraId="67D9DCDA" w14:textId="77777777" w:rsidR="00DD2D60" w:rsidRPr="006B4730" w:rsidRDefault="00DD2D60" w:rsidP="006E7460">
      <w:pPr>
        <w:pStyle w:val="TableHeading"/>
        <w:jc w:val="left"/>
      </w:pPr>
      <w:r w:rsidRPr="006B4730">
        <w:t>Table 4: Laboratory test abnormalities reported in ≥ 1% of Kerendia-treated patients in the phase III study FIDELIO-DKD</w:t>
      </w:r>
    </w:p>
    <w:tbl>
      <w:tblPr>
        <w:tblW w:w="0" w:type="auto"/>
        <w:tblInd w:w="113" w:type="dxa"/>
        <w:tblLayout w:type="fixed"/>
        <w:tblCellMar>
          <w:left w:w="10" w:type="dxa"/>
          <w:right w:w="10" w:type="dxa"/>
        </w:tblCellMar>
        <w:tblLook w:val="0000" w:firstRow="0" w:lastRow="0" w:firstColumn="0" w:lastColumn="0" w:noHBand="0" w:noVBand="0"/>
      </w:tblPr>
      <w:tblGrid>
        <w:gridCol w:w="3458"/>
        <w:gridCol w:w="2738"/>
        <w:gridCol w:w="2738"/>
      </w:tblGrid>
      <w:tr w:rsidR="00DD2D60" w:rsidRPr="006B4730" w14:paraId="0046515B" w14:textId="77777777" w:rsidTr="00F163E9">
        <w:tc>
          <w:tcPr>
            <w:tcW w:w="345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BFA8E85" w14:textId="77777777" w:rsidR="00DD2D60" w:rsidRPr="006B4730" w:rsidRDefault="00DD2D60" w:rsidP="006E7460">
            <w:pPr>
              <w:spacing w:line="259" w:lineRule="auto"/>
              <w:jc w:val="left"/>
              <w:rPr>
                <w:sz w:val="20"/>
                <w:szCs w:val="20"/>
              </w:rPr>
            </w:pPr>
            <w:r w:rsidRPr="006B4730">
              <w:rPr>
                <w:b/>
                <w:bCs/>
                <w:sz w:val="20"/>
                <w:szCs w:val="20"/>
              </w:rPr>
              <w:t>Laboratory test Abnormalities</w:t>
            </w:r>
          </w:p>
        </w:tc>
        <w:tc>
          <w:tcPr>
            <w:tcW w:w="2738" w:type="dxa"/>
            <w:tcBorders>
              <w:top w:val="single" w:sz="4" w:space="0" w:color="000000"/>
              <w:bottom w:val="single" w:sz="4" w:space="0" w:color="000000"/>
              <w:right w:val="single" w:sz="4" w:space="0" w:color="000000"/>
            </w:tcBorders>
            <w:tcMar>
              <w:top w:w="0" w:type="dxa"/>
              <w:left w:w="108" w:type="dxa"/>
              <w:bottom w:w="0" w:type="dxa"/>
              <w:right w:w="108" w:type="dxa"/>
            </w:tcMar>
          </w:tcPr>
          <w:p w14:paraId="463A5517" w14:textId="77777777" w:rsidR="00DD2D60" w:rsidRPr="006B4730" w:rsidRDefault="00DD2D60" w:rsidP="006E7460">
            <w:pPr>
              <w:spacing w:line="259" w:lineRule="auto"/>
              <w:jc w:val="left"/>
              <w:rPr>
                <w:sz w:val="20"/>
                <w:szCs w:val="20"/>
              </w:rPr>
            </w:pPr>
            <w:r w:rsidRPr="006B4730">
              <w:rPr>
                <w:b/>
                <w:bCs/>
                <w:sz w:val="20"/>
                <w:szCs w:val="20"/>
              </w:rPr>
              <w:t>Kerendia</w:t>
            </w:r>
          </w:p>
          <w:p w14:paraId="46DF25DA" w14:textId="77777777" w:rsidR="00DD2D60" w:rsidRPr="006B4730" w:rsidRDefault="00DD2D60" w:rsidP="006E7460">
            <w:pPr>
              <w:spacing w:line="259" w:lineRule="auto"/>
              <w:jc w:val="left"/>
              <w:rPr>
                <w:sz w:val="20"/>
                <w:szCs w:val="20"/>
              </w:rPr>
            </w:pPr>
            <w:r w:rsidRPr="006B4730">
              <w:rPr>
                <w:b/>
                <w:bCs/>
                <w:sz w:val="20"/>
                <w:szCs w:val="20"/>
              </w:rPr>
              <w:t>N = 2827</w:t>
            </w:r>
          </w:p>
          <w:p w14:paraId="79BBF582" w14:textId="77777777" w:rsidR="00DD2D60" w:rsidRPr="006B4730" w:rsidRDefault="00DD2D60" w:rsidP="006E7460">
            <w:pPr>
              <w:spacing w:line="259" w:lineRule="auto"/>
              <w:jc w:val="left"/>
              <w:rPr>
                <w:sz w:val="20"/>
                <w:szCs w:val="20"/>
              </w:rPr>
            </w:pPr>
            <w:r w:rsidRPr="006B4730">
              <w:rPr>
                <w:b/>
                <w:bCs/>
                <w:sz w:val="20"/>
                <w:szCs w:val="20"/>
              </w:rPr>
              <w:t>n (%)</w:t>
            </w:r>
          </w:p>
        </w:tc>
        <w:tc>
          <w:tcPr>
            <w:tcW w:w="2738" w:type="dxa"/>
            <w:tcBorders>
              <w:top w:val="single" w:sz="4" w:space="0" w:color="000000"/>
              <w:bottom w:val="single" w:sz="4" w:space="0" w:color="000000"/>
              <w:right w:val="single" w:sz="4" w:space="0" w:color="000000"/>
            </w:tcBorders>
            <w:tcMar>
              <w:top w:w="0" w:type="dxa"/>
              <w:left w:w="108" w:type="dxa"/>
              <w:bottom w:w="0" w:type="dxa"/>
              <w:right w:w="108" w:type="dxa"/>
            </w:tcMar>
          </w:tcPr>
          <w:p w14:paraId="3AC669D9" w14:textId="77777777" w:rsidR="00DD2D60" w:rsidRPr="006B4730" w:rsidRDefault="00DD2D60" w:rsidP="006E7460">
            <w:pPr>
              <w:spacing w:line="259" w:lineRule="auto"/>
              <w:jc w:val="left"/>
              <w:rPr>
                <w:sz w:val="20"/>
                <w:szCs w:val="20"/>
              </w:rPr>
            </w:pPr>
            <w:r w:rsidRPr="006B4730">
              <w:rPr>
                <w:b/>
                <w:bCs/>
                <w:sz w:val="20"/>
                <w:szCs w:val="20"/>
              </w:rPr>
              <w:t>Placebo</w:t>
            </w:r>
          </w:p>
          <w:p w14:paraId="68D779C7" w14:textId="77777777" w:rsidR="00DD2D60" w:rsidRPr="006B4730" w:rsidRDefault="00DD2D60" w:rsidP="006E7460">
            <w:pPr>
              <w:spacing w:line="259" w:lineRule="auto"/>
              <w:jc w:val="left"/>
              <w:rPr>
                <w:sz w:val="20"/>
                <w:szCs w:val="20"/>
              </w:rPr>
            </w:pPr>
            <w:r w:rsidRPr="006B4730">
              <w:rPr>
                <w:b/>
                <w:bCs/>
                <w:sz w:val="20"/>
                <w:szCs w:val="20"/>
              </w:rPr>
              <w:t>N = 2831</w:t>
            </w:r>
          </w:p>
          <w:p w14:paraId="2D67C03B" w14:textId="77777777" w:rsidR="00DD2D60" w:rsidRPr="006B4730" w:rsidRDefault="00DD2D60" w:rsidP="006E7460">
            <w:pPr>
              <w:spacing w:line="259" w:lineRule="auto"/>
              <w:jc w:val="left"/>
              <w:rPr>
                <w:sz w:val="20"/>
                <w:szCs w:val="20"/>
              </w:rPr>
            </w:pPr>
            <w:r w:rsidRPr="006B4730">
              <w:rPr>
                <w:b/>
                <w:bCs/>
                <w:sz w:val="20"/>
                <w:szCs w:val="20"/>
              </w:rPr>
              <w:t>n (%)</w:t>
            </w:r>
          </w:p>
        </w:tc>
      </w:tr>
      <w:tr w:rsidR="00DD2D60" w:rsidRPr="006B4730" w14:paraId="07AB76FA" w14:textId="77777777" w:rsidTr="00F163E9">
        <w:tc>
          <w:tcPr>
            <w:tcW w:w="345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4ABD332" w14:textId="77777777" w:rsidR="00DD2D60" w:rsidRPr="006B4730" w:rsidRDefault="00DD2D60" w:rsidP="006E7460">
            <w:pPr>
              <w:spacing w:line="259" w:lineRule="auto"/>
              <w:jc w:val="left"/>
              <w:rPr>
                <w:sz w:val="20"/>
                <w:szCs w:val="20"/>
              </w:rPr>
            </w:pPr>
            <w:r w:rsidRPr="006B4730">
              <w:rPr>
                <w:sz w:val="20"/>
                <w:szCs w:val="20"/>
              </w:rPr>
              <w:t>Glomerular filtration rate decreased</w:t>
            </w:r>
            <w:r w:rsidRPr="006B4730">
              <w:rPr>
                <w:sz w:val="20"/>
                <w:szCs w:val="20"/>
                <w:vertAlign w:val="superscript"/>
              </w:rPr>
              <w:t>1</w:t>
            </w:r>
          </w:p>
        </w:tc>
        <w:tc>
          <w:tcPr>
            <w:tcW w:w="2738" w:type="dxa"/>
            <w:tcBorders>
              <w:bottom w:val="single" w:sz="4" w:space="0" w:color="000000"/>
              <w:right w:val="single" w:sz="4" w:space="0" w:color="000000"/>
            </w:tcBorders>
            <w:tcMar>
              <w:top w:w="28" w:type="dxa"/>
              <w:left w:w="113" w:type="dxa"/>
              <w:bottom w:w="28" w:type="dxa"/>
              <w:right w:w="113" w:type="dxa"/>
            </w:tcMar>
          </w:tcPr>
          <w:p w14:paraId="6ED1F569" w14:textId="77777777" w:rsidR="00DD2D60" w:rsidRPr="006B4730" w:rsidRDefault="00DD2D60" w:rsidP="006E7460">
            <w:pPr>
              <w:spacing w:line="259" w:lineRule="auto"/>
              <w:jc w:val="left"/>
              <w:rPr>
                <w:sz w:val="20"/>
                <w:szCs w:val="20"/>
              </w:rPr>
            </w:pPr>
            <w:r w:rsidRPr="006B4730">
              <w:rPr>
                <w:sz w:val="20"/>
                <w:szCs w:val="20"/>
              </w:rPr>
              <w:t>179 (6.3)</w:t>
            </w:r>
          </w:p>
        </w:tc>
        <w:tc>
          <w:tcPr>
            <w:tcW w:w="2738" w:type="dxa"/>
            <w:tcBorders>
              <w:bottom w:val="single" w:sz="4" w:space="0" w:color="000000"/>
              <w:right w:val="single" w:sz="4" w:space="0" w:color="000000"/>
            </w:tcBorders>
            <w:tcMar>
              <w:top w:w="28" w:type="dxa"/>
              <w:left w:w="113" w:type="dxa"/>
              <w:bottom w:w="28" w:type="dxa"/>
              <w:right w:w="113" w:type="dxa"/>
            </w:tcMar>
          </w:tcPr>
          <w:p w14:paraId="07C0B9FB" w14:textId="77777777" w:rsidR="00DD2D60" w:rsidRPr="006B4730" w:rsidRDefault="00DD2D60" w:rsidP="006E7460">
            <w:pPr>
              <w:spacing w:line="259" w:lineRule="auto"/>
              <w:jc w:val="left"/>
              <w:rPr>
                <w:sz w:val="20"/>
                <w:szCs w:val="20"/>
              </w:rPr>
            </w:pPr>
            <w:r w:rsidRPr="006B4730">
              <w:rPr>
                <w:sz w:val="20"/>
                <w:szCs w:val="20"/>
              </w:rPr>
              <w:t>133 (4.7)</w:t>
            </w:r>
          </w:p>
        </w:tc>
      </w:tr>
    </w:tbl>
    <w:p w14:paraId="58000F6A" w14:textId="77777777" w:rsidR="00DD2D60" w:rsidRPr="006B4730" w:rsidRDefault="00DD2D60" w:rsidP="006E7460">
      <w:pPr>
        <w:spacing w:line="259" w:lineRule="auto"/>
        <w:jc w:val="left"/>
        <w:rPr>
          <w:sz w:val="16"/>
          <w:szCs w:val="16"/>
        </w:rPr>
      </w:pPr>
    </w:p>
    <w:p w14:paraId="155C3100" w14:textId="77777777" w:rsidR="00DD2D60" w:rsidRPr="006B4730" w:rsidRDefault="00DD2D60" w:rsidP="006E7460">
      <w:pPr>
        <w:spacing w:line="259" w:lineRule="auto"/>
        <w:jc w:val="left"/>
        <w:rPr>
          <w:sz w:val="16"/>
          <w:szCs w:val="16"/>
        </w:rPr>
      </w:pPr>
      <w:r w:rsidRPr="006B4730">
        <w:rPr>
          <w:sz w:val="16"/>
          <w:szCs w:val="16"/>
          <w:vertAlign w:val="superscript"/>
        </w:rPr>
        <w:t>1</w:t>
      </w:r>
      <w:r w:rsidRPr="006B4730">
        <w:rPr>
          <w:sz w:val="16"/>
          <w:szCs w:val="16"/>
        </w:rPr>
        <w:t xml:space="preserve"> An initial decrease in eGFR (mean 2 mL/min/1.73m2) attenuated over time compared to placebo. This decrease has been shown to be reversible after treatment discontinuation.</w:t>
      </w:r>
    </w:p>
    <w:p w14:paraId="711DDF58" w14:textId="175FEDB0" w:rsidR="00310902" w:rsidRPr="006B4730" w:rsidRDefault="00310902" w:rsidP="006E7460">
      <w:pPr>
        <w:pStyle w:val="Heading3"/>
        <w:ind w:left="1170" w:hanging="1170"/>
        <w:jc w:val="left"/>
      </w:pPr>
      <w:r w:rsidRPr="006B4730">
        <w:lastRenderedPageBreak/>
        <w:t>Description of selected adverse reactions</w:t>
      </w:r>
      <w:bookmarkStart w:id="19" w:name="_Hlk52298673"/>
    </w:p>
    <w:p w14:paraId="220E2F80" w14:textId="7848393F" w:rsidR="00310902" w:rsidRPr="006B4730" w:rsidRDefault="00310902" w:rsidP="006E7460">
      <w:pPr>
        <w:pStyle w:val="Heading4"/>
        <w:jc w:val="left"/>
        <w:rPr>
          <w:lang w:val="en-AU"/>
        </w:rPr>
      </w:pPr>
      <w:r w:rsidRPr="006B4730">
        <w:rPr>
          <w:lang w:val="en-AU"/>
        </w:rPr>
        <w:t>Hyperkal</w:t>
      </w:r>
      <w:r w:rsidR="00A15E01" w:rsidRPr="006B4730">
        <w:rPr>
          <w:lang w:val="en-AU"/>
        </w:rPr>
        <w:t>a</w:t>
      </w:r>
      <w:r w:rsidRPr="006B4730">
        <w:rPr>
          <w:lang w:val="en-AU"/>
        </w:rPr>
        <w:t>emia</w:t>
      </w:r>
    </w:p>
    <w:p w14:paraId="15411725" w14:textId="7AC904A1" w:rsidR="00310902" w:rsidRPr="006B4730" w:rsidRDefault="00310902" w:rsidP="006E7460">
      <w:pPr>
        <w:autoSpaceDE w:val="0"/>
        <w:autoSpaceDN w:val="0"/>
        <w:spacing w:before="120" w:after="120"/>
        <w:jc w:val="left"/>
        <w:rPr>
          <w:rFonts w:eastAsia="SimSun"/>
          <w:lang w:eastAsia="de-DE"/>
        </w:rPr>
      </w:pPr>
      <w:bookmarkStart w:id="20" w:name="_Hlk52475344"/>
      <w:r w:rsidRPr="006B4730">
        <w:rPr>
          <w:szCs w:val="24"/>
        </w:rPr>
        <w:t xml:space="preserve">In the FIDELIO-DKD study, </w:t>
      </w:r>
      <w:r w:rsidR="00A15E01" w:rsidRPr="006B4730">
        <w:rPr>
          <w:szCs w:val="24"/>
        </w:rPr>
        <w:t>hyperkalaemia</w:t>
      </w:r>
      <w:r w:rsidRPr="006B4730">
        <w:rPr>
          <w:szCs w:val="24"/>
        </w:rPr>
        <w:t xml:space="preserve"> events were reported in 18.3% of </w:t>
      </w:r>
      <w:r w:rsidRPr="006B4730">
        <w:t>KERENDIA</w:t>
      </w:r>
      <w:r w:rsidRPr="006B4730">
        <w:rPr>
          <w:szCs w:val="24"/>
        </w:rPr>
        <w:t xml:space="preserve"> -treated patients compared with 9.0% of placebo-treated patients. In patients treated with </w:t>
      </w:r>
      <w:r w:rsidRPr="006B4730">
        <w:t xml:space="preserve">KERENDIA, the majority of </w:t>
      </w:r>
      <w:r w:rsidR="00A15E01" w:rsidRPr="006B4730">
        <w:t>hyperkalaemia</w:t>
      </w:r>
      <w:r w:rsidRPr="006B4730">
        <w:t xml:space="preserve"> events </w:t>
      </w:r>
      <w:r w:rsidRPr="006B4730">
        <w:rPr>
          <w:szCs w:val="24"/>
        </w:rPr>
        <w:t xml:space="preserve">were mild to moderate. An increase from baseline in mean serum potassium in the first month of treatment of approximately 0.2 mmol/L was observed in the </w:t>
      </w:r>
      <w:r w:rsidRPr="006B4730">
        <w:t>KERENDIA</w:t>
      </w:r>
      <w:r w:rsidRPr="006B4730">
        <w:rPr>
          <w:szCs w:val="24"/>
        </w:rPr>
        <w:t xml:space="preserve"> arm compared to placebo, with a maximum between-group difference of 0.23 mmol/L observed at Month 4, remaining stable thereafter. </w:t>
      </w:r>
      <w:r w:rsidRPr="006B4730">
        <w:rPr>
          <w:rFonts w:eastAsia="SimSun"/>
          <w:lang w:eastAsia="de-DE"/>
        </w:rPr>
        <w:t xml:space="preserve">For specific recommendations, refer to </w:t>
      </w:r>
      <w:r w:rsidR="00B15C94">
        <w:rPr>
          <w:rFonts w:eastAsia="SimSun"/>
          <w:lang w:eastAsia="de-DE"/>
        </w:rPr>
        <w:t>Section</w:t>
      </w:r>
      <w:r w:rsidRPr="006B4730">
        <w:rPr>
          <w:rFonts w:eastAsia="SimSun"/>
          <w:lang w:eastAsia="de-DE"/>
        </w:rPr>
        <w:t xml:space="preserve">s </w:t>
      </w:r>
      <w:r w:rsidR="00357B3C">
        <w:rPr>
          <w:rFonts w:eastAsia="SimSun"/>
          <w:lang w:eastAsia="de-DE"/>
        </w:rPr>
        <w:fldChar w:fldCharType="begin"/>
      </w:r>
      <w:r w:rsidR="00357B3C">
        <w:rPr>
          <w:rFonts w:eastAsia="SimSun"/>
          <w:lang w:eastAsia="de-DE"/>
        </w:rPr>
        <w:instrText xml:space="preserve"> REF _Ref79419993 \h </w:instrText>
      </w:r>
      <w:r w:rsidR="00357B3C">
        <w:rPr>
          <w:rFonts w:eastAsia="SimSun"/>
          <w:lang w:eastAsia="de-DE"/>
        </w:rPr>
      </w:r>
      <w:r w:rsidR="006E7460">
        <w:rPr>
          <w:rFonts w:eastAsia="SimSun"/>
          <w:lang w:eastAsia="de-DE"/>
        </w:rPr>
        <w:instrText xml:space="preserve"> \* MERGEFORMAT </w:instrText>
      </w:r>
      <w:r w:rsidR="00357B3C">
        <w:rPr>
          <w:rFonts w:eastAsia="SimSun"/>
          <w:lang w:eastAsia="de-DE"/>
        </w:rPr>
        <w:fldChar w:fldCharType="separate"/>
      </w:r>
      <w:r w:rsidR="00357B3C" w:rsidRPr="006B4730">
        <w:t>4.2 DOSE AND METHOD OF ADMINISTRATION</w:t>
      </w:r>
      <w:r w:rsidR="00357B3C">
        <w:rPr>
          <w:rFonts w:eastAsia="SimSun"/>
          <w:lang w:eastAsia="de-DE"/>
        </w:rPr>
        <w:fldChar w:fldCharType="end"/>
      </w:r>
      <w:r w:rsidRPr="006B4730">
        <w:rPr>
          <w:rFonts w:eastAsia="SimSun"/>
          <w:lang w:eastAsia="de-DE"/>
        </w:rPr>
        <w:t xml:space="preserve"> and </w:t>
      </w:r>
      <w:r w:rsidR="00357B3C" w:rsidRPr="004A4E8F">
        <w:rPr>
          <w:iCs/>
        </w:rPr>
        <w:fldChar w:fldCharType="begin" w:fldLock="1"/>
      </w:r>
      <w:r w:rsidR="00357B3C" w:rsidRPr="004A4E8F">
        <w:rPr>
          <w:iCs/>
        </w:rPr>
        <w:instrText xml:space="preserve"> REF _Ref79419895 \h  \* MERGEFORMAT </w:instrText>
      </w:r>
      <w:r w:rsidR="00357B3C" w:rsidRPr="004A4E8F">
        <w:rPr>
          <w:iCs/>
        </w:rPr>
      </w:r>
      <w:r w:rsidR="00357B3C" w:rsidRPr="004A4E8F">
        <w:rPr>
          <w:iCs/>
        </w:rPr>
        <w:fldChar w:fldCharType="separate"/>
      </w:r>
      <w:r w:rsidR="00357B3C" w:rsidRPr="004A4E8F">
        <w:rPr>
          <w:iCs/>
        </w:rPr>
        <w:t>4.4 SPECIAL WARNINGS AND PRECAUTIONS FOR USE</w:t>
      </w:r>
      <w:r w:rsidR="00357B3C" w:rsidRPr="004A4E8F">
        <w:rPr>
          <w:iCs/>
        </w:rPr>
        <w:fldChar w:fldCharType="end"/>
      </w:r>
      <w:r w:rsidRPr="006B4730">
        <w:rPr>
          <w:rFonts w:eastAsia="SimSun"/>
          <w:lang w:eastAsia="de-DE"/>
        </w:rPr>
        <w:t>.</w:t>
      </w:r>
      <w:bookmarkStart w:id="21" w:name="_Hlk52475390"/>
      <w:bookmarkEnd w:id="20"/>
    </w:p>
    <w:bookmarkEnd w:id="19"/>
    <w:bookmarkEnd w:id="21"/>
    <w:p w14:paraId="7D21B184" w14:textId="77777777" w:rsidR="00310902" w:rsidRPr="006B4730" w:rsidRDefault="00310902" w:rsidP="006E7460">
      <w:pPr>
        <w:jc w:val="left"/>
      </w:pPr>
    </w:p>
    <w:p w14:paraId="0C03E05A" w14:textId="77777777" w:rsidR="002B424E" w:rsidRPr="006B4730" w:rsidRDefault="002B424E" w:rsidP="006E7460">
      <w:pPr>
        <w:pStyle w:val="Heading3"/>
        <w:jc w:val="left"/>
      </w:pPr>
      <w:r w:rsidRPr="006B4730">
        <w:t xml:space="preserve">Reporting </w:t>
      </w:r>
      <w:r w:rsidR="00F718EC" w:rsidRPr="006B4730">
        <w:t>S</w:t>
      </w:r>
      <w:r w:rsidRPr="006B4730">
        <w:t xml:space="preserve">uspected </w:t>
      </w:r>
      <w:r w:rsidR="00F718EC" w:rsidRPr="006B4730">
        <w:t>A</w:t>
      </w:r>
      <w:r w:rsidRPr="006B4730">
        <w:t xml:space="preserve">dverse </w:t>
      </w:r>
      <w:r w:rsidR="00F718EC" w:rsidRPr="006B4730">
        <w:t>E</w:t>
      </w:r>
      <w:r w:rsidRPr="006B4730">
        <w:t>ffects</w:t>
      </w:r>
    </w:p>
    <w:p w14:paraId="0BC2A5C1" w14:textId="77777777" w:rsidR="00497C85" w:rsidRPr="006B4730" w:rsidRDefault="00497C85" w:rsidP="006E7460">
      <w:pPr>
        <w:jc w:val="left"/>
      </w:pPr>
      <w:r w:rsidRPr="006B473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6B4730">
          <w:t>www.tga.gov.au/reporting-problems</w:t>
        </w:r>
      </w:hyperlink>
      <w:r w:rsidRPr="006B4730">
        <w:t>.</w:t>
      </w:r>
    </w:p>
    <w:p w14:paraId="455D9469" w14:textId="77777777" w:rsidR="00B1775A" w:rsidRPr="006B4730" w:rsidRDefault="00B1775A" w:rsidP="006E7460">
      <w:pPr>
        <w:pStyle w:val="InstructionalText"/>
        <w:jc w:val="left"/>
      </w:pPr>
    </w:p>
    <w:p w14:paraId="32A000E4" w14:textId="77777777" w:rsidR="001A3992" w:rsidRPr="006B4730" w:rsidRDefault="00713DF2" w:rsidP="006E7460">
      <w:pPr>
        <w:pStyle w:val="Heading1"/>
        <w:numPr>
          <w:ilvl w:val="0"/>
          <w:numId w:val="0"/>
        </w:numPr>
        <w:ind w:left="432" w:hanging="432"/>
        <w:jc w:val="left"/>
      </w:pPr>
      <w:r w:rsidRPr="006B4730">
        <w:t xml:space="preserve">4.9 </w:t>
      </w:r>
      <w:r w:rsidR="001A3992" w:rsidRPr="006B4730">
        <w:t>Overdose</w:t>
      </w:r>
    </w:p>
    <w:p w14:paraId="58DB15DF" w14:textId="24DCF6BA" w:rsidR="00497C85" w:rsidRPr="006B4730" w:rsidRDefault="00497C85" w:rsidP="006E7460">
      <w:pPr>
        <w:jc w:val="left"/>
      </w:pPr>
      <w:r w:rsidRPr="006B4730">
        <w:t>For information on the management of overdose, contact the Poisons Information Centre on 13</w:t>
      </w:r>
      <w:r w:rsidR="00B67747" w:rsidRPr="006B4730">
        <w:t xml:space="preserve"> </w:t>
      </w:r>
      <w:r w:rsidRPr="006B4730">
        <w:t>11</w:t>
      </w:r>
      <w:r w:rsidR="00B67747" w:rsidRPr="006B4730">
        <w:t xml:space="preserve"> </w:t>
      </w:r>
      <w:r w:rsidRPr="006B4730">
        <w:t>26 (Australia).</w:t>
      </w:r>
    </w:p>
    <w:p w14:paraId="4BF1F996" w14:textId="77777777" w:rsidR="00A1399E" w:rsidRPr="006B4730" w:rsidRDefault="00A1399E" w:rsidP="006E7460">
      <w:pPr>
        <w:jc w:val="left"/>
      </w:pPr>
    </w:p>
    <w:p w14:paraId="74CC5FAD" w14:textId="3EB3CF5D" w:rsidR="007D3B50" w:rsidRPr="006B4730" w:rsidRDefault="00A1399E" w:rsidP="006E7460">
      <w:pPr>
        <w:jc w:val="left"/>
      </w:pPr>
      <w:r w:rsidRPr="006B4730">
        <w:t>No</w:t>
      </w:r>
      <w:r w:rsidR="007D3B50" w:rsidRPr="006B4730">
        <w:t xml:space="preserve"> cases of adverse events associated with finerenone overdose in humans have been reported. The most likely manifestation of overdose is anticipated to be </w:t>
      </w:r>
      <w:r w:rsidR="00735131" w:rsidRPr="006B4730">
        <w:t>hyperkalaemia</w:t>
      </w:r>
      <w:r w:rsidR="007D3B50" w:rsidRPr="006B4730">
        <w:t xml:space="preserve">.  If </w:t>
      </w:r>
      <w:r w:rsidR="00735131" w:rsidRPr="006B4730">
        <w:t>hyperkalaemia</w:t>
      </w:r>
      <w:r w:rsidR="007D3B50" w:rsidRPr="006B4730">
        <w:t xml:space="preserve"> develops, standard treatment should be initiated. </w:t>
      </w:r>
    </w:p>
    <w:p w14:paraId="5F7F6110" w14:textId="753C38DE" w:rsidR="007D3B50" w:rsidRPr="006B4730" w:rsidRDefault="007D3B50" w:rsidP="006E7460">
      <w:pPr>
        <w:jc w:val="left"/>
      </w:pPr>
      <w:r w:rsidRPr="006B4730">
        <w:t xml:space="preserve">Finerenone is unlikely to be efficiently removed by </w:t>
      </w:r>
      <w:r w:rsidR="00735131" w:rsidRPr="006B4730">
        <w:t>haemodialysis</w:t>
      </w:r>
      <w:r w:rsidRPr="006B4730">
        <w:t xml:space="preserve"> given its fraction bound to plasma proteins of about 90%.</w:t>
      </w:r>
    </w:p>
    <w:p w14:paraId="225E8134" w14:textId="77777777" w:rsidR="003C1BCE" w:rsidRPr="006B4730" w:rsidRDefault="003C1BCE" w:rsidP="006E7460">
      <w:pPr>
        <w:jc w:val="left"/>
      </w:pPr>
    </w:p>
    <w:p w14:paraId="2D46FD0F" w14:textId="77777777" w:rsidR="001A3992" w:rsidRPr="006B4730" w:rsidRDefault="00713DF2" w:rsidP="006E7460">
      <w:pPr>
        <w:pStyle w:val="Heading1"/>
        <w:numPr>
          <w:ilvl w:val="0"/>
          <w:numId w:val="0"/>
        </w:numPr>
        <w:ind w:left="432" w:hanging="432"/>
        <w:jc w:val="left"/>
      </w:pPr>
      <w:r w:rsidRPr="006B4730">
        <w:t xml:space="preserve">5 </w:t>
      </w:r>
      <w:r w:rsidR="001A3992" w:rsidRPr="006B4730">
        <w:t>Pharmacological properties</w:t>
      </w:r>
    </w:p>
    <w:p w14:paraId="1766F1CF" w14:textId="77777777" w:rsidR="001A3992" w:rsidRPr="006B4730" w:rsidRDefault="00713DF2" w:rsidP="006E7460">
      <w:pPr>
        <w:pStyle w:val="Heading1"/>
        <w:numPr>
          <w:ilvl w:val="0"/>
          <w:numId w:val="0"/>
        </w:numPr>
        <w:ind w:left="432" w:hanging="432"/>
        <w:jc w:val="left"/>
      </w:pPr>
      <w:bookmarkStart w:id="22" w:name="_Ref88420151"/>
      <w:r w:rsidRPr="006B4730">
        <w:t xml:space="preserve">5.1 </w:t>
      </w:r>
      <w:r w:rsidR="001B714F" w:rsidRPr="006B4730">
        <w:t>Pharmacodynamic properties</w:t>
      </w:r>
      <w:bookmarkEnd w:id="22"/>
    </w:p>
    <w:p w14:paraId="40658211" w14:textId="47DEDC29" w:rsidR="00D74D29" w:rsidRPr="006B4730" w:rsidRDefault="00D74D29" w:rsidP="006E7460">
      <w:pPr>
        <w:pStyle w:val="BayerBodyTextFull"/>
      </w:pPr>
      <w:r w:rsidRPr="006B4730">
        <w:rPr>
          <w:rFonts w:ascii="Arial" w:hAnsi="Arial"/>
          <w:sz w:val="22"/>
        </w:rPr>
        <w:t>ATC code: C03DA05</w:t>
      </w:r>
    </w:p>
    <w:p w14:paraId="2518FB08" w14:textId="09453DEE" w:rsidR="001A3992" w:rsidRPr="006B4730" w:rsidRDefault="001A3992" w:rsidP="006E7460">
      <w:pPr>
        <w:pStyle w:val="Heading3"/>
        <w:jc w:val="left"/>
      </w:pPr>
      <w:r w:rsidRPr="006B4730">
        <w:t xml:space="preserve">Mechanism of </w:t>
      </w:r>
      <w:r w:rsidR="001B714F" w:rsidRPr="006B4730">
        <w:t>A</w:t>
      </w:r>
      <w:r w:rsidRPr="006B4730">
        <w:t>ction</w:t>
      </w:r>
    </w:p>
    <w:p w14:paraId="3AC2BAD8" w14:textId="6A391C5E" w:rsidR="007D3B50" w:rsidRPr="006B4730" w:rsidRDefault="007D3B50" w:rsidP="006E7460">
      <w:pPr>
        <w:jc w:val="left"/>
      </w:pPr>
      <w:r w:rsidRPr="006B4730">
        <w:rPr>
          <w:lang w:eastAsia="de-DE"/>
        </w:rPr>
        <w:t xml:space="preserve">Finerenone is a nonsteroidal antagonist of the mineralocorticoid receptor (MR) that potently attenuates inflammation and fibrosis mediated by MR overactivation. The MR is expressed in the kidneys, heart and blood vessels where finerenone also counteracts sodium retention and hypertrophic processes. </w:t>
      </w:r>
      <w:r w:rsidRPr="006B4730">
        <w:t xml:space="preserve">Finerenone </w:t>
      </w:r>
      <w:r w:rsidR="002763E9" w:rsidRPr="006B4730">
        <w:t>has high</w:t>
      </w:r>
      <w:r w:rsidRPr="006B4730">
        <w:t xml:space="preserve"> selectivity for the MR due to its nonsteroidal structure and bulky binding mode. Finerenone has no relevant affinity for androgen, progesterone, estrogen and glucocorticoid receptors and therefore does not cause sex hormone-related adverse events (e.g., gynecomastia). Its binding to the MR leads to a specific receptor ligand complex that blocks recruitment of transcriptional coactivators implicated in the expression of pro-inflammatory and pro-fibrotic mediators. </w:t>
      </w:r>
    </w:p>
    <w:p w14:paraId="40802888" w14:textId="77777777" w:rsidR="00A1399E" w:rsidRPr="006B4730" w:rsidRDefault="00A1399E" w:rsidP="006E7460">
      <w:pPr>
        <w:jc w:val="left"/>
      </w:pPr>
    </w:p>
    <w:p w14:paraId="13B25779" w14:textId="1F4D04C6" w:rsidR="00773702" w:rsidRPr="006B4730" w:rsidRDefault="00773702" w:rsidP="006E7460">
      <w:pPr>
        <w:pStyle w:val="Heading4"/>
        <w:jc w:val="left"/>
        <w:rPr>
          <w:lang w:val="en-AU"/>
        </w:rPr>
      </w:pPr>
      <w:r w:rsidRPr="006B4730">
        <w:rPr>
          <w:lang w:val="en-AU"/>
        </w:rPr>
        <w:lastRenderedPageBreak/>
        <w:t xml:space="preserve">Effects in healthy </w:t>
      </w:r>
      <w:r w:rsidR="007D3B50" w:rsidRPr="006B4730">
        <w:rPr>
          <w:lang w:val="en-AU"/>
        </w:rPr>
        <w:t>participants</w:t>
      </w:r>
    </w:p>
    <w:p w14:paraId="5DE31549" w14:textId="1DFD9A3B" w:rsidR="007D3B50" w:rsidRPr="006B4730" w:rsidRDefault="007D3B50" w:rsidP="006E7460">
      <w:pPr>
        <w:jc w:val="left"/>
      </w:pPr>
      <w:r w:rsidRPr="006B4730">
        <w:t>Finerenone (multiple doses of 10 mg and 20 mg twice daily or 40 mg once daily over 10 days) had no consistent effect on natriuresis or urine potassium in healthy male participants. These regimens led to activation of the renin-angiotensin-aldosterone system (RAAS), i.e., reversible increases of plasma renin activity and serum aldosterone concentrations with baseline values reached again within 48 hours after the last dose.</w:t>
      </w:r>
    </w:p>
    <w:p w14:paraId="015B4966" w14:textId="77777777" w:rsidR="007D3B50" w:rsidRPr="006B4730" w:rsidRDefault="007D3B50" w:rsidP="006E7460">
      <w:pPr>
        <w:jc w:val="left"/>
      </w:pPr>
    </w:p>
    <w:p w14:paraId="6BB47EB0" w14:textId="25128C6C" w:rsidR="007D3B50" w:rsidRPr="006B4730" w:rsidRDefault="007D3B50" w:rsidP="006E7460">
      <w:pPr>
        <w:jc w:val="left"/>
      </w:pPr>
      <w:r w:rsidRPr="006B4730">
        <w:t xml:space="preserve">However, following activation of the MR with the MR agonist fludrocortisone (0.5 mg), finerenone (single doses of 2.5, 5, 10, 20 mg PEG solution or 20 mg tablets) showed dose dependent natriuretic effects in healthy male participants. Moreover, finerenone (at doses of 5 to 20 mg) significantly decreased urinary potassium excretion as compared to placebo. </w:t>
      </w:r>
    </w:p>
    <w:p w14:paraId="066D18BB" w14:textId="77777777" w:rsidR="007D3B50" w:rsidRPr="006B4730" w:rsidRDefault="007D3B50" w:rsidP="006E7460">
      <w:pPr>
        <w:jc w:val="left"/>
      </w:pPr>
      <w:r w:rsidRPr="006B4730">
        <w:t>Single or multiple doses of finerenone did not influence vital signs parameters in healthy participants.</w:t>
      </w:r>
    </w:p>
    <w:p w14:paraId="73D4BE25" w14:textId="77777777" w:rsidR="00FF37D2" w:rsidRPr="006B4730" w:rsidRDefault="00FF37D2" w:rsidP="006E7460">
      <w:pPr>
        <w:pStyle w:val="Heading4"/>
        <w:jc w:val="left"/>
        <w:rPr>
          <w:rFonts w:eastAsiaTheme="minorHAnsi"/>
          <w:lang w:val="en-AU"/>
        </w:rPr>
      </w:pPr>
      <w:r w:rsidRPr="006B4730">
        <w:rPr>
          <w:rFonts w:eastAsiaTheme="minorHAnsi"/>
          <w:lang w:val="en-AU"/>
        </w:rPr>
        <w:t xml:space="preserve">Cardiac electrophysiology </w:t>
      </w:r>
    </w:p>
    <w:p w14:paraId="791CE922" w14:textId="108821CD" w:rsidR="00FF37D2" w:rsidRPr="006B4730" w:rsidRDefault="00FA6FDD" w:rsidP="006E7460">
      <w:pPr>
        <w:jc w:val="left"/>
      </w:pPr>
      <w:r w:rsidRPr="006B4730">
        <w:t xml:space="preserve">In a thorough QT study in 57 healthy participants, there was no indication of a QT/QTc prolonging effect of finerenone after single doses of 20 mg (therapeutic) or 80 mg (supratherapeutic), indicating that finerenone has no effect on cardiac repolarization.  </w:t>
      </w:r>
      <w:r w:rsidR="00FF37D2" w:rsidRPr="006B4730">
        <w:t xml:space="preserve"> </w:t>
      </w:r>
    </w:p>
    <w:p w14:paraId="3A3F7F85" w14:textId="77777777" w:rsidR="00074FEF" w:rsidRPr="006B4730" w:rsidRDefault="00074FEF" w:rsidP="006E7460">
      <w:pPr>
        <w:jc w:val="left"/>
      </w:pPr>
    </w:p>
    <w:p w14:paraId="4DD1EC18" w14:textId="71698B96" w:rsidR="001A3992" w:rsidRPr="006B4730" w:rsidRDefault="001A3992" w:rsidP="006E7460">
      <w:pPr>
        <w:pStyle w:val="Heading3"/>
        <w:jc w:val="left"/>
      </w:pPr>
      <w:bookmarkStart w:id="23" w:name="_Ref87605380"/>
      <w:r w:rsidRPr="006B4730">
        <w:t>Clinical</w:t>
      </w:r>
      <w:r w:rsidR="001B714F" w:rsidRPr="006B4730">
        <w:t xml:space="preserve"> T</w:t>
      </w:r>
      <w:r w:rsidRPr="006B4730">
        <w:t>rials</w:t>
      </w:r>
      <w:bookmarkEnd w:id="23"/>
    </w:p>
    <w:p w14:paraId="617E7263" w14:textId="33163592" w:rsidR="00FA6FDD" w:rsidRPr="006B4730" w:rsidRDefault="00FA6FDD" w:rsidP="006E7460">
      <w:pPr>
        <w:spacing w:before="120" w:after="120"/>
        <w:jc w:val="left"/>
        <w:rPr>
          <w:szCs w:val="24"/>
        </w:rPr>
      </w:pPr>
      <w:r w:rsidRPr="006B4730">
        <w:rPr>
          <w:szCs w:val="24"/>
        </w:rPr>
        <w:t>The FIDELIO-DKD study was a randomi</w:t>
      </w:r>
      <w:r w:rsidR="00583545">
        <w:rPr>
          <w:szCs w:val="24"/>
        </w:rPr>
        <w:t>s</w:t>
      </w:r>
      <w:r w:rsidRPr="006B4730">
        <w:rPr>
          <w:szCs w:val="24"/>
        </w:rPr>
        <w:t xml:space="preserve">ed, double-blind, placebo-controlled, </w:t>
      </w:r>
      <w:r w:rsidR="00702082" w:rsidRPr="006B4730">
        <w:rPr>
          <w:szCs w:val="24"/>
        </w:rPr>
        <w:t>multicentre</w:t>
      </w:r>
      <w:r w:rsidRPr="006B4730">
        <w:rPr>
          <w:szCs w:val="24"/>
        </w:rPr>
        <w:t xml:space="preserve"> Phase III study investigating the effect of K</w:t>
      </w:r>
      <w:r w:rsidR="00A628B2" w:rsidRPr="006B4730">
        <w:rPr>
          <w:szCs w:val="24"/>
        </w:rPr>
        <w:t>ERENDIA</w:t>
      </w:r>
      <w:r w:rsidRPr="006B4730">
        <w:rPr>
          <w:szCs w:val="24"/>
        </w:rPr>
        <w:t xml:space="preserve"> compared to placebo on kidney and cardiovascular outcomes in </w:t>
      </w:r>
      <w:r w:rsidRPr="006B4730">
        <w:t>adult patients with chronic kidney disease and type 2 diabetes</w:t>
      </w:r>
      <w:r w:rsidRPr="006B4730">
        <w:rPr>
          <w:szCs w:val="24"/>
        </w:rPr>
        <w:t>. Patients were eligible based on evidence of persistent albuminuria (&gt;30 mg/g to 5,000 mg/g), an eGFR of 25 to 75 ml/min/1.73m</w:t>
      </w:r>
      <w:r w:rsidRPr="006B4730">
        <w:rPr>
          <w:szCs w:val="24"/>
          <w:vertAlign w:val="superscript"/>
        </w:rPr>
        <w:t>2</w:t>
      </w:r>
      <w:r w:rsidRPr="006B4730">
        <w:rPr>
          <w:szCs w:val="24"/>
        </w:rPr>
        <w:t xml:space="preserve">, </w:t>
      </w:r>
      <w:r w:rsidRPr="006B4730">
        <w:t>serum potassium ≤ 4.8 mmol/L at screening</w:t>
      </w:r>
      <w:r w:rsidRPr="006B4730">
        <w:rPr>
          <w:szCs w:val="24"/>
        </w:rPr>
        <w:t xml:space="preserve">, and were required to be receiving standard of care, including a maximum tolerated </w:t>
      </w:r>
      <w:r w:rsidR="00702082" w:rsidRPr="006B4730">
        <w:rPr>
          <w:szCs w:val="24"/>
        </w:rPr>
        <w:t>labelled</w:t>
      </w:r>
      <w:r w:rsidRPr="006B4730">
        <w:rPr>
          <w:szCs w:val="24"/>
        </w:rPr>
        <w:t xml:space="preserve"> dose of an angiotensin-converting enzyme inhibitor (ACEi) or angiotensin receptor blocker (ARB).</w:t>
      </w:r>
    </w:p>
    <w:p w14:paraId="4AF72950" w14:textId="7611E000" w:rsidR="00FA6FDD" w:rsidRPr="006B4730" w:rsidRDefault="00FA6FDD" w:rsidP="006E7460">
      <w:pPr>
        <w:spacing w:before="120" w:after="120"/>
        <w:jc w:val="left"/>
        <w:rPr>
          <w:szCs w:val="24"/>
        </w:rPr>
      </w:pPr>
      <w:r w:rsidRPr="006B4730">
        <w:rPr>
          <w:szCs w:val="24"/>
        </w:rPr>
        <w:t>The primary endpoint in the FIDELIO-DKD study was a composite of time to first occurrence of kidney failure (defined as chronic dialysis or kidney transplantation, or a sustained decrease in eGFR to &lt; 15 ml/min/1.73m</w:t>
      </w:r>
      <w:r w:rsidRPr="006B4730">
        <w:rPr>
          <w:szCs w:val="24"/>
          <w:vertAlign w:val="superscript"/>
        </w:rPr>
        <w:t>2</w:t>
      </w:r>
      <w:r w:rsidRPr="006B4730">
        <w:rPr>
          <w:szCs w:val="24"/>
        </w:rPr>
        <w:t xml:space="preserve"> over at least 4 weeks), a sustained decline in eGFR of 40% or more compared to baseline over at least 4 weeks, or renal death. The key secondary endpoint was a composite of time to first occurrence of cardiovascular (CV) death, non-fatal myocardial infarction (MI), non-fatal stroke or hospitali</w:t>
      </w:r>
      <w:r w:rsidR="00447852">
        <w:rPr>
          <w:szCs w:val="24"/>
        </w:rPr>
        <w:t>s</w:t>
      </w:r>
      <w:r w:rsidRPr="006B4730">
        <w:rPr>
          <w:szCs w:val="24"/>
        </w:rPr>
        <w:t>ation for heart failure.</w:t>
      </w:r>
    </w:p>
    <w:p w14:paraId="06F8CABE" w14:textId="62CE619B" w:rsidR="00FA6FDD" w:rsidRPr="006B4730" w:rsidRDefault="00FA6FDD" w:rsidP="006E7460">
      <w:pPr>
        <w:jc w:val="left"/>
        <w:rPr>
          <w:szCs w:val="24"/>
        </w:rPr>
      </w:pPr>
      <w:r w:rsidRPr="006B4730">
        <w:rPr>
          <w:szCs w:val="24"/>
        </w:rPr>
        <w:t>The trial analy</w:t>
      </w:r>
      <w:r w:rsidR="00CD4075" w:rsidRPr="006B4730">
        <w:rPr>
          <w:szCs w:val="24"/>
        </w:rPr>
        <w:t>s</w:t>
      </w:r>
      <w:r w:rsidRPr="006B4730">
        <w:rPr>
          <w:szCs w:val="24"/>
        </w:rPr>
        <w:t>ed 5,674 patients randomly assigned to receive either K</w:t>
      </w:r>
      <w:r w:rsidR="00A628B2" w:rsidRPr="006B4730">
        <w:rPr>
          <w:szCs w:val="24"/>
        </w:rPr>
        <w:t>ERENDIA</w:t>
      </w:r>
      <w:r w:rsidRPr="006B4730">
        <w:rPr>
          <w:szCs w:val="24"/>
        </w:rPr>
        <w:t xml:space="preserve"> 10 mg or 20 mg once daily (N=2833), or placebo (N=2841), with a median follow-up duration of 2.6 years. After the end of study notification, vital status was obtained for 99.7% of patients. The trial population was 63% White, 25% Asian and 5% Black. The mean age at </w:t>
      </w:r>
      <w:r w:rsidR="00702082" w:rsidRPr="006B4730">
        <w:rPr>
          <w:szCs w:val="24"/>
        </w:rPr>
        <w:t>enrolment</w:t>
      </w:r>
      <w:r w:rsidRPr="006B4730" w:rsidDel="006F3AD1">
        <w:rPr>
          <w:szCs w:val="24"/>
        </w:rPr>
        <w:t xml:space="preserve"> </w:t>
      </w:r>
      <w:r w:rsidRPr="006B4730">
        <w:rPr>
          <w:szCs w:val="24"/>
        </w:rPr>
        <w:t>was 66 years and 70% of patients were male. At baseline, the mean eGFR was 44.3 ml/min/1.73m</w:t>
      </w:r>
      <w:r w:rsidRPr="006B4730">
        <w:rPr>
          <w:szCs w:val="24"/>
          <w:vertAlign w:val="superscript"/>
        </w:rPr>
        <w:t>2</w:t>
      </w:r>
      <w:r w:rsidRPr="006B4730">
        <w:rPr>
          <w:szCs w:val="24"/>
        </w:rPr>
        <w:t>, with 55% of patients having an eGFR &lt; 45 ml/min/1.73m</w:t>
      </w:r>
      <w:r w:rsidRPr="006B4730">
        <w:rPr>
          <w:szCs w:val="24"/>
          <w:vertAlign w:val="superscript"/>
        </w:rPr>
        <w:t>2</w:t>
      </w:r>
      <w:r w:rsidRPr="006B4730">
        <w:rPr>
          <w:szCs w:val="24"/>
        </w:rPr>
        <w:t>, median urine albumin-to-creatinine ratio (UACR) was 852 mg/g, and mean glycated h</w:t>
      </w:r>
      <w:r w:rsidR="00CD4075" w:rsidRPr="006B4730">
        <w:rPr>
          <w:szCs w:val="24"/>
        </w:rPr>
        <w:t>a</w:t>
      </w:r>
      <w:r w:rsidRPr="006B4730">
        <w:rPr>
          <w:szCs w:val="24"/>
        </w:rPr>
        <w:t>emoglobin A1c (HbA1c) was 7.7%, 46% had a history of atherosclerotic cardiovascular disease, 30% had history of coronary artery disease, 8% had a history of cardiac failure, and the mean blood pressure was 138/76 mmHg. The mean duration of type 2 diabetes at baseline was 16.6 years and a history of diabetic retinopathy and diabetic neuropathy was reported in 47% and 26% of patients at baseline, respectively. At baseline, almost all patients were on ACEi (34%) or ARB (66%), and 97% of patients used one or more antidiabetic medications (insulin [64%], biguanides [44%], glucagon-like peptide-1 [GLP-1] receptor agonists [7%], sodium-glucose cotransporter 2 [SGLT2] inhibitors [5%]). The other most frequent medications taken at baseline were statins (74%) and calcium channel blockers (63%).</w:t>
      </w:r>
    </w:p>
    <w:p w14:paraId="420579F4" w14:textId="7C595E88" w:rsidR="001045CD" w:rsidRPr="006B4730" w:rsidRDefault="001045CD" w:rsidP="006E7460">
      <w:pPr>
        <w:spacing w:before="120" w:after="120"/>
        <w:jc w:val="left"/>
        <w:rPr>
          <w:szCs w:val="24"/>
        </w:rPr>
      </w:pPr>
    </w:p>
    <w:p w14:paraId="118684FD" w14:textId="3F5E2C9E" w:rsidR="00FA6FDD" w:rsidRPr="00E53E09" w:rsidRDefault="001045CD" w:rsidP="006E7460">
      <w:pPr>
        <w:spacing w:before="120" w:after="120"/>
        <w:jc w:val="left"/>
        <w:rPr>
          <w:rStyle w:val="CommentReference"/>
          <w:sz w:val="22"/>
          <w:szCs w:val="24"/>
        </w:rPr>
      </w:pPr>
      <w:r w:rsidRPr="006B4730">
        <w:rPr>
          <w:szCs w:val="24"/>
        </w:rPr>
        <w:t xml:space="preserve">KERENDIA significantly reduced the risk of the primary composite endpoint compared to placebo in a time to event analysis using the Cox proportional hazards model and log rank test (HR 0.82, 95% </w:t>
      </w:r>
      <w:r w:rsidRPr="009A7599">
        <w:t xml:space="preserve">CI 0.73 0.93, p = 0.0014). </w:t>
      </w:r>
      <w:r w:rsidR="00FA6FDD" w:rsidRPr="009A7599">
        <w:t xml:space="preserve">See Figure 1/Table </w:t>
      </w:r>
      <w:r w:rsidR="00306620" w:rsidRPr="009A7599">
        <w:t>5</w:t>
      </w:r>
      <w:r w:rsidR="00FA6FDD" w:rsidRPr="009A7599">
        <w:t xml:space="preserve"> below. </w:t>
      </w:r>
      <w:r w:rsidR="001F3B30" w:rsidRPr="009A7599">
        <w:t xml:space="preserve">The key secondary endpoint results (composite of CV death, non-fatal MI, non-fatal stroke, hospitalisation for heart failure) were favourable overall </w:t>
      </w:r>
      <w:r w:rsidR="00D11CB1" w:rsidRPr="009A7599">
        <w:t xml:space="preserve">(HR (95% CI): 0.86 (0.75-0.99), p=0.0339), but </w:t>
      </w:r>
      <w:r w:rsidR="004B7D50" w:rsidRPr="009A7599">
        <w:t>with a</w:t>
      </w:r>
      <w:r w:rsidR="001F3B30" w:rsidRPr="009A7599">
        <w:t>n indeterminate</w:t>
      </w:r>
      <w:r w:rsidR="004B7D50" w:rsidRPr="009A7599">
        <w:t xml:space="preserve"> effect observed for the</w:t>
      </w:r>
      <w:r w:rsidR="00D11CB1" w:rsidRPr="009A7599">
        <w:t xml:space="preserve"> ‘non-fatal stroke’ component with a HR (95% CI): 1.027 (0.765-1.380).</w:t>
      </w:r>
      <w:r w:rsidR="00FA6FDD" w:rsidRPr="009A7599">
        <w:t xml:space="preserve"> </w:t>
      </w:r>
      <w:r w:rsidR="00FA6FDD" w:rsidRPr="009A7599">
        <w:rPr>
          <w:rStyle w:val="CommentReference"/>
          <w:sz w:val="22"/>
          <w:szCs w:val="22"/>
        </w:rPr>
        <w:t xml:space="preserve">Prespecified secondary time-to-event endpoints are included in Table </w:t>
      </w:r>
      <w:r w:rsidR="00306620" w:rsidRPr="009A7599">
        <w:rPr>
          <w:rStyle w:val="CommentReference"/>
          <w:sz w:val="22"/>
          <w:szCs w:val="22"/>
        </w:rPr>
        <w:t>5</w:t>
      </w:r>
      <w:r w:rsidR="00FA6FDD" w:rsidRPr="009A7599">
        <w:rPr>
          <w:rStyle w:val="CommentReference"/>
          <w:sz w:val="22"/>
          <w:szCs w:val="22"/>
        </w:rPr>
        <w:t>. For the secondary endpoint of change in UACR from baseline to month 4, a relative reduction of 31.2% was observed in the K</w:t>
      </w:r>
      <w:r w:rsidR="00A628B2" w:rsidRPr="009A7599">
        <w:rPr>
          <w:rStyle w:val="CommentReference"/>
          <w:sz w:val="22"/>
          <w:szCs w:val="22"/>
        </w:rPr>
        <w:t>ERENDIA</w:t>
      </w:r>
      <w:r w:rsidR="00FA6FDD" w:rsidRPr="009A7599">
        <w:rPr>
          <w:rStyle w:val="CommentReference"/>
          <w:sz w:val="22"/>
          <w:szCs w:val="22"/>
        </w:rPr>
        <w:t xml:space="preserve"> group compared to placebo. </w:t>
      </w:r>
      <w:r w:rsidR="00FA6FDD" w:rsidRPr="009A7599">
        <w:t>The treatment effect for the primary and key secondary endpoints was generally consistent across subgroups, including region, eGFR, UACR, systolic blood pressure (BP) and HbA1c at baseline.</w:t>
      </w:r>
      <w:r w:rsidR="00FA6FDD" w:rsidRPr="009A7599">
        <w:rPr>
          <w:rStyle w:val="CommentReference"/>
          <w:sz w:val="22"/>
          <w:szCs w:val="22"/>
        </w:rPr>
        <w:t xml:space="preserve"> </w:t>
      </w:r>
    </w:p>
    <w:p w14:paraId="70A88698" w14:textId="3CFDD498" w:rsidR="00FA6FDD" w:rsidRPr="006B4730" w:rsidRDefault="00FA6FDD" w:rsidP="006E7460">
      <w:pPr>
        <w:autoSpaceDE w:val="0"/>
        <w:autoSpaceDN w:val="0"/>
        <w:jc w:val="left"/>
        <w:rPr>
          <w:rFonts w:ascii="Segoe UI" w:hAnsi="Segoe UI" w:cs="Segoe UI"/>
          <w:color w:val="000000"/>
          <w:sz w:val="20"/>
        </w:rPr>
      </w:pPr>
      <w:r w:rsidRPr="006B4730">
        <w:rPr>
          <w:szCs w:val="24"/>
        </w:rPr>
        <w:t>In the FIDELIO-DKD study, hyperkal</w:t>
      </w:r>
      <w:r w:rsidR="00CD4075" w:rsidRPr="006B4730">
        <w:rPr>
          <w:szCs w:val="24"/>
        </w:rPr>
        <w:t>a</w:t>
      </w:r>
      <w:r w:rsidRPr="006B4730">
        <w:rPr>
          <w:szCs w:val="24"/>
        </w:rPr>
        <w:t>emia events were reported in 18.3% of K</w:t>
      </w:r>
      <w:r w:rsidR="00A628B2" w:rsidRPr="006B4730">
        <w:rPr>
          <w:szCs w:val="24"/>
        </w:rPr>
        <w:t>ERENDIA</w:t>
      </w:r>
      <w:r w:rsidRPr="006B4730">
        <w:rPr>
          <w:szCs w:val="24"/>
        </w:rPr>
        <w:t>-treated patients compared with 9.0% of placebo-treated patients. Hospitali</w:t>
      </w:r>
      <w:r w:rsidR="00E6662E">
        <w:rPr>
          <w:szCs w:val="24"/>
        </w:rPr>
        <w:t>s</w:t>
      </w:r>
      <w:r w:rsidRPr="006B4730">
        <w:rPr>
          <w:szCs w:val="24"/>
        </w:rPr>
        <w:t>ation due to hyperkal</w:t>
      </w:r>
      <w:r w:rsidR="00CD4075" w:rsidRPr="006B4730">
        <w:rPr>
          <w:szCs w:val="24"/>
        </w:rPr>
        <w:t>a</w:t>
      </w:r>
      <w:r w:rsidRPr="006B4730">
        <w:rPr>
          <w:szCs w:val="24"/>
        </w:rPr>
        <w:t>emia for the K</w:t>
      </w:r>
      <w:r w:rsidR="00A628B2" w:rsidRPr="006B4730">
        <w:rPr>
          <w:szCs w:val="24"/>
        </w:rPr>
        <w:t>ERENDIA</w:t>
      </w:r>
      <w:r w:rsidRPr="006B4730">
        <w:rPr>
          <w:szCs w:val="24"/>
        </w:rPr>
        <w:t xml:space="preserve"> group was 1.4% versus 0.3% in the placebo group.</w:t>
      </w:r>
      <w:r w:rsidRPr="006B4730">
        <w:t xml:space="preserve"> </w:t>
      </w:r>
      <w:r w:rsidRPr="006B4730">
        <w:rPr>
          <w:szCs w:val="24"/>
        </w:rPr>
        <w:t>Hyperkal</w:t>
      </w:r>
      <w:r w:rsidR="00CD4075" w:rsidRPr="006B4730">
        <w:rPr>
          <w:szCs w:val="24"/>
        </w:rPr>
        <w:t>a</w:t>
      </w:r>
      <w:r w:rsidRPr="006B4730">
        <w:rPr>
          <w:szCs w:val="24"/>
        </w:rPr>
        <w:t xml:space="preserve">emia leading to permanent discontinuation in patients who received </w:t>
      </w:r>
      <w:r w:rsidR="00007B4E" w:rsidRPr="006B4730">
        <w:t>KERENDIA</w:t>
      </w:r>
      <w:r w:rsidRPr="006B4730">
        <w:rPr>
          <w:szCs w:val="24"/>
        </w:rPr>
        <w:t xml:space="preserve"> was 2.3% versus 0.9% in the placebo group.</w:t>
      </w:r>
      <w:r w:rsidRPr="006B4730">
        <w:rPr>
          <w:rFonts w:ascii="Segoe UI" w:hAnsi="Segoe UI" w:cs="Segoe UI"/>
          <w:color w:val="000000"/>
          <w:sz w:val="20"/>
        </w:rPr>
        <w:t xml:space="preserve"> </w:t>
      </w:r>
    </w:p>
    <w:p w14:paraId="0C406743" w14:textId="68F5A2C9" w:rsidR="00FA6FDD" w:rsidRPr="006B4730" w:rsidRDefault="00FA6FDD" w:rsidP="006E7460">
      <w:pPr>
        <w:autoSpaceDE w:val="0"/>
        <w:autoSpaceDN w:val="0"/>
        <w:spacing w:before="120"/>
        <w:jc w:val="left"/>
      </w:pPr>
      <w:r w:rsidRPr="006B4730">
        <w:rPr>
          <w:szCs w:val="24"/>
        </w:rPr>
        <w:t xml:space="preserve">In the FIDELIO-DKD study, </w:t>
      </w:r>
      <w:r w:rsidR="008E6AD4">
        <w:rPr>
          <w:szCs w:val="24"/>
        </w:rPr>
        <w:t>g</w:t>
      </w:r>
      <w:r w:rsidRPr="006B4730">
        <w:rPr>
          <w:szCs w:val="24"/>
        </w:rPr>
        <w:t xml:space="preserve">lomerular filtration rate decreased events were reported in 6.3% of </w:t>
      </w:r>
      <w:r w:rsidR="00007B4E" w:rsidRPr="006B4730">
        <w:t>KERENDIA</w:t>
      </w:r>
      <w:r w:rsidR="00007B4E" w:rsidRPr="006B4730">
        <w:rPr>
          <w:szCs w:val="24"/>
        </w:rPr>
        <w:t xml:space="preserve"> </w:t>
      </w:r>
      <w:r w:rsidRPr="006B4730">
        <w:rPr>
          <w:szCs w:val="24"/>
        </w:rPr>
        <w:t xml:space="preserve">-treated patients compared with 4.7% of placebo-treated patients, and those leading to permanent discontinuation in patients receiving </w:t>
      </w:r>
      <w:r w:rsidR="00007B4E" w:rsidRPr="006B4730">
        <w:t>KERENDIA</w:t>
      </w:r>
      <w:r w:rsidRPr="006B4730">
        <w:rPr>
          <w:szCs w:val="24"/>
        </w:rPr>
        <w:t xml:space="preserve"> were 0.2% versus 0.3% in the placebo group. Patients on </w:t>
      </w:r>
      <w:r w:rsidR="00007B4E" w:rsidRPr="006B4730">
        <w:t>KERENDIA</w:t>
      </w:r>
      <w:r w:rsidRPr="006B4730">
        <w:rPr>
          <w:szCs w:val="24"/>
        </w:rPr>
        <w:t xml:space="preserve"> experienced an initial decrease in eGFR (mean 2 mL/min/1.73m</w:t>
      </w:r>
      <w:r w:rsidRPr="006B4730">
        <w:rPr>
          <w:szCs w:val="24"/>
          <w:vertAlign w:val="superscript"/>
        </w:rPr>
        <w:t>2</w:t>
      </w:r>
      <w:r w:rsidRPr="006B4730">
        <w:rPr>
          <w:szCs w:val="24"/>
        </w:rPr>
        <w:t>) that attenuated over time compared to placebo.</w:t>
      </w:r>
      <w:r w:rsidRPr="006B4730">
        <w:t xml:space="preserve"> </w:t>
      </w:r>
      <w:r w:rsidRPr="006B4730">
        <w:rPr>
          <w:szCs w:val="24"/>
        </w:rPr>
        <w:t>This decrease has been shown to be reversible after treatment discontinuation.</w:t>
      </w:r>
      <w:r w:rsidRPr="006B4730">
        <w:t xml:space="preserve"> The initial decrease in eGFR was associated with long term preservation of kidney function.</w:t>
      </w:r>
    </w:p>
    <w:p w14:paraId="36593553" w14:textId="77846308" w:rsidR="00FA21B0" w:rsidRPr="006B4730" w:rsidRDefault="00FA21B0" w:rsidP="006E7460">
      <w:pPr>
        <w:spacing w:after="200" w:line="276" w:lineRule="auto"/>
        <w:jc w:val="left"/>
        <w:rPr>
          <w:b/>
        </w:rPr>
      </w:pPr>
    </w:p>
    <w:p w14:paraId="1DC63A80" w14:textId="3AED22B4" w:rsidR="00FA6FDD" w:rsidRPr="006B4730" w:rsidRDefault="00FA6FDD" w:rsidP="006E7460">
      <w:pPr>
        <w:pStyle w:val="TableHeading"/>
        <w:pageBreakBefore/>
        <w:jc w:val="left"/>
      </w:pPr>
      <w:r w:rsidRPr="006B4730">
        <w:lastRenderedPageBreak/>
        <w:t xml:space="preserve">Table </w:t>
      </w:r>
      <w:r w:rsidR="003758A7" w:rsidRPr="006B4730">
        <w:t>5</w:t>
      </w:r>
      <w:r w:rsidRPr="006B4730">
        <w:t>: Analysis of the Primary and Secondary Time-to-Event Endpoints (and their Individual Components) in Phase III Study FIDELIO-DKD</w:t>
      </w:r>
    </w:p>
    <w:tbl>
      <w:tblPr>
        <w:tblStyle w:val="TableGrid"/>
        <w:tblW w:w="9634" w:type="dxa"/>
        <w:tblLayout w:type="fixed"/>
        <w:tblLook w:val="04A0" w:firstRow="1" w:lastRow="0" w:firstColumn="1" w:lastColumn="0" w:noHBand="0" w:noVBand="1"/>
      </w:tblPr>
      <w:tblGrid>
        <w:gridCol w:w="2547"/>
        <w:gridCol w:w="992"/>
        <w:gridCol w:w="1418"/>
        <w:gridCol w:w="1234"/>
        <w:gridCol w:w="1193"/>
        <w:gridCol w:w="1266"/>
        <w:gridCol w:w="984"/>
      </w:tblGrid>
      <w:tr w:rsidR="00FA6FDD" w:rsidRPr="006B4730" w14:paraId="606E4368" w14:textId="77777777" w:rsidTr="00FA21B0">
        <w:tc>
          <w:tcPr>
            <w:tcW w:w="2547" w:type="dxa"/>
          </w:tcPr>
          <w:p w14:paraId="58BF0D13" w14:textId="77777777" w:rsidR="00FA6FDD" w:rsidRPr="006B4730" w:rsidRDefault="00FA6FDD" w:rsidP="006E7460">
            <w:pPr>
              <w:spacing w:line="276" w:lineRule="auto"/>
              <w:jc w:val="left"/>
              <w:rPr>
                <w:sz w:val="16"/>
              </w:rPr>
            </w:pPr>
          </w:p>
        </w:tc>
        <w:tc>
          <w:tcPr>
            <w:tcW w:w="7087" w:type="dxa"/>
            <w:gridSpan w:val="6"/>
            <w:vAlign w:val="center"/>
          </w:tcPr>
          <w:p w14:paraId="3465842B" w14:textId="77777777" w:rsidR="00FA6FDD" w:rsidRPr="006B4730" w:rsidRDefault="00FA6FDD" w:rsidP="006E7460">
            <w:pPr>
              <w:pStyle w:val="BayerTableColumnHeadings"/>
              <w:spacing w:line="276" w:lineRule="auto"/>
              <w:jc w:val="left"/>
              <w:rPr>
                <w:lang w:val="en-AU"/>
              </w:rPr>
            </w:pPr>
            <w:r w:rsidRPr="006B4730">
              <w:rPr>
                <w:lang w:val="en-AU"/>
              </w:rPr>
              <w:t>Subjects with</w:t>
            </w:r>
          </w:p>
          <w:p w14:paraId="358C3F89" w14:textId="77777777" w:rsidR="00FA6FDD" w:rsidRPr="006B4730" w:rsidRDefault="00FA6FDD" w:rsidP="006E7460">
            <w:pPr>
              <w:pStyle w:val="BayerTableColumnHeadings"/>
              <w:spacing w:line="276" w:lineRule="auto"/>
              <w:jc w:val="left"/>
              <w:rPr>
                <w:lang w:val="en-AU"/>
              </w:rPr>
            </w:pPr>
            <w:r w:rsidRPr="006B4730">
              <w:rPr>
                <w:lang w:val="en-AU"/>
              </w:rPr>
              <w:t>Chronic Kidney Disease and Type 2 Diabetes</w:t>
            </w:r>
          </w:p>
        </w:tc>
      </w:tr>
      <w:tr w:rsidR="00FA6FDD" w:rsidRPr="006B4730" w14:paraId="67C7A9ED" w14:textId="77777777" w:rsidTr="00FA21B0">
        <w:tc>
          <w:tcPr>
            <w:tcW w:w="2547" w:type="dxa"/>
            <w:vAlign w:val="center"/>
          </w:tcPr>
          <w:p w14:paraId="011CE86B" w14:textId="77777777" w:rsidR="00FA6FDD" w:rsidRPr="006B4730" w:rsidRDefault="00FA6FDD" w:rsidP="006E7460">
            <w:pPr>
              <w:spacing w:line="276" w:lineRule="auto"/>
              <w:jc w:val="left"/>
              <w:rPr>
                <w:sz w:val="16"/>
              </w:rPr>
            </w:pPr>
          </w:p>
        </w:tc>
        <w:tc>
          <w:tcPr>
            <w:tcW w:w="2410" w:type="dxa"/>
            <w:gridSpan w:val="2"/>
            <w:vAlign w:val="center"/>
          </w:tcPr>
          <w:p w14:paraId="4D0CF91B" w14:textId="578092B3" w:rsidR="00FA6FDD" w:rsidRPr="006B4730" w:rsidRDefault="00007B4E" w:rsidP="006E7460">
            <w:pPr>
              <w:pStyle w:val="BayerTableColumnHeadings"/>
              <w:spacing w:line="276" w:lineRule="auto"/>
              <w:jc w:val="left"/>
              <w:rPr>
                <w:lang w:val="en-AU"/>
              </w:rPr>
            </w:pPr>
            <w:r w:rsidRPr="006B4730">
              <w:rPr>
                <w:lang w:val="en-AU"/>
              </w:rPr>
              <w:t xml:space="preserve">KERENDIA </w:t>
            </w:r>
            <w:r w:rsidR="00FA6FDD" w:rsidRPr="006B4730">
              <w:rPr>
                <w:lang w:val="en-AU"/>
              </w:rPr>
              <w:t>*</w:t>
            </w:r>
          </w:p>
          <w:p w14:paraId="05BD6F68" w14:textId="77777777" w:rsidR="00FA6FDD" w:rsidRPr="006B4730" w:rsidRDefault="00FA6FDD" w:rsidP="006E7460">
            <w:pPr>
              <w:pStyle w:val="BayerTableColumnHeadings"/>
              <w:spacing w:line="276" w:lineRule="auto"/>
              <w:jc w:val="left"/>
              <w:rPr>
                <w:lang w:val="en-AU"/>
              </w:rPr>
            </w:pPr>
            <w:r w:rsidRPr="006B4730">
              <w:rPr>
                <w:lang w:val="en-AU"/>
              </w:rPr>
              <w:t>10 or 20 mg OD</w:t>
            </w:r>
          </w:p>
          <w:p w14:paraId="4F67AB9E" w14:textId="77777777" w:rsidR="00FA6FDD" w:rsidRPr="006B4730" w:rsidRDefault="00FA6FDD" w:rsidP="006E7460">
            <w:pPr>
              <w:pStyle w:val="BayerTableColumnHeadings"/>
              <w:spacing w:line="276" w:lineRule="auto"/>
              <w:jc w:val="left"/>
              <w:rPr>
                <w:lang w:val="en-AU"/>
              </w:rPr>
            </w:pPr>
            <w:r w:rsidRPr="006B4730">
              <w:rPr>
                <w:lang w:val="en-AU"/>
              </w:rPr>
              <w:t>N=2833</w:t>
            </w:r>
          </w:p>
        </w:tc>
        <w:tc>
          <w:tcPr>
            <w:tcW w:w="2427" w:type="dxa"/>
            <w:gridSpan w:val="2"/>
            <w:vAlign w:val="center"/>
          </w:tcPr>
          <w:p w14:paraId="572FA723" w14:textId="77777777" w:rsidR="00FA6FDD" w:rsidRPr="006B4730" w:rsidRDefault="00FA6FDD" w:rsidP="006E7460">
            <w:pPr>
              <w:pStyle w:val="BayerTableColumnHeadings"/>
              <w:spacing w:line="276" w:lineRule="auto"/>
              <w:jc w:val="left"/>
              <w:rPr>
                <w:lang w:val="en-AU"/>
              </w:rPr>
            </w:pPr>
            <w:r w:rsidRPr="006B4730">
              <w:rPr>
                <w:lang w:val="en-AU"/>
              </w:rPr>
              <w:t>Placebo*</w:t>
            </w:r>
          </w:p>
          <w:p w14:paraId="5A2BC247" w14:textId="77777777" w:rsidR="00FA6FDD" w:rsidRPr="006B4730" w:rsidRDefault="00FA6FDD" w:rsidP="006E7460">
            <w:pPr>
              <w:pStyle w:val="BayerTableColumnHeadings"/>
              <w:spacing w:line="276" w:lineRule="auto"/>
              <w:jc w:val="left"/>
              <w:rPr>
                <w:lang w:val="en-AU"/>
              </w:rPr>
            </w:pPr>
            <w:r w:rsidRPr="006B4730">
              <w:rPr>
                <w:lang w:val="en-AU"/>
              </w:rPr>
              <w:t>N=2841</w:t>
            </w:r>
          </w:p>
        </w:tc>
        <w:tc>
          <w:tcPr>
            <w:tcW w:w="2250" w:type="dxa"/>
            <w:gridSpan w:val="2"/>
            <w:vAlign w:val="center"/>
          </w:tcPr>
          <w:p w14:paraId="5BC91274" w14:textId="77777777" w:rsidR="00FA6FDD" w:rsidRPr="006B4730" w:rsidRDefault="00FA6FDD" w:rsidP="006E7460">
            <w:pPr>
              <w:pStyle w:val="BayerTableColumnHeadings"/>
              <w:spacing w:line="276" w:lineRule="auto"/>
              <w:jc w:val="left"/>
              <w:rPr>
                <w:lang w:val="en-AU"/>
              </w:rPr>
            </w:pPr>
            <w:r w:rsidRPr="006B4730">
              <w:rPr>
                <w:lang w:val="en-AU"/>
              </w:rPr>
              <w:t>Treatment Effect</w:t>
            </w:r>
          </w:p>
          <w:p w14:paraId="4BD5E539" w14:textId="5EB40C91" w:rsidR="00FA6FDD" w:rsidRPr="006B4730" w:rsidRDefault="00007B4E" w:rsidP="006E7460">
            <w:pPr>
              <w:pStyle w:val="BayerTableColumnHeadings"/>
              <w:spacing w:line="276" w:lineRule="auto"/>
              <w:jc w:val="left"/>
              <w:rPr>
                <w:lang w:val="en-AU"/>
              </w:rPr>
            </w:pPr>
            <w:r w:rsidRPr="006B4730">
              <w:rPr>
                <w:lang w:val="en-AU"/>
              </w:rPr>
              <w:t>KERENDIA</w:t>
            </w:r>
            <w:r w:rsidR="00FA6FDD" w:rsidRPr="006B4730">
              <w:rPr>
                <w:lang w:val="en-AU"/>
              </w:rPr>
              <w:t xml:space="preserve"> / Placebo</w:t>
            </w:r>
          </w:p>
        </w:tc>
      </w:tr>
      <w:tr w:rsidR="00FA6FDD" w:rsidRPr="006B4730" w14:paraId="09EAC702" w14:textId="77777777" w:rsidTr="00FA21B0">
        <w:tc>
          <w:tcPr>
            <w:tcW w:w="2547" w:type="dxa"/>
            <w:vAlign w:val="center"/>
          </w:tcPr>
          <w:p w14:paraId="2535D60F" w14:textId="4FAA2D3B" w:rsidR="00FA6FDD" w:rsidRPr="006B4730" w:rsidRDefault="00FA6FDD" w:rsidP="006E7460">
            <w:pPr>
              <w:pStyle w:val="BayerTableRowHeadings"/>
              <w:keepNext w:val="0"/>
              <w:spacing w:line="276" w:lineRule="auto"/>
              <w:rPr>
                <w:b/>
                <w:lang w:val="en-AU"/>
              </w:rPr>
            </w:pPr>
            <w:r w:rsidRPr="006B4730">
              <w:rPr>
                <w:b/>
                <w:lang w:val="en-AU"/>
              </w:rPr>
              <w:t>Primary and Secondary Time-to-event Endpoints:</w:t>
            </w:r>
          </w:p>
        </w:tc>
        <w:tc>
          <w:tcPr>
            <w:tcW w:w="992" w:type="dxa"/>
            <w:vAlign w:val="center"/>
          </w:tcPr>
          <w:p w14:paraId="1D61BE90" w14:textId="77777777" w:rsidR="00FA6FDD" w:rsidRPr="006B4730" w:rsidRDefault="00FA6FDD" w:rsidP="006E7460">
            <w:pPr>
              <w:pStyle w:val="BayerTableColumnHeadings"/>
              <w:spacing w:line="276" w:lineRule="auto"/>
              <w:jc w:val="left"/>
              <w:rPr>
                <w:lang w:val="en-AU"/>
              </w:rPr>
            </w:pPr>
            <w:r w:rsidRPr="006B4730">
              <w:rPr>
                <w:lang w:val="en-AU"/>
              </w:rPr>
              <w:t>n (%)</w:t>
            </w:r>
          </w:p>
        </w:tc>
        <w:tc>
          <w:tcPr>
            <w:tcW w:w="1418" w:type="dxa"/>
            <w:vAlign w:val="center"/>
          </w:tcPr>
          <w:p w14:paraId="49D86E3B" w14:textId="77777777" w:rsidR="00FA6FDD" w:rsidRPr="006B4730" w:rsidRDefault="00FA6FDD" w:rsidP="006E7460">
            <w:pPr>
              <w:pStyle w:val="BayerTableColumnHeadings"/>
              <w:spacing w:line="276" w:lineRule="auto"/>
              <w:jc w:val="left"/>
              <w:rPr>
                <w:lang w:val="en-AU"/>
              </w:rPr>
            </w:pPr>
            <w:r w:rsidRPr="006B4730">
              <w:rPr>
                <w:lang w:val="en-AU"/>
              </w:rPr>
              <w:t>Event Rate (100 pt-yr)</w:t>
            </w:r>
          </w:p>
        </w:tc>
        <w:tc>
          <w:tcPr>
            <w:tcW w:w="1234" w:type="dxa"/>
            <w:vAlign w:val="center"/>
          </w:tcPr>
          <w:p w14:paraId="0F09B80F" w14:textId="77777777" w:rsidR="00FA6FDD" w:rsidRPr="006B4730" w:rsidRDefault="00FA6FDD" w:rsidP="006E7460">
            <w:pPr>
              <w:pStyle w:val="BayerTableColumnHeadings"/>
              <w:spacing w:line="276" w:lineRule="auto"/>
              <w:jc w:val="left"/>
              <w:rPr>
                <w:lang w:val="en-AU"/>
              </w:rPr>
            </w:pPr>
            <w:r w:rsidRPr="006B4730">
              <w:rPr>
                <w:lang w:val="en-AU"/>
              </w:rPr>
              <w:t>n (%)</w:t>
            </w:r>
          </w:p>
        </w:tc>
        <w:tc>
          <w:tcPr>
            <w:tcW w:w="1193" w:type="dxa"/>
            <w:vAlign w:val="center"/>
          </w:tcPr>
          <w:p w14:paraId="02E6DD23" w14:textId="77777777" w:rsidR="00FA6FDD" w:rsidRPr="006B4730" w:rsidRDefault="00FA6FDD" w:rsidP="006E7460">
            <w:pPr>
              <w:pStyle w:val="BayerTableColumnHeadings"/>
              <w:spacing w:line="276" w:lineRule="auto"/>
              <w:jc w:val="left"/>
              <w:rPr>
                <w:lang w:val="en-AU"/>
              </w:rPr>
            </w:pPr>
            <w:r w:rsidRPr="006B4730">
              <w:rPr>
                <w:lang w:val="en-AU"/>
              </w:rPr>
              <w:t>Event Rate (100 pt-yr)</w:t>
            </w:r>
          </w:p>
        </w:tc>
        <w:tc>
          <w:tcPr>
            <w:tcW w:w="1266" w:type="dxa"/>
            <w:vAlign w:val="center"/>
          </w:tcPr>
          <w:p w14:paraId="6DBE3857" w14:textId="77777777" w:rsidR="00FA6FDD" w:rsidRPr="006B4730" w:rsidRDefault="00FA6FDD" w:rsidP="006E7460">
            <w:pPr>
              <w:pStyle w:val="BayerTableColumnHeadings"/>
              <w:spacing w:line="276" w:lineRule="auto"/>
              <w:jc w:val="left"/>
              <w:rPr>
                <w:lang w:val="en-AU"/>
              </w:rPr>
            </w:pPr>
            <w:r w:rsidRPr="006B4730">
              <w:rPr>
                <w:lang w:val="en-AU"/>
              </w:rPr>
              <w:t>Hazard Ratio</w:t>
            </w:r>
          </w:p>
          <w:p w14:paraId="31FF9295" w14:textId="070E6E4D" w:rsidR="00FA6FDD" w:rsidRPr="006B4730" w:rsidRDefault="00FA6FDD" w:rsidP="006E7460">
            <w:pPr>
              <w:pStyle w:val="BayerTableColumnHeadings"/>
              <w:spacing w:line="276" w:lineRule="auto"/>
              <w:jc w:val="left"/>
              <w:rPr>
                <w:lang w:val="en-AU"/>
              </w:rPr>
            </w:pPr>
            <w:r w:rsidRPr="006B4730">
              <w:rPr>
                <w:lang w:val="en-AU"/>
              </w:rPr>
              <w:t>(95% CI)</w:t>
            </w:r>
          </w:p>
        </w:tc>
        <w:tc>
          <w:tcPr>
            <w:tcW w:w="984" w:type="dxa"/>
            <w:vAlign w:val="center"/>
          </w:tcPr>
          <w:p w14:paraId="34A71C05" w14:textId="77777777" w:rsidR="00FA6FDD" w:rsidRPr="006B4730" w:rsidRDefault="00FA6FDD" w:rsidP="006E7460">
            <w:pPr>
              <w:pStyle w:val="BayerTableColumnHeadings"/>
              <w:spacing w:line="276" w:lineRule="auto"/>
              <w:jc w:val="left"/>
              <w:rPr>
                <w:lang w:val="en-AU"/>
              </w:rPr>
            </w:pPr>
            <w:r w:rsidRPr="006B4730">
              <w:rPr>
                <w:lang w:val="en-AU"/>
              </w:rPr>
              <w:t>p-value</w:t>
            </w:r>
          </w:p>
        </w:tc>
      </w:tr>
      <w:tr w:rsidR="00FA6FDD" w:rsidRPr="006B4730" w14:paraId="2F886564" w14:textId="77777777" w:rsidTr="00FA21B0">
        <w:tc>
          <w:tcPr>
            <w:tcW w:w="2547" w:type="dxa"/>
          </w:tcPr>
          <w:p w14:paraId="0EE14D61" w14:textId="77777777" w:rsidR="00FA6FDD" w:rsidRPr="006B4730" w:rsidRDefault="00FA6FDD" w:rsidP="006E7460">
            <w:pPr>
              <w:pStyle w:val="BayerTableStyleLeftJustified"/>
              <w:keepNext w:val="0"/>
              <w:spacing w:line="276" w:lineRule="auto"/>
              <w:rPr>
                <w:lang w:val="en-AU"/>
              </w:rPr>
            </w:pPr>
            <w:r w:rsidRPr="006B4730">
              <w:rPr>
                <w:lang w:val="en-AU"/>
              </w:rPr>
              <w:t>Primary composite of kidney failure, sustained eGFR decline ≥40% or renal death</w:t>
            </w:r>
          </w:p>
        </w:tc>
        <w:tc>
          <w:tcPr>
            <w:tcW w:w="992" w:type="dxa"/>
            <w:vAlign w:val="center"/>
          </w:tcPr>
          <w:p w14:paraId="746237CF" w14:textId="77777777" w:rsidR="00FA6FDD" w:rsidRPr="006B4730" w:rsidRDefault="00FA6FDD" w:rsidP="006E7460">
            <w:pPr>
              <w:pStyle w:val="BayerTableStyleLeftJustified"/>
              <w:spacing w:line="276" w:lineRule="auto"/>
              <w:rPr>
                <w:lang w:val="en-AU"/>
              </w:rPr>
            </w:pPr>
            <w:r w:rsidRPr="006B4730">
              <w:rPr>
                <w:lang w:val="en-AU"/>
              </w:rPr>
              <w:t>504 (17.8%)</w:t>
            </w:r>
          </w:p>
        </w:tc>
        <w:tc>
          <w:tcPr>
            <w:tcW w:w="1418" w:type="dxa"/>
            <w:vAlign w:val="center"/>
          </w:tcPr>
          <w:p w14:paraId="7703FB87" w14:textId="77777777" w:rsidR="00FA6FDD" w:rsidRPr="006B4730" w:rsidRDefault="00FA6FDD" w:rsidP="006E7460">
            <w:pPr>
              <w:pStyle w:val="BayerTableStyleLeftJustified"/>
              <w:spacing w:line="276" w:lineRule="auto"/>
              <w:rPr>
                <w:lang w:val="en-AU"/>
              </w:rPr>
            </w:pPr>
            <w:r w:rsidRPr="006B4730">
              <w:rPr>
                <w:lang w:val="en-AU"/>
              </w:rPr>
              <w:t>7.59</w:t>
            </w:r>
          </w:p>
        </w:tc>
        <w:tc>
          <w:tcPr>
            <w:tcW w:w="1234" w:type="dxa"/>
            <w:vAlign w:val="center"/>
          </w:tcPr>
          <w:p w14:paraId="6ED569A5" w14:textId="77777777" w:rsidR="00FA6FDD" w:rsidRPr="006B4730" w:rsidRDefault="00FA6FDD" w:rsidP="006E7460">
            <w:pPr>
              <w:pStyle w:val="BayerTableStyleLeftJustified"/>
              <w:spacing w:line="276" w:lineRule="auto"/>
              <w:rPr>
                <w:lang w:val="en-AU"/>
              </w:rPr>
            </w:pPr>
            <w:r w:rsidRPr="006B4730">
              <w:rPr>
                <w:lang w:val="en-AU"/>
              </w:rPr>
              <w:t>600 (21.1%)</w:t>
            </w:r>
          </w:p>
        </w:tc>
        <w:tc>
          <w:tcPr>
            <w:tcW w:w="1193" w:type="dxa"/>
            <w:vAlign w:val="center"/>
          </w:tcPr>
          <w:p w14:paraId="0C42C5AC" w14:textId="77777777" w:rsidR="00FA6FDD" w:rsidRPr="006B4730" w:rsidRDefault="00FA6FDD" w:rsidP="006E7460">
            <w:pPr>
              <w:pStyle w:val="BayerTableStyleLeftJustified"/>
              <w:spacing w:line="276" w:lineRule="auto"/>
              <w:rPr>
                <w:lang w:val="en-AU"/>
              </w:rPr>
            </w:pPr>
            <w:r w:rsidRPr="006B4730">
              <w:rPr>
                <w:lang w:val="en-AU"/>
              </w:rPr>
              <w:t>9.08</w:t>
            </w:r>
          </w:p>
        </w:tc>
        <w:tc>
          <w:tcPr>
            <w:tcW w:w="1266" w:type="dxa"/>
            <w:vAlign w:val="center"/>
          </w:tcPr>
          <w:p w14:paraId="78A60C28" w14:textId="77777777" w:rsidR="00FA6FDD" w:rsidRPr="006B4730" w:rsidRDefault="00FA6FDD" w:rsidP="006E7460">
            <w:pPr>
              <w:pStyle w:val="BayerTableStyleLeftJustified"/>
              <w:spacing w:line="276" w:lineRule="auto"/>
              <w:rPr>
                <w:lang w:val="en-AU"/>
              </w:rPr>
            </w:pPr>
            <w:r w:rsidRPr="006B4730">
              <w:rPr>
                <w:lang w:val="en-AU"/>
              </w:rPr>
              <w:t>0.82</w:t>
            </w:r>
          </w:p>
          <w:p w14:paraId="152D4EF9" w14:textId="77777777" w:rsidR="00FA6FDD" w:rsidRPr="006B4730" w:rsidRDefault="00FA6FDD" w:rsidP="006E7460">
            <w:pPr>
              <w:pStyle w:val="BayerTableStyleLeftJustified"/>
              <w:spacing w:line="276" w:lineRule="auto"/>
              <w:rPr>
                <w:lang w:val="en-AU"/>
              </w:rPr>
            </w:pPr>
            <w:r w:rsidRPr="006B4730">
              <w:rPr>
                <w:lang w:val="en-AU"/>
              </w:rPr>
              <w:t>[0.73; 0.93]</w:t>
            </w:r>
          </w:p>
        </w:tc>
        <w:tc>
          <w:tcPr>
            <w:tcW w:w="984" w:type="dxa"/>
            <w:vAlign w:val="center"/>
          </w:tcPr>
          <w:p w14:paraId="063B646D" w14:textId="77777777" w:rsidR="00FA6FDD" w:rsidRPr="006B4730" w:rsidRDefault="00FA6FDD" w:rsidP="006E7460">
            <w:pPr>
              <w:pStyle w:val="BayerTableStyleLeftJustified"/>
              <w:spacing w:line="276" w:lineRule="auto"/>
              <w:rPr>
                <w:lang w:val="en-AU"/>
              </w:rPr>
            </w:pPr>
            <w:r w:rsidRPr="006B4730">
              <w:rPr>
                <w:lang w:val="en-AU"/>
              </w:rPr>
              <w:t>0.0014</w:t>
            </w:r>
          </w:p>
        </w:tc>
      </w:tr>
      <w:tr w:rsidR="00FA6FDD" w:rsidRPr="006B4730" w14:paraId="27026486" w14:textId="77777777" w:rsidTr="00FA21B0">
        <w:tc>
          <w:tcPr>
            <w:tcW w:w="2547" w:type="dxa"/>
          </w:tcPr>
          <w:p w14:paraId="1EA68539" w14:textId="77777777" w:rsidR="00FA6FDD" w:rsidRPr="006B4730" w:rsidRDefault="00FA6FDD" w:rsidP="006E7460">
            <w:pPr>
              <w:pStyle w:val="BayerTableStyleRightJustified"/>
              <w:keepNext w:val="0"/>
              <w:spacing w:line="276" w:lineRule="auto"/>
              <w:jc w:val="left"/>
              <w:rPr>
                <w:lang w:val="en-AU"/>
              </w:rPr>
            </w:pPr>
            <w:r w:rsidRPr="006B4730">
              <w:rPr>
                <w:lang w:val="en-AU"/>
              </w:rPr>
              <w:t>Kidney failure</w:t>
            </w:r>
          </w:p>
        </w:tc>
        <w:tc>
          <w:tcPr>
            <w:tcW w:w="992" w:type="dxa"/>
            <w:vAlign w:val="center"/>
          </w:tcPr>
          <w:p w14:paraId="755191A7" w14:textId="77777777" w:rsidR="00FA6FDD" w:rsidRPr="006B4730" w:rsidRDefault="00FA6FDD" w:rsidP="006E7460">
            <w:pPr>
              <w:pStyle w:val="BayerTableStyleLeftJustified"/>
              <w:spacing w:line="276" w:lineRule="auto"/>
              <w:rPr>
                <w:lang w:val="en-AU"/>
              </w:rPr>
            </w:pPr>
            <w:r w:rsidRPr="006B4730">
              <w:rPr>
                <w:lang w:val="en-AU"/>
              </w:rPr>
              <w:t>208 (7.3%)</w:t>
            </w:r>
          </w:p>
        </w:tc>
        <w:tc>
          <w:tcPr>
            <w:tcW w:w="1418" w:type="dxa"/>
            <w:vAlign w:val="center"/>
          </w:tcPr>
          <w:p w14:paraId="554DAB7A" w14:textId="77777777" w:rsidR="00FA6FDD" w:rsidRPr="006B4730" w:rsidRDefault="00FA6FDD" w:rsidP="006E7460">
            <w:pPr>
              <w:pStyle w:val="BayerTableStyleLeftJustified"/>
              <w:spacing w:line="276" w:lineRule="auto"/>
              <w:rPr>
                <w:lang w:val="en-AU"/>
              </w:rPr>
            </w:pPr>
            <w:r w:rsidRPr="006B4730">
              <w:rPr>
                <w:lang w:val="en-AU"/>
              </w:rPr>
              <w:t>2.99</w:t>
            </w:r>
          </w:p>
        </w:tc>
        <w:tc>
          <w:tcPr>
            <w:tcW w:w="1234" w:type="dxa"/>
            <w:vAlign w:val="center"/>
          </w:tcPr>
          <w:p w14:paraId="3735E440" w14:textId="77777777" w:rsidR="00FA21B0" w:rsidRPr="006B4730" w:rsidRDefault="00FA6FDD" w:rsidP="006E7460">
            <w:pPr>
              <w:pStyle w:val="BayerTableStyleLeftJustified"/>
              <w:spacing w:line="276" w:lineRule="auto"/>
              <w:rPr>
                <w:lang w:val="en-AU"/>
              </w:rPr>
            </w:pPr>
            <w:r w:rsidRPr="006B4730">
              <w:rPr>
                <w:lang w:val="en-AU"/>
              </w:rPr>
              <w:t xml:space="preserve">235 </w:t>
            </w:r>
          </w:p>
          <w:p w14:paraId="1FB8523F" w14:textId="7BF3133C" w:rsidR="00FA6FDD" w:rsidRPr="006B4730" w:rsidRDefault="00FA6FDD" w:rsidP="006E7460">
            <w:pPr>
              <w:pStyle w:val="BayerTableStyleLeftJustified"/>
              <w:spacing w:line="276" w:lineRule="auto"/>
              <w:rPr>
                <w:lang w:val="en-AU"/>
              </w:rPr>
            </w:pPr>
            <w:r w:rsidRPr="006B4730">
              <w:rPr>
                <w:lang w:val="en-AU"/>
              </w:rPr>
              <w:t>(8.3%)</w:t>
            </w:r>
          </w:p>
        </w:tc>
        <w:tc>
          <w:tcPr>
            <w:tcW w:w="1193" w:type="dxa"/>
            <w:vAlign w:val="center"/>
          </w:tcPr>
          <w:p w14:paraId="7D37F614" w14:textId="77777777" w:rsidR="00FA6FDD" w:rsidRPr="006B4730" w:rsidRDefault="00FA6FDD" w:rsidP="006E7460">
            <w:pPr>
              <w:pStyle w:val="BayerTableStyleLeftJustified"/>
              <w:spacing w:line="276" w:lineRule="auto"/>
              <w:rPr>
                <w:lang w:val="en-AU"/>
              </w:rPr>
            </w:pPr>
            <w:r w:rsidRPr="006B4730">
              <w:rPr>
                <w:lang w:val="en-AU"/>
              </w:rPr>
              <w:t>3.39</w:t>
            </w:r>
          </w:p>
        </w:tc>
        <w:tc>
          <w:tcPr>
            <w:tcW w:w="1266" w:type="dxa"/>
            <w:vAlign w:val="center"/>
          </w:tcPr>
          <w:p w14:paraId="66E84A22" w14:textId="77777777" w:rsidR="00FA6FDD" w:rsidRPr="006B4730" w:rsidRDefault="00FA6FDD" w:rsidP="006E7460">
            <w:pPr>
              <w:pStyle w:val="BayerTableStyleLeftJustified"/>
              <w:spacing w:line="276" w:lineRule="auto"/>
              <w:rPr>
                <w:lang w:val="en-AU"/>
              </w:rPr>
            </w:pPr>
            <w:r w:rsidRPr="006B4730">
              <w:rPr>
                <w:lang w:val="en-AU"/>
              </w:rPr>
              <w:t>0.87</w:t>
            </w:r>
          </w:p>
          <w:p w14:paraId="7870F7B4" w14:textId="77777777" w:rsidR="00FA6FDD" w:rsidRPr="006B4730" w:rsidRDefault="00FA6FDD" w:rsidP="006E7460">
            <w:pPr>
              <w:pStyle w:val="BayerTableStyleLeftJustified"/>
              <w:spacing w:line="276" w:lineRule="auto"/>
              <w:rPr>
                <w:lang w:val="en-AU"/>
              </w:rPr>
            </w:pPr>
            <w:r w:rsidRPr="006B4730">
              <w:rPr>
                <w:lang w:val="en-AU"/>
              </w:rPr>
              <w:t>[0.72; 1.05]</w:t>
            </w:r>
          </w:p>
        </w:tc>
        <w:tc>
          <w:tcPr>
            <w:tcW w:w="984" w:type="dxa"/>
            <w:vAlign w:val="center"/>
          </w:tcPr>
          <w:p w14:paraId="20DBB02D"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5BFDDABA" w14:textId="77777777" w:rsidTr="00FA21B0">
        <w:tc>
          <w:tcPr>
            <w:tcW w:w="2547" w:type="dxa"/>
          </w:tcPr>
          <w:p w14:paraId="21D728AC" w14:textId="77777777" w:rsidR="00FA6FDD" w:rsidRPr="006B4730" w:rsidRDefault="00FA6FDD" w:rsidP="006E7460">
            <w:pPr>
              <w:pStyle w:val="BayerTableStyleRightJustified"/>
              <w:keepNext w:val="0"/>
              <w:spacing w:line="276" w:lineRule="auto"/>
              <w:jc w:val="left"/>
              <w:rPr>
                <w:lang w:val="en-AU"/>
              </w:rPr>
            </w:pPr>
            <w:r w:rsidRPr="006B4730">
              <w:rPr>
                <w:lang w:val="en-AU"/>
              </w:rPr>
              <w:t>Sustained eGFR decline ≥40%</w:t>
            </w:r>
          </w:p>
        </w:tc>
        <w:tc>
          <w:tcPr>
            <w:tcW w:w="992" w:type="dxa"/>
            <w:vAlign w:val="center"/>
          </w:tcPr>
          <w:p w14:paraId="5640069B" w14:textId="77777777" w:rsidR="00FA6FDD" w:rsidRPr="006B4730" w:rsidRDefault="00FA6FDD" w:rsidP="006E7460">
            <w:pPr>
              <w:pStyle w:val="BayerTableStyleLeftJustified"/>
              <w:spacing w:line="276" w:lineRule="auto"/>
              <w:rPr>
                <w:lang w:val="en-AU"/>
              </w:rPr>
            </w:pPr>
            <w:r w:rsidRPr="006B4730">
              <w:rPr>
                <w:lang w:val="en-AU"/>
              </w:rPr>
              <w:t>479 (16.9%)</w:t>
            </w:r>
          </w:p>
        </w:tc>
        <w:tc>
          <w:tcPr>
            <w:tcW w:w="1418" w:type="dxa"/>
            <w:vAlign w:val="center"/>
          </w:tcPr>
          <w:p w14:paraId="714A4405" w14:textId="77777777" w:rsidR="00FA6FDD" w:rsidRPr="006B4730" w:rsidRDefault="00FA6FDD" w:rsidP="006E7460">
            <w:pPr>
              <w:pStyle w:val="BayerTableStyleLeftJustified"/>
              <w:spacing w:line="276" w:lineRule="auto"/>
              <w:rPr>
                <w:lang w:val="en-AU"/>
              </w:rPr>
            </w:pPr>
            <w:r w:rsidRPr="006B4730">
              <w:rPr>
                <w:lang w:val="en-AU"/>
              </w:rPr>
              <w:t>7.21</w:t>
            </w:r>
          </w:p>
        </w:tc>
        <w:tc>
          <w:tcPr>
            <w:tcW w:w="1234" w:type="dxa"/>
            <w:vAlign w:val="center"/>
          </w:tcPr>
          <w:p w14:paraId="49205A3E" w14:textId="77777777" w:rsidR="00FA6FDD" w:rsidRPr="006B4730" w:rsidRDefault="00FA6FDD" w:rsidP="006E7460">
            <w:pPr>
              <w:pStyle w:val="BayerTableStyleLeftJustified"/>
              <w:spacing w:line="276" w:lineRule="auto"/>
              <w:rPr>
                <w:lang w:val="en-AU"/>
              </w:rPr>
            </w:pPr>
            <w:r w:rsidRPr="006B4730">
              <w:rPr>
                <w:lang w:val="en-AU"/>
              </w:rPr>
              <w:t>577 (20.3%)</w:t>
            </w:r>
          </w:p>
        </w:tc>
        <w:tc>
          <w:tcPr>
            <w:tcW w:w="1193" w:type="dxa"/>
            <w:vAlign w:val="center"/>
          </w:tcPr>
          <w:p w14:paraId="7932E20C" w14:textId="77777777" w:rsidR="00FA6FDD" w:rsidRPr="006B4730" w:rsidRDefault="00FA6FDD" w:rsidP="006E7460">
            <w:pPr>
              <w:pStyle w:val="BayerTableStyleLeftJustified"/>
              <w:spacing w:line="276" w:lineRule="auto"/>
              <w:rPr>
                <w:lang w:val="en-AU"/>
              </w:rPr>
            </w:pPr>
            <w:r w:rsidRPr="006B4730">
              <w:rPr>
                <w:lang w:val="en-AU"/>
              </w:rPr>
              <w:t>8.73</w:t>
            </w:r>
          </w:p>
        </w:tc>
        <w:tc>
          <w:tcPr>
            <w:tcW w:w="1266" w:type="dxa"/>
            <w:vAlign w:val="center"/>
          </w:tcPr>
          <w:p w14:paraId="3016EB49" w14:textId="77777777" w:rsidR="00FA6FDD" w:rsidRPr="006B4730" w:rsidRDefault="00FA6FDD" w:rsidP="006E7460">
            <w:pPr>
              <w:pStyle w:val="BayerTableStyleLeftJustified"/>
              <w:spacing w:line="276" w:lineRule="auto"/>
              <w:rPr>
                <w:lang w:val="en-AU"/>
              </w:rPr>
            </w:pPr>
            <w:r w:rsidRPr="006B4730">
              <w:rPr>
                <w:lang w:val="en-AU"/>
              </w:rPr>
              <w:t>0.81</w:t>
            </w:r>
          </w:p>
          <w:p w14:paraId="7A4D0BFC" w14:textId="77777777" w:rsidR="00FA6FDD" w:rsidRPr="006B4730" w:rsidRDefault="00FA6FDD" w:rsidP="006E7460">
            <w:pPr>
              <w:pStyle w:val="BayerTableStyleLeftJustified"/>
              <w:spacing w:line="276" w:lineRule="auto"/>
              <w:rPr>
                <w:lang w:val="en-AU"/>
              </w:rPr>
            </w:pPr>
            <w:r w:rsidRPr="006B4730">
              <w:rPr>
                <w:lang w:val="en-AU"/>
              </w:rPr>
              <w:t>[0.72; 0.92]</w:t>
            </w:r>
          </w:p>
          <w:p w14:paraId="78D1B2C9" w14:textId="77777777" w:rsidR="00FA6FDD" w:rsidRPr="006B4730" w:rsidRDefault="00FA6FDD" w:rsidP="006E7460">
            <w:pPr>
              <w:pStyle w:val="BayerTableStyleLeftJustified"/>
              <w:spacing w:line="276" w:lineRule="auto"/>
              <w:rPr>
                <w:lang w:val="en-AU"/>
              </w:rPr>
            </w:pPr>
          </w:p>
        </w:tc>
        <w:tc>
          <w:tcPr>
            <w:tcW w:w="984" w:type="dxa"/>
            <w:vAlign w:val="center"/>
          </w:tcPr>
          <w:p w14:paraId="1FC4CD1F"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2AE3DC07" w14:textId="77777777" w:rsidTr="00FA21B0">
        <w:tc>
          <w:tcPr>
            <w:tcW w:w="2547" w:type="dxa"/>
          </w:tcPr>
          <w:p w14:paraId="34BD01D0" w14:textId="77777777" w:rsidR="00FA6FDD" w:rsidRPr="006B4730" w:rsidRDefault="00FA6FDD" w:rsidP="006E7460">
            <w:pPr>
              <w:pStyle w:val="BayerTableStyleRightJustified"/>
              <w:keepNext w:val="0"/>
              <w:spacing w:line="276" w:lineRule="auto"/>
              <w:jc w:val="left"/>
              <w:rPr>
                <w:lang w:val="en-AU"/>
              </w:rPr>
            </w:pPr>
            <w:r w:rsidRPr="006B4730">
              <w:rPr>
                <w:lang w:val="en-AU"/>
              </w:rPr>
              <w:t>Renal death</w:t>
            </w:r>
          </w:p>
        </w:tc>
        <w:tc>
          <w:tcPr>
            <w:tcW w:w="992" w:type="dxa"/>
            <w:vAlign w:val="center"/>
          </w:tcPr>
          <w:p w14:paraId="51FB6626" w14:textId="77777777" w:rsidR="00FA6FDD" w:rsidRPr="006B4730" w:rsidRDefault="00FA6FDD" w:rsidP="006E7460">
            <w:pPr>
              <w:pStyle w:val="BayerTableStyleLeftJustified"/>
              <w:spacing w:line="276" w:lineRule="auto"/>
              <w:rPr>
                <w:lang w:val="en-AU"/>
              </w:rPr>
            </w:pPr>
            <w:r w:rsidRPr="006B4730">
              <w:rPr>
                <w:lang w:val="en-AU"/>
              </w:rPr>
              <w:t>2 (&lt;0.1%)</w:t>
            </w:r>
          </w:p>
        </w:tc>
        <w:tc>
          <w:tcPr>
            <w:tcW w:w="1418" w:type="dxa"/>
            <w:vAlign w:val="center"/>
          </w:tcPr>
          <w:p w14:paraId="348A94A0" w14:textId="77777777" w:rsidR="00FA6FDD" w:rsidRPr="006B4730" w:rsidRDefault="00FA6FDD" w:rsidP="006E7460">
            <w:pPr>
              <w:pStyle w:val="BayerTableStyleLeftJustified"/>
              <w:spacing w:line="276" w:lineRule="auto"/>
              <w:rPr>
                <w:lang w:val="en-AU"/>
              </w:rPr>
            </w:pPr>
            <w:r w:rsidRPr="006B4730">
              <w:rPr>
                <w:lang w:val="en-AU"/>
              </w:rPr>
              <w:t>-</w:t>
            </w:r>
          </w:p>
        </w:tc>
        <w:tc>
          <w:tcPr>
            <w:tcW w:w="1234" w:type="dxa"/>
            <w:vAlign w:val="center"/>
          </w:tcPr>
          <w:p w14:paraId="057916D7" w14:textId="77777777" w:rsidR="00FA21B0" w:rsidRPr="006B4730" w:rsidRDefault="00FA6FDD" w:rsidP="006E7460">
            <w:pPr>
              <w:pStyle w:val="BayerTableStyleLeftJustified"/>
              <w:spacing w:line="276" w:lineRule="auto"/>
              <w:rPr>
                <w:lang w:val="en-AU"/>
              </w:rPr>
            </w:pPr>
            <w:r w:rsidRPr="006B4730">
              <w:rPr>
                <w:lang w:val="en-AU"/>
              </w:rPr>
              <w:t xml:space="preserve">2 </w:t>
            </w:r>
          </w:p>
          <w:p w14:paraId="43748947" w14:textId="2982440B" w:rsidR="00FA6FDD" w:rsidRPr="006B4730" w:rsidRDefault="00FA6FDD" w:rsidP="006E7460">
            <w:pPr>
              <w:pStyle w:val="BayerTableStyleLeftJustified"/>
              <w:spacing w:line="276" w:lineRule="auto"/>
              <w:rPr>
                <w:lang w:val="en-AU"/>
              </w:rPr>
            </w:pPr>
            <w:r w:rsidRPr="006B4730">
              <w:rPr>
                <w:lang w:val="en-AU"/>
              </w:rPr>
              <w:t>(&lt;0.1%)</w:t>
            </w:r>
          </w:p>
        </w:tc>
        <w:tc>
          <w:tcPr>
            <w:tcW w:w="1193" w:type="dxa"/>
            <w:vAlign w:val="center"/>
          </w:tcPr>
          <w:p w14:paraId="68C349BF" w14:textId="77777777" w:rsidR="00FA6FDD" w:rsidRPr="006B4730" w:rsidRDefault="00FA6FDD" w:rsidP="006E7460">
            <w:pPr>
              <w:pStyle w:val="BayerTableStyleLeftJustified"/>
              <w:spacing w:line="276" w:lineRule="auto"/>
              <w:rPr>
                <w:lang w:val="en-AU"/>
              </w:rPr>
            </w:pPr>
            <w:r w:rsidRPr="006B4730">
              <w:rPr>
                <w:lang w:val="en-AU"/>
              </w:rPr>
              <w:t>-</w:t>
            </w:r>
          </w:p>
        </w:tc>
        <w:tc>
          <w:tcPr>
            <w:tcW w:w="1266" w:type="dxa"/>
            <w:vAlign w:val="center"/>
          </w:tcPr>
          <w:p w14:paraId="26F1263D" w14:textId="77777777" w:rsidR="00FA6FDD" w:rsidRPr="006B4730" w:rsidRDefault="00FA6FDD" w:rsidP="006E7460">
            <w:pPr>
              <w:pStyle w:val="BayerTableStyleLeftJustified"/>
              <w:spacing w:line="276" w:lineRule="auto"/>
              <w:rPr>
                <w:lang w:val="en-AU"/>
              </w:rPr>
            </w:pPr>
            <w:r w:rsidRPr="006B4730">
              <w:rPr>
                <w:lang w:val="en-AU"/>
              </w:rPr>
              <w:t>-</w:t>
            </w:r>
          </w:p>
        </w:tc>
        <w:tc>
          <w:tcPr>
            <w:tcW w:w="984" w:type="dxa"/>
            <w:vAlign w:val="center"/>
          </w:tcPr>
          <w:p w14:paraId="0C54C3B0"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1E26310C" w14:textId="77777777" w:rsidTr="00FA21B0">
        <w:tc>
          <w:tcPr>
            <w:tcW w:w="2547" w:type="dxa"/>
          </w:tcPr>
          <w:p w14:paraId="027CCF04" w14:textId="70D1A0BF" w:rsidR="00FA6FDD" w:rsidRPr="006B4730" w:rsidRDefault="00FA6FDD" w:rsidP="006E7460">
            <w:pPr>
              <w:pStyle w:val="BayerTableStyleLeftJustified"/>
              <w:keepNext w:val="0"/>
              <w:spacing w:line="276" w:lineRule="auto"/>
              <w:rPr>
                <w:lang w:val="en-AU"/>
              </w:rPr>
            </w:pPr>
            <w:r w:rsidRPr="006B4730">
              <w:rPr>
                <w:lang w:val="en-AU"/>
              </w:rPr>
              <w:t>Secondary composite of CV death, non-fatal MI, non-fatal stroke or hospitali</w:t>
            </w:r>
            <w:r w:rsidR="00E6662E">
              <w:rPr>
                <w:lang w:val="en-AU"/>
              </w:rPr>
              <w:t>s</w:t>
            </w:r>
            <w:r w:rsidRPr="006B4730">
              <w:rPr>
                <w:lang w:val="en-AU"/>
              </w:rPr>
              <w:t>ation for heart failure</w:t>
            </w:r>
          </w:p>
        </w:tc>
        <w:tc>
          <w:tcPr>
            <w:tcW w:w="992" w:type="dxa"/>
            <w:vAlign w:val="center"/>
          </w:tcPr>
          <w:p w14:paraId="43F74B64" w14:textId="77777777" w:rsidR="00FA21B0" w:rsidRPr="006B4730" w:rsidRDefault="00FA6FDD" w:rsidP="006E7460">
            <w:pPr>
              <w:pStyle w:val="BayerTableStyleLeftJustified"/>
              <w:spacing w:line="276" w:lineRule="auto"/>
              <w:rPr>
                <w:lang w:val="en-AU"/>
              </w:rPr>
            </w:pPr>
            <w:r w:rsidRPr="006B4730">
              <w:rPr>
                <w:lang w:val="en-AU"/>
              </w:rPr>
              <w:t>367 </w:t>
            </w:r>
          </w:p>
          <w:p w14:paraId="091E7119" w14:textId="175F7424" w:rsidR="00FA6FDD" w:rsidRPr="006B4730" w:rsidRDefault="00FA6FDD" w:rsidP="006E7460">
            <w:pPr>
              <w:pStyle w:val="BayerTableStyleLeftJustified"/>
              <w:spacing w:line="276" w:lineRule="auto"/>
              <w:rPr>
                <w:lang w:val="en-AU"/>
              </w:rPr>
            </w:pPr>
            <w:r w:rsidRPr="006B4730">
              <w:rPr>
                <w:lang w:val="en-AU"/>
              </w:rPr>
              <w:t>(13.0%)</w:t>
            </w:r>
          </w:p>
        </w:tc>
        <w:tc>
          <w:tcPr>
            <w:tcW w:w="1418" w:type="dxa"/>
            <w:vAlign w:val="center"/>
          </w:tcPr>
          <w:p w14:paraId="6FE578BD" w14:textId="77777777" w:rsidR="00FA6FDD" w:rsidRPr="006B4730" w:rsidRDefault="00FA6FDD" w:rsidP="006E7460">
            <w:pPr>
              <w:pStyle w:val="BayerTableStyleLeftJustified"/>
              <w:spacing w:line="276" w:lineRule="auto"/>
              <w:rPr>
                <w:lang w:val="en-AU"/>
              </w:rPr>
            </w:pPr>
            <w:r w:rsidRPr="006B4730">
              <w:rPr>
                <w:lang w:val="en-AU"/>
              </w:rPr>
              <w:t>5.11 </w:t>
            </w:r>
          </w:p>
        </w:tc>
        <w:tc>
          <w:tcPr>
            <w:tcW w:w="1234" w:type="dxa"/>
            <w:vAlign w:val="center"/>
          </w:tcPr>
          <w:p w14:paraId="76963819" w14:textId="77777777" w:rsidR="00FA21B0" w:rsidRPr="006B4730" w:rsidRDefault="00FA6FDD" w:rsidP="006E7460">
            <w:pPr>
              <w:pStyle w:val="BayerTableStyleLeftJustified"/>
              <w:spacing w:line="276" w:lineRule="auto"/>
              <w:rPr>
                <w:lang w:val="en-AU"/>
              </w:rPr>
            </w:pPr>
            <w:r w:rsidRPr="006B4730">
              <w:rPr>
                <w:lang w:val="en-AU"/>
              </w:rPr>
              <w:t>420 </w:t>
            </w:r>
          </w:p>
          <w:p w14:paraId="5155E562" w14:textId="50BCD077" w:rsidR="00FA6FDD" w:rsidRPr="006B4730" w:rsidRDefault="00FA6FDD" w:rsidP="006E7460">
            <w:pPr>
              <w:pStyle w:val="BayerTableStyleLeftJustified"/>
              <w:spacing w:line="276" w:lineRule="auto"/>
              <w:rPr>
                <w:lang w:val="en-AU"/>
              </w:rPr>
            </w:pPr>
            <w:r w:rsidRPr="006B4730">
              <w:rPr>
                <w:lang w:val="en-AU"/>
              </w:rPr>
              <w:t>(14.8%)</w:t>
            </w:r>
          </w:p>
        </w:tc>
        <w:tc>
          <w:tcPr>
            <w:tcW w:w="1193" w:type="dxa"/>
            <w:vAlign w:val="center"/>
          </w:tcPr>
          <w:p w14:paraId="674DBF89" w14:textId="77777777" w:rsidR="00FA6FDD" w:rsidRPr="006B4730" w:rsidRDefault="00FA6FDD" w:rsidP="006E7460">
            <w:pPr>
              <w:pStyle w:val="BayerTableStyleLeftJustified"/>
              <w:spacing w:line="276" w:lineRule="auto"/>
              <w:rPr>
                <w:lang w:val="en-AU"/>
              </w:rPr>
            </w:pPr>
            <w:r w:rsidRPr="006B4730">
              <w:rPr>
                <w:lang w:val="en-AU"/>
              </w:rPr>
              <w:t>5.92</w:t>
            </w:r>
          </w:p>
        </w:tc>
        <w:tc>
          <w:tcPr>
            <w:tcW w:w="1266" w:type="dxa"/>
            <w:vAlign w:val="center"/>
          </w:tcPr>
          <w:p w14:paraId="2CB9C9EE"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0.86</w:t>
            </w:r>
          </w:p>
          <w:p w14:paraId="6E847D29" w14:textId="77777777" w:rsidR="00FA6FDD" w:rsidRPr="006B4730" w:rsidRDefault="00FA6FDD" w:rsidP="006E7460">
            <w:pPr>
              <w:pStyle w:val="BayerTableStyleLeftJustified"/>
              <w:spacing w:line="276" w:lineRule="auto"/>
              <w:rPr>
                <w:lang w:val="en-AU"/>
              </w:rPr>
            </w:pPr>
            <w:r w:rsidRPr="006B4730">
              <w:rPr>
                <w:lang w:val="en-AU"/>
              </w:rPr>
              <w:t>[0.75; 0.99]</w:t>
            </w:r>
          </w:p>
        </w:tc>
        <w:tc>
          <w:tcPr>
            <w:tcW w:w="984" w:type="dxa"/>
            <w:vAlign w:val="center"/>
          </w:tcPr>
          <w:p w14:paraId="6BC27598" w14:textId="77777777" w:rsidR="00FA6FDD" w:rsidRPr="006B4730" w:rsidRDefault="00FA6FDD" w:rsidP="006E7460">
            <w:pPr>
              <w:pStyle w:val="BayerTableStyleLeftJustified"/>
              <w:spacing w:line="276" w:lineRule="auto"/>
              <w:rPr>
                <w:lang w:val="en-AU"/>
              </w:rPr>
            </w:pPr>
            <w:r w:rsidRPr="006B4730">
              <w:rPr>
                <w:lang w:val="en-AU"/>
              </w:rPr>
              <w:t>0.0339</w:t>
            </w:r>
          </w:p>
        </w:tc>
      </w:tr>
      <w:tr w:rsidR="00FA6FDD" w:rsidRPr="006B4730" w14:paraId="033BD316" w14:textId="77777777" w:rsidTr="00FA21B0">
        <w:tc>
          <w:tcPr>
            <w:tcW w:w="2547" w:type="dxa"/>
          </w:tcPr>
          <w:p w14:paraId="3A345155" w14:textId="7B45FBD2" w:rsidR="00FA6FDD" w:rsidRPr="006B4730" w:rsidRDefault="00FA6FDD" w:rsidP="006E7460">
            <w:pPr>
              <w:pStyle w:val="BayerTableStyleRightJustified"/>
              <w:keepNext w:val="0"/>
              <w:spacing w:line="276" w:lineRule="auto"/>
              <w:jc w:val="left"/>
              <w:rPr>
                <w:lang w:val="en-AU"/>
              </w:rPr>
            </w:pPr>
            <w:r w:rsidRPr="006B4730">
              <w:rPr>
                <w:lang w:val="en-AU"/>
              </w:rPr>
              <w:t>CV death</w:t>
            </w:r>
          </w:p>
        </w:tc>
        <w:tc>
          <w:tcPr>
            <w:tcW w:w="992" w:type="dxa"/>
            <w:vAlign w:val="center"/>
          </w:tcPr>
          <w:p w14:paraId="790FD4B7" w14:textId="77777777" w:rsidR="00FA21B0" w:rsidRPr="006B4730" w:rsidRDefault="00FA6FDD" w:rsidP="006E7460">
            <w:pPr>
              <w:pStyle w:val="BayerTableStyleLeftJustified"/>
              <w:spacing w:line="276" w:lineRule="auto"/>
              <w:rPr>
                <w:lang w:val="en-AU"/>
              </w:rPr>
            </w:pPr>
            <w:r w:rsidRPr="006B4730">
              <w:rPr>
                <w:lang w:val="en-AU"/>
              </w:rPr>
              <w:t>128 </w:t>
            </w:r>
          </w:p>
          <w:p w14:paraId="0420F7A9" w14:textId="01140BA8" w:rsidR="00FA6FDD" w:rsidRPr="006B4730" w:rsidRDefault="00FA6FDD" w:rsidP="006E7460">
            <w:pPr>
              <w:pStyle w:val="BayerTableStyleLeftJustified"/>
              <w:spacing w:line="276" w:lineRule="auto"/>
              <w:rPr>
                <w:lang w:val="en-AU"/>
              </w:rPr>
            </w:pPr>
            <w:r w:rsidRPr="006B4730">
              <w:rPr>
                <w:lang w:val="en-AU"/>
              </w:rPr>
              <w:t>(4.5%) </w:t>
            </w:r>
          </w:p>
        </w:tc>
        <w:tc>
          <w:tcPr>
            <w:tcW w:w="1418" w:type="dxa"/>
            <w:vAlign w:val="center"/>
          </w:tcPr>
          <w:p w14:paraId="7FC9B055" w14:textId="77777777" w:rsidR="00FA6FDD" w:rsidRPr="006B4730" w:rsidRDefault="00FA6FDD" w:rsidP="006E7460">
            <w:pPr>
              <w:pStyle w:val="BayerTableStyleLeftJustified"/>
              <w:spacing w:line="276" w:lineRule="auto"/>
              <w:rPr>
                <w:lang w:val="en-AU"/>
              </w:rPr>
            </w:pPr>
            <w:r w:rsidRPr="006B4730">
              <w:rPr>
                <w:lang w:val="en-AU"/>
              </w:rPr>
              <w:t>1.69</w:t>
            </w:r>
          </w:p>
        </w:tc>
        <w:tc>
          <w:tcPr>
            <w:tcW w:w="1234" w:type="dxa"/>
            <w:vAlign w:val="center"/>
          </w:tcPr>
          <w:p w14:paraId="777EB7F1" w14:textId="77777777" w:rsidR="00FA6FDD" w:rsidRPr="006B4730" w:rsidRDefault="00FA6FDD" w:rsidP="006E7460">
            <w:pPr>
              <w:pStyle w:val="BayerTableStyleLeftJustified"/>
              <w:spacing w:line="276" w:lineRule="auto"/>
              <w:rPr>
                <w:lang w:val="en-AU"/>
              </w:rPr>
            </w:pPr>
            <w:r w:rsidRPr="006B4730">
              <w:rPr>
                <w:lang w:val="en-AU"/>
              </w:rPr>
              <w:t>150 (5.3%) </w:t>
            </w:r>
          </w:p>
        </w:tc>
        <w:tc>
          <w:tcPr>
            <w:tcW w:w="1193" w:type="dxa"/>
            <w:vAlign w:val="center"/>
          </w:tcPr>
          <w:p w14:paraId="53639D8C" w14:textId="77777777" w:rsidR="00FA6FDD" w:rsidRPr="006B4730" w:rsidRDefault="00FA6FDD" w:rsidP="006E7460">
            <w:pPr>
              <w:pStyle w:val="BayerTableStyleLeftJustified"/>
              <w:spacing w:line="276" w:lineRule="auto"/>
              <w:rPr>
                <w:lang w:val="en-AU"/>
              </w:rPr>
            </w:pPr>
            <w:r w:rsidRPr="006B4730">
              <w:rPr>
                <w:lang w:val="en-AU"/>
              </w:rPr>
              <w:t>1.99</w:t>
            </w:r>
          </w:p>
        </w:tc>
        <w:tc>
          <w:tcPr>
            <w:tcW w:w="1266" w:type="dxa"/>
            <w:vAlign w:val="center"/>
          </w:tcPr>
          <w:p w14:paraId="2F9FED96"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 xml:space="preserve">0.86 </w:t>
            </w:r>
          </w:p>
          <w:p w14:paraId="256A5249" w14:textId="77777777" w:rsidR="00FA6FDD" w:rsidRPr="006B4730" w:rsidRDefault="00FA6FDD" w:rsidP="006E7460">
            <w:pPr>
              <w:pStyle w:val="BayerTableStyleLeftJustified"/>
              <w:spacing w:line="276" w:lineRule="auto"/>
              <w:rPr>
                <w:lang w:val="en-AU"/>
              </w:rPr>
            </w:pPr>
            <w:r w:rsidRPr="006B4730">
              <w:rPr>
                <w:lang w:val="en-AU"/>
              </w:rPr>
              <w:t>[0.68;1.08]</w:t>
            </w:r>
          </w:p>
        </w:tc>
        <w:tc>
          <w:tcPr>
            <w:tcW w:w="984" w:type="dxa"/>
            <w:vAlign w:val="center"/>
          </w:tcPr>
          <w:p w14:paraId="7AE3763C"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12DCCEAC" w14:textId="77777777" w:rsidTr="00FA21B0">
        <w:tc>
          <w:tcPr>
            <w:tcW w:w="2547" w:type="dxa"/>
          </w:tcPr>
          <w:p w14:paraId="291DAD10" w14:textId="77777777" w:rsidR="00FA6FDD" w:rsidRPr="006B4730" w:rsidRDefault="00FA6FDD" w:rsidP="006E7460">
            <w:pPr>
              <w:pStyle w:val="BayerTableStyleRightJustified"/>
              <w:keepNext w:val="0"/>
              <w:spacing w:line="276" w:lineRule="auto"/>
              <w:jc w:val="left"/>
              <w:rPr>
                <w:lang w:val="en-AU"/>
              </w:rPr>
            </w:pPr>
            <w:r w:rsidRPr="006B4730">
              <w:rPr>
                <w:lang w:val="en-AU"/>
              </w:rPr>
              <w:t>Non-fatal MI</w:t>
            </w:r>
          </w:p>
        </w:tc>
        <w:tc>
          <w:tcPr>
            <w:tcW w:w="992" w:type="dxa"/>
            <w:vAlign w:val="center"/>
          </w:tcPr>
          <w:p w14:paraId="72850FE2" w14:textId="77777777" w:rsidR="00FA6FDD" w:rsidRPr="006B4730" w:rsidRDefault="00FA6FDD" w:rsidP="006E7460">
            <w:pPr>
              <w:pStyle w:val="BayerTableStyleLeftJustified"/>
              <w:spacing w:line="276" w:lineRule="auto"/>
              <w:rPr>
                <w:lang w:val="en-AU"/>
              </w:rPr>
            </w:pPr>
            <w:r w:rsidRPr="006B4730">
              <w:rPr>
                <w:lang w:val="en-AU"/>
              </w:rPr>
              <w:t>70 (2.5%) </w:t>
            </w:r>
          </w:p>
        </w:tc>
        <w:tc>
          <w:tcPr>
            <w:tcW w:w="1418" w:type="dxa"/>
            <w:vAlign w:val="center"/>
          </w:tcPr>
          <w:p w14:paraId="75BF5679" w14:textId="77777777" w:rsidR="00FA6FDD" w:rsidRPr="006B4730" w:rsidRDefault="00FA6FDD" w:rsidP="006E7460">
            <w:pPr>
              <w:pStyle w:val="BayerTableStyleLeftJustified"/>
              <w:spacing w:line="276" w:lineRule="auto"/>
              <w:rPr>
                <w:lang w:val="en-AU"/>
              </w:rPr>
            </w:pPr>
            <w:r w:rsidRPr="006B4730">
              <w:rPr>
                <w:lang w:val="en-AU"/>
              </w:rPr>
              <w:t>0.94</w:t>
            </w:r>
          </w:p>
        </w:tc>
        <w:tc>
          <w:tcPr>
            <w:tcW w:w="1234" w:type="dxa"/>
            <w:vAlign w:val="center"/>
          </w:tcPr>
          <w:p w14:paraId="25FE223C" w14:textId="77777777" w:rsidR="00FA21B0" w:rsidRPr="006B4730" w:rsidRDefault="00FA6FDD" w:rsidP="006E7460">
            <w:pPr>
              <w:pStyle w:val="BayerTableStyleLeftJustified"/>
              <w:spacing w:line="276" w:lineRule="auto"/>
              <w:rPr>
                <w:lang w:val="en-AU"/>
              </w:rPr>
            </w:pPr>
            <w:r w:rsidRPr="006B4730">
              <w:rPr>
                <w:lang w:val="en-AU"/>
              </w:rPr>
              <w:t xml:space="preserve">87 </w:t>
            </w:r>
          </w:p>
          <w:p w14:paraId="48654616" w14:textId="5C7F982F" w:rsidR="00FA6FDD" w:rsidRPr="006B4730" w:rsidRDefault="00FA6FDD" w:rsidP="006E7460">
            <w:pPr>
              <w:pStyle w:val="BayerTableStyleLeftJustified"/>
              <w:spacing w:line="276" w:lineRule="auto"/>
              <w:rPr>
                <w:lang w:val="en-AU"/>
              </w:rPr>
            </w:pPr>
            <w:r w:rsidRPr="006B4730">
              <w:rPr>
                <w:lang w:val="en-AU"/>
              </w:rPr>
              <w:t>(3.1%) </w:t>
            </w:r>
          </w:p>
        </w:tc>
        <w:tc>
          <w:tcPr>
            <w:tcW w:w="1193" w:type="dxa"/>
            <w:vAlign w:val="center"/>
          </w:tcPr>
          <w:p w14:paraId="703E83A5" w14:textId="77777777" w:rsidR="00FA6FDD" w:rsidRPr="006B4730" w:rsidRDefault="00FA6FDD" w:rsidP="006E7460">
            <w:pPr>
              <w:pStyle w:val="BayerTableStyleLeftJustified"/>
              <w:spacing w:line="276" w:lineRule="auto"/>
              <w:rPr>
                <w:lang w:val="en-AU"/>
              </w:rPr>
            </w:pPr>
            <w:r w:rsidRPr="006B4730">
              <w:rPr>
                <w:lang w:val="en-AU"/>
              </w:rPr>
              <w:t>1.17</w:t>
            </w:r>
          </w:p>
        </w:tc>
        <w:tc>
          <w:tcPr>
            <w:tcW w:w="1266" w:type="dxa"/>
            <w:vAlign w:val="center"/>
          </w:tcPr>
          <w:p w14:paraId="294D3FFD"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0.80</w:t>
            </w:r>
          </w:p>
          <w:p w14:paraId="139C87E2" w14:textId="77777777" w:rsidR="00FA6FDD" w:rsidRPr="006B4730" w:rsidRDefault="00FA6FDD" w:rsidP="006E7460">
            <w:pPr>
              <w:pStyle w:val="BayerTableStyleLeftJustified"/>
              <w:spacing w:line="276" w:lineRule="auto"/>
              <w:rPr>
                <w:lang w:val="en-AU"/>
              </w:rPr>
            </w:pPr>
            <w:r w:rsidRPr="006B4730">
              <w:rPr>
                <w:lang w:val="en-AU"/>
              </w:rPr>
              <w:t>[0.58;1.09]</w:t>
            </w:r>
          </w:p>
        </w:tc>
        <w:tc>
          <w:tcPr>
            <w:tcW w:w="984" w:type="dxa"/>
            <w:vAlign w:val="center"/>
          </w:tcPr>
          <w:p w14:paraId="77159AB3"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43A68463" w14:textId="77777777" w:rsidTr="00FA21B0">
        <w:tc>
          <w:tcPr>
            <w:tcW w:w="2547" w:type="dxa"/>
          </w:tcPr>
          <w:p w14:paraId="3BF169E3" w14:textId="77777777" w:rsidR="00FA6FDD" w:rsidRPr="006B4730" w:rsidRDefault="00FA6FDD" w:rsidP="006E7460">
            <w:pPr>
              <w:pStyle w:val="BayerTableStyleRightJustified"/>
              <w:keepNext w:val="0"/>
              <w:spacing w:line="276" w:lineRule="auto"/>
              <w:jc w:val="left"/>
              <w:rPr>
                <w:lang w:val="en-AU"/>
              </w:rPr>
            </w:pPr>
            <w:r w:rsidRPr="006B4730">
              <w:rPr>
                <w:lang w:val="en-AU"/>
              </w:rPr>
              <w:t>Non-Fatal stroke</w:t>
            </w:r>
          </w:p>
        </w:tc>
        <w:tc>
          <w:tcPr>
            <w:tcW w:w="992" w:type="dxa"/>
            <w:vAlign w:val="center"/>
          </w:tcPr>
          <w:p w14:paraId="5FB07F3A" w14:textId="77777777" w:rsidR="00FA21B0" w:rsidRPr="006B4730" w:rsidRDefault="00FA6FDD" w:rsidP="006E7460">
            <w:pPr>
              <w:pStyle w:val="BayerTableStyleLeftJustified"/>
              <w:spacing w:line="276" w:lineRule="auto"/>
              <w:rPr>
                <w:lang w:val="en-AU"/>
              </w:rPr>
            </w:pPr>
            <w:r w:rsidRPr="006B4730">
              <w:rPr>
                <w:lang w:val="en-AU"/>
              </w:rPr>
              <w:t>90 </w:t>
            </w:r>
          </w:p>
          <w:p w14:paraId="3777F54B" w14:textId="6F606285" w:rsidR="00FA6FDD" w:rsidRPr="006B4730" w:rsidRDefault="00FA6FDD" w:rsidP="006E7460">
            <w:pPr>
              <w:pStyle w:val="BayerTableStyleLeftJustified"/>
              <w:spacing w:line="276" w:lineRule="auto"/>
              <w:rPr>
                <w:lang w:val="en-AU"/>
              </w:rPr>
            </w:pPr>
            <w:r w:rsidRPr="006B4730">
              <w:rPr>
                <w:lang w:val="en-AU"/>
              </w:rPr>
              <w:t>(3.2%) </w:t>
            </w:r>
          </w:p>
        </w:tc>
        <w:tc>
          <w:tcPr>
            <w:tcW w:w="1418" w:type="dxa"/>
            <w:vAlign w:val="center"/>
          </w:tcPr>
          <w:p w14:paraId="100A1132" w14:textId="77777777" w:rsidR="00FA6FDD" w:rsidRPr="006B4730" w:rsidRDefault="00FA6FDD" w:rsidP="006E7460">
            <w:pPr>
              <w:pStyle w:val="BayerTableStyleLeftJustified"/>
              <w:spacing w:line="276" w:lineRule="auto"/>
              <w:rPr>
                <w:lang w:val="en-AU"/>
              </w:rPr>
            </w:pPr>
            <w:r w:rsidRPr="006B4730">
              <w:rPr>
                <w:lang w:val="en-AU"/>
              </w:rPr>
              <w:t>1.21</w:t>
            </w:r>
          </w:p>
        </w:tc>
        <w:tc>
          <w:tcPr>
            <w:tcW w:w="1234" w:type="dxa"/>
            <w:vAlign w:val="center"/>
          </w:tcPr>
          <w:p w14:paraId="3DF78A40" w14:textId="77777777" w:rsidR="00FA21B0" w:rsidRPr="006B4730" w:rsidRDefault="00FA6FDD" w:rsidP="006E7460">
            <w:pPr>
              <w:pStyle w:val="BayerTableStyleLeftJustified"/>
              <w:spacing w:line="276" w:lineRule="auto"/>
              <w:rPr>
                <w:lang w:val="en-AU"/>
              </w:rPr>
            </w:pPr>
            <w:r w:rsidRPr="006B4730">
              <w:rPr>
                <w:lang w:val="en-AU"/>
              </w:rPr>
              <w:t xml:space="preserve">87 </w:t>
            </w:r>
          </w:p>
          <w:p w14:paraId="6D42618F" w14:textId="6C2E0EB8" w:rsidR="00FA6FDD" w:rsidRPr="006B4730" w:rsidRDefault="00FA6FDD" w:rsidP="006E7460">
            <w:pPr>
              <w:pStyle w:val="BayerTableStyleLeftJustified"/>
              <w:spacing w:line="276" w:lineRule="auto"/>
              <w:rPr>
                <w:lang w:val="en-AU"/>
              </w:rPr>
            </w:pPr>
            <w:r w:rsidRPr="006B4730">
              <w:rPr>
                <w:lang w:val="en-AU"/>
              </w:rPr>
              <w:t>(3.1%) </w:t>
            </w:r>
          </w:p>
        </w:tc>
        <w:tc>
          <w:tcPr>
            <w:tcW w:w="1193" w:type="dxa"/>
            <w:vAlign w:val="center"/>
          </w:tcPr>
          <w:p w14:paraId="26A5A635" w14:textId="77777777" w:rsidR="00FA6FDD" w:rsidRPr="006B4730" w:rsidRDefault="00FA6FDD" w:rsidP="006E7460">
            <w:pPr>
              <w:pStyle w:val="BayerTableStyleLeftJustified"/>
              <w:spacing w:line="276" w:lineRule="auto"/>
              <w:rPr>
                <w:lang w:val="en-AU"/>
              </w:rPr>
            </w:pPr>
            <w:r w:rsidRPr="006B4730">
              <w:rPr>
                <w:lang w:val="en-AU"/>
              </w:rPr>
              <w:t>1.18</w:t>
            </w:r>
          </w:p>
        </w:tc>
        <w:tc>
          <w:tcPr>
            <w:tcW w:w="1266" w:type="dxa"/>
            <w:vAlign w:val="center"/>
          </w:tcPr>
          <w:p w14:paraId="3BE61173"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 xml:space="preserve">1.03 </w:t>
            </w:r>
          </w:p>
          <w:p w14:paraId="04384C96" w14:textId="77777777" w:rsidR="00FA6FDD" w:rsidRPr="006B4730" w:rsidRDefault="00FA6FDD" w:rsidP="006E7460">
            <w:pPr>
              <w:pStyle w:val="BayerTableStyleLeftJustified"/>
              <w:spacing w:line="276" w:lineRule="auto"/>
              <w:rPr>
                <w:lang w:val="en-AU"/>
              </w:rPr>
            </w:pPr>
            <w:r w:rsidRPr="006B4730">
              <w:rPr>
                <w:lang w:val="en-AU"/>
              </w:rPr>
              <w:t>[0.76;1.38]</w:t>
            </w:r>
          </w:p>
        </w:tc>
        <w:tc>
          <w:tcPr>
            <w:tcW w:w="984" w:type="dxa"/>
            <w:vAlign w:val="center"/>
          </w:tcPr>
          <w:p w14:paraId="7EDEC7DE"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7A1698FA" w14:textId="77777777" w:rsidTr="00FA21B0">
        <w:tc>
          <w:tcPr>
            <w:tcW w:w="2547" w:type="dxa"/>
          </w:tcPr>
          <w:p w14:paraId="6631A3CD" w14:textId="3510B985" w:rsidR="00FA6FDD" w:rsidRPr="006B4730" w:rsidRDefault="00FA6FDD" w:rsidP="006E7460">
            <w:pPr>
              <w:pStyle w:val="BayerTableStyleRightJustified"/>
              <w:keepNext w:val="0"/>
              <w:spacing w:line="276" w:lineRule="auto"/>
              <w:jc w:val="left"/>
              <w:rPr>
                <w:lang w:val="en-AU"/>
              </w:rPr>
            </w:pPr>
            <w:r w:rsidRPr="006B4730">
              <w:rPr>
                <w:lang w:val="en-AU"/>
              </w:rPr>
              <w:t>Hospitali</w:t>
            </w:r>
            <w:r w:rsidR="00E6662E">
              <w:rPr>
                <w:lang w:val="en-AU"/>
              </w:rPr>
              <w:t>s</w:t>
            </w:r>
            <w:r w:rsidRPr="006B4730">
              <w:rPr>
                <w:lang w:val="en-AU"/>
              </w:rPr>
              <w:t>ation for heart failure</w:t>
            </w:r>
          </w:p>
        </w:tc>
        <w:tc>
          <w:tcPr>
            <w:tcW w:w="992" w:type="dxa"/>
            <w:vAlign w:val="center"/>
          </w:tcPr>
          <w:p w14:paraId="565C83BA" w14:textId="77777777" w:rsidR="00FA21B0" w:rsidRPr="006B4730" w:rsidRDefault="00FA6FDD" w:rsidP="006E7460">
            <w:pPr>
              <w:pStyle w:val="BayerTableStyleLeftJustified"/>
              <w:spacing w:line="276" w:lineRule="auto"/>
              <w:rPr>
                <w:lang w:val="en-AU"/>
              </w:rPr>
            </w:pPr>
            <w:r w:rsidRPr="006B4730">
              <w:rPr>
                <w:lang w:val="en-AU"/>
              </w:rPr>
              <w:t>139 </w:t>
            </w:r>
          </w:p>
          <w:p w14:paraId="1965E783" w14:textId="110DB81A" w:rsidR="00FA6FDD" w:rsidRPr="006B4730" w:rsidRDefault="00FA6FDD" w:rsidP="006E7460">
            <w:pPr>
              <w:pStyle w:val="BayerTableStyleLeftJustified"/>
              <w:spacing w:line="276" w:lineRule="auto"/>
              <w:rPr>
                <w:lang w:val="en-AU"/>
              </w:rPr>
            </w:pPr>
            <w:r w:rsidRPr="006B4730">
              <w:rPr>
                <w:lang w:val="en-AU"/>
              </w:rPr>
              <w:t>(4.9%) </w:t>
            </w:r>
          </w:p>
        </w:tc>
        <w:tc>
          <w:tcPr>
            <w:tcW w:w="1418" w:type="dxa"/>
            <w:vAlign w:val="center"/>
          </w:tcPr>
          <w:p w14:paraId="756F3F9D" w14:textId="77777777" w:rsidR="00FA6FDD" w:rsidRPr="006B4730" w:rsidRDefault="00FA6FDD" w:rsidP="006E7460">
            <w:pPr>
              <w:pStyle w:val="BayerTableStyleLeftJustified"/>
              <w:spacing w:line="276" w:lineRule="auto"/>
              <w:rPr>
                <w:lang w:val="en-AU"/>
              </w:rPr>
            </w:pPr>
            <w:r w:rsidRPr="006B4730">
              <w:rPr>
                <w:lang w:val="en-AU"/>
              </w:rPr>
              <w:t>1.89 </w:t>
            </w:r>
          </w:p>
        </w:tc>
        <w:tc>
          <w:tcPr>
            <w:tcW w:w="1234" w:type="dxa"/>
            <w:vAlign w:val="center"/>
          </w:tcPr>
          <w:p w14:paraId="14967C5F" w14:textId="77777777" w:rsidR="00FA21B0" w:rsidRPr="006B4730" w:rsidRDefault="00FA6FDD" w:rsidP="006E7460">
            <w:pPr>
              <w:pStyle w:val="BayerTableStyleLeftJustified"/>
              <w:spacing w:line="276" w:lineRule="auto"/>
              <w:rPr>
                <w:lang w:val="en-AU"/>
              </w:rPr>
            </w:pPr>
            <w:r w:rsidRPr="006B4730">
              <w:rPr>
                <w:lang w:val="en-AU"/>
              </w:rPr>
              <w:t>162 </w:t>
            </w:r>
          </w:p>
          <w:p w14:paraId="47E85EA0" w14:textId="0F7EF555" w:rsidR="00FA6FDD" w:rsidRPr="006B4730" w:rsidRDefault="00FA6FDD" w:rsidP="006E7460">
            <w:pPr>
              <w:pStyle w:val="BayerTableStyleLeftJustified"/>
              <w:spacing w:line="276" w:lineRule="auto"/>
              <w:rPr>
                <w:lang w:val="en-AU"/>
              </w:rPr>
            </w:pPr>
            <w:r w:rsidRPr="006B4730">
              <w:rPr>
                <w:lang w:val="en-AU"/>
              </w:rPr>
              <w:t>(5.7%) </w:t>
            </w:r>
          </w:p>
        </w:tc>
        <w:tc>
          <w:tcPr>
            <w:tcW w:w="1193" w:type="dxa"/>
            <w:vAlign w:val="center"/>
          </w:tcPr>
          <w:p w14:paraId="3882EBE1" w14:textId="77777777" w:rsidR="00FA6FDD" w:rsidRPr="006B4730" w:rsidRDefault="00FA6FDD" w:rsidP="006E7460">
            <w:pPr>
              <w:pStyle w:val="BayerTableStyleLeftJustified"/>
              <w:spacing w:line="276" w:lineRule="auto"/>
              <w:rPr>
                <w:lang w:val="en-AU"/>
              </w:rPr>
            </w:pPr>
            <w:r w:rsidRPr="006B4730">
              <w:rPr>
                <w:lang w:val="en-AU"/>
              </w:rPr>
              <w:t>2.21</w:t>
            </w:r>
          </w:p>
        </w:tc>
        <w:tc>
          <w:tcPr>
            <w:tcW w:w="1266" w:type="dxa"/>
            <w:vAlign w:val="center"/>
          </w:tcPr>
          <w:p w14:paraId="119FE2B8"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 xml:space="preserve">0.86 </w:t>
            </w:r>
          </w:p>
          <w:p w14:paraId="3DC9675D" w14:textId="77777777" w:rsidR="00FA6FDD" w:rsidRPr="006B4730" w:rsidRDefault="00FA6FDD" w:rsidP="006E7460">
            <w:pPr>
              <w:pStyle w:val="BayerTableStyleLeftJustified"/>
              <w:spacing w:line="276" w:lineRule="auto"/>
              <w:rPr>
                <w:lang w:val="en-AU"/>
              </w:rPr>
            </w:pPr>
            <w:r w:rsidRPr="006B4730">
              <w:rPr>
                <w:lang w:val="en-AU"/>
              </w:rPr>
              <w:t>[0.68;1.08]</w:t>
            </w:r>
          </w:p>
        </w:tc>
        <w:tc>
          <w:tcPr>
            <w:tcW w:w="984" w:type="dxa"/>
            <w:vAlign w:val="center"/>
          </w:tcPr>
          <w:p w14:paraId="728F2F4D"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59C90DC9" w14:textId="77777777" w:rsidTr="00FA21B0">
        <w:tc>
          <w:tcPr>
            <w:tcW w:w="2547" w:type="dxa"/>
          </w:tcPr>
          <w:p w14:paraId="4FF7A056" w14:textId="77777777" w:rsidR="00FA6FDD" w:rsidRPr="006B4730" w:rsidRDefault="00FA6FDD" w:rsidP="006E7460">
            <w:pPr>
              <w:pStyle w:val="BayerTableStyleLeftJustified"/>
              <w:keepNext w:val="0"/>
              <w:spacing w:line="276" w:lineRule="auto"/>
              <w:rPr>
                <w:lang w:val="en-AU"/>
              </w:rPr>
            </w:pPr>
            <w:r w:rsidRPr="006B4730">
              <w:rPr>
                <w:lang w:val="en-AU"/>
              </w:rPr>
              <w:t>All-cause mortality</w:t>
            </w:r>
          </w:p>
        </w:tc>
        <w:tc>
          <w:tcPr>
            <w:tcW w:w="992" w:type="dxa"/>
            <w:vAlign w:val="center"/>
          </w:tcPr>
          <w:p w14:paraId="5EE544BA" w14:textId="77777777" w:rsidR="00FA21B0" w:rsidRPr="006B4730" w:rsidRDefault="00FA6FDD" w:rsidP="006E7460">
            <w:pPr>
              <w:pStyle w:val="BayerTableStyleLeftJustified"/>
              <w:spacing w:line="276" w:lineRule="auto"/>
              <w:rPr>
                <w:lang w:val="en-AU"/>
              </w:rPr>
            </w:pPr>
            <w:r w:rsidRPr="006B4730">
              <w:rPr>
                <w:lang w:val="en-AU"/>
              </w:rPr>
              <w:t>219 </w:t>
            </w:r>
          </w:p>
          <w:p w14:paraId="69CEE446" w14:textId="36365EF2" w:rsidR="00FA6FDD" w:rsidRPr="006B4730" w:rsidRDefault="00FA6FDD" w:rsidP="006E7460">
            <w:pPr>
              <w:pStyle w:val="BayerTableStyleLeftJustified"/>
              <w:spacing w:line="276" w:lineRule="auto"/>
              <w:rPr>
                <w:lang w:val="en-AU"/>
              </w:rPr>
            </w:pPr>
            <w:r w:rsidRPr="006B4730">
              <w:rPr>
                <w:lang w:val="en-AU"/>
              </w:rPr>
              <w:t>(7.7%) </w:t>
            </w:r>
          </w:p>
        </w:tc>
        <w:tc>
          <w:tcPr>
            <w:tcW w:w="1418" w:type="dxa"/>
            <w:vAlign w:val="center"/>
          </w:tcPr>
          <w:p w14:paraId="411833E3" w14:textId="77777777" w:rsidR="00FA6FDD" w:rsidRPr="006B4730" w:rsidRDefault="00FA6FDD" w:rsidP="006E7460">
            <w:pPr>
              <w:pStyle w:val="BayerTableStyleLeftJustified"/>
              <w:spacing w:line="276" w:lineRule="auto"/>
              <w:rPr>
                <w:lang w:val="en-AU"/>
              </w:rPr>
            </w:pPr>
            <w:r w:rsidRPr="006B4730">
              <w:rPr>
                <w:lang w:val="en-AU"/>
              </w:rPr>
              <w:t>2.90</w:t>
            </w:r>
          </w:p>
        </w:tc>
        <w:tc>
          <w:tcPr>
            <w:tcW w:w="1234" w:type="dxa"/>
            <w:vAlign w:val="center"/>
          </w:tcPr>
          <w:p w14:paraId="588B58DD" w14:textId="77777777" w:rsidR="00FA6FDD" w:rsidRPr="006B4730" w:rsidRDefault="00FA6FDD" w:rsidP="006E7460">
            <w:pPr>
              <w:pStyle w:val="BayerTableStyleLeftJustified"/>
              <w:spacing w:line="276" w:lineRule="auto"/>
              <w:rPr>
                <w:lang w:val="en-AU"/>
              </w:rPr>
            </w:pPr>
            <w:r w:rsidRPr="006B4730">
              <w:rPr>
                <w:lang w:val="en-AU"/>
              </w:rPr>
              <w:t>244 (8.6%) </w:t>
            </w:r>
          </w:p>
        </w:tc>
        <w:tc>
          <w:tcPr>
            <w:tcW w:w="1193" w:type="dxa"/>
            <w:vAlign w:val="center"/>
          </w:tcPr>
          <w:p w14:paraId="74DD0879" w14:textId="77777777" w:rsidR="00FA6FDD" w:rsidRPr="006B4730" w:rsidRDefault="00FA6FDD" w:rsidP="006E7460">
            <w:pPr>
              <w:pStyle w:val="BayerTableStyleLeftJustified"/>
              <w:spacing w:line="276" w:lineRule="auto"/>
              <w:rPr>
                <w:lang w:val="en-AU"/>
              </w:rPr>
            </w:pPr>
            <w:r w:rsidRPr="006B4730">
              <w:rPr>
                <w:lang w:val="en-AU"/>
              </w:rPr>
              <w:t>3.23</w:t>
            </w:r>
          </w:p>
        </w:tc>
        <w:tc>
          <w:tcPr>
            <w:tcW w:w="1266" w:type="dxa"/>
            <w:vAlign w:val="center"/>
          </w:tcPr>
          <w:p w14:paraId="5E9B0344"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 xml:space="preserve">0.90 </w:t>
            </w:r>
          </w:p>
          <w:p w14:paraId="7BD92489" w14:textId="77777777" w:rsidR="00FA6FDD" w:rsidRPr="006B4730" w:rsidRDefault="00FA6FDD" w:rsidP="006E7460">
            <w:pPr>
              <w:pStyle w:val="BayerTableStyleLeftJustified"/>
              <w:spacing w:line="276" w:lineRule="auto"/>
              <w:rPr>
                <w:lang w:val="en-AU"/>
              </w:rPr>
            </w:pPr>
            <w:r w:rsidRPr="006B4730">
              <w:rPr>
                <w:lang w:val="en-AU"/>
              </w:rPr>
              <w:t>[0.75; 1.07]</w:t>
            </w:r>
          </w:p>
        </w:tc>
        <w:tc>
          <w:tcPr>
            <w:tcW w:w="984" w:type="dxa"/>
            <w:vAlign w:val="center"/>
          </w:tcPr>
          <w:p w14:paraId="545B9DFE" w14:textId="77777777" w:rsidR="00FA6FDD" w:rsidRPr="006B4730" w:rsidRDefault="00FA6FDD" w:rsidP="006E7460">
            <w:pPr>
              <w:pStyle w:val="BayerTableStyleLeftJustified"/>
              <w:spacing w:line="276" w:lineRule="auto"/>
              <w:rPr>
                <w:lang w:val="en-AU"/>
              </w:rPr>
            </w:pPr>
            <w:r w:rsidRPr="006B4730">
              <w:rPr>
                <w:lang w:val="en-AU"/>
              </w:rPr>
              <w:t>0.2348**</w:t>
            </w:r>
          </w:p>
        </w:tc>
      </w:tr>
      <w:tr w:rsidR="00FA6FDD" w:rsidRPr="006B4730" w14:paraId="703D9B14" w14:textId="77777777" w:rsidTr="00FA21B0">
        <w:tc>
          <w:tcPr>
            <w:tcW w:w="2547" w:type="dxa"/>
          </w:tcPr>
          <w:p w14:paraId="1122C32C" w14:textId="5DAA0027" w:rsidR="00FA6FDD" w:rsidRPr="006B4730" w:rsidRDefault="00FA6FDD" w:rsidP="006E7460">
            <w:pPr>
              <w:pStyle w:val="BayerTableStyleLeftJustified"/>
              <w:keepNext w:val="0"/>
              <w:spacing w:line="276" w:lineRule="auto"/>
              <w:rPr>
                <w:lang w:val="en-AU"/>
              </w:rPr>
            </w:pPr>
            <w:r w:rsidRPr="006B4730">
              <w:rPr>
                <w:lang w:val="en-AU"/>
              </w:rPr>
              <w:t>All-cause hospitali</w:t>
            </w:r>
            <w:r w:rsidR="00E6662E">
              <w:rPr>
                <w:lang w:val="en-AU"/>
              </w:rPr>
              <w:t>s</w:t>
            </w:r>
            <w:r w:rsidRPr="006B4730">
              <w:rPr>
                <w:lang w:val="en-AU"/>
              </w:rPr>
              <w:t>ation</w:t>
            </w:r>
          </w:p>
        </w:tc>
        <w:tc>
          <w:tcPr>
            <w:tcW w:w="992" w:type="dxa"/>
            <w:vAlign w:val="center"/>
          </w:tcPr>
          <w:p w14:paraId="066E9CFE" w14:textId="77777777" w:rsidR="00FA21B0" w:rsidRPr="006B4730" w:rsidRDefault="00FA6FDD" w:rsidP="006E7460">
            <w:pPr>
              <w:pStyle w:val="BayerTableStyleLeftJustified"/>
              <w:spacing w:line="276" w:lineRule="auto"/>
              <w:rPr>
                <w:lang w:val="en-AU"/>
              </w:rPr>
            </w:pPr>
            <w:r w:rsidRPr="006B4730">
              <w:rPr>
                <w:lang w:val="en-AU"/>
              </w:rPr>
              <w:t>1263 </w:t>
            </w:r>
          </w:p>
          <w:p w14:paraId="7DA618B7" w14:textId="1C8A731B" w:rsidR="00FA6FDD" w:rsidRPr="006B4730" w:rsidRDefault="00FA6FDD" w:rsidP="006E7460">
            <w:pPr>
              <w:pStyle w:val="BayerTableStyleLeftJustified"/>
              <w:spacing w:line="276" w:lineRule="auto"/>
              <w:rPr>
                <w:lang w:val="en-AU"/>
              </w:rPr>
            </w:pPr>
            <w:r w:rsidRPr="006B4730">
              <w:rPr>
                <w:lang w:val="en-AU"/>
              </w:rPr>
              <w:t>(44.6%)</w:t>
            </w:r>
          </w:p>
        </w:tc>
        <w:tc>
          <w:tcPr>
            <w:tcW w:w="1418" w:type="dxa"/>
            <w:vAlign w:val="center"/>
          </w:tcPr>
          <w:p w14:paraId="680F2B59" w14:textId="77777777" w:rsidR="00FA6FDD" w:rsidRPr="006B4730" w:rsidRDefault="00FA6FDD" w:rsidP="006E7460">
            <w:pPr>
              <w:pStyle w:val="BayerTableStyleLeftJustified"/>
              <w:spacing w:line="276" w:lineRule="auto"/>
              <w:rPr>
                <w:lang w:val="en-AU"/>
              </w:rPr>
            </w:pPr>
            <w:r w:rsidRPr="006B4730">
              <w:rPr>
                <w:lang w:val="en-AU"/>
              </w:rPr>
              <w:t>22.56 </w:t>
            </w:r>
          </w:p>
        </w:tc>
        <w:tc>
          <w:tcPr>
            <w:tcW w:w="1234" w:type="dxa"/>
            <w:vAlign w:val="center"/>
          </w:tcPr>
          <w:p w14:paraId="437B2A36" w14:textId="77777777" w:rsidR="00FA21B0" w:rsidRPr="006B4730" w:rsidRDefault="00FA6FDD" w:rsidP="006E7460">
            <w:pPr>
              <w:pStyle w:val="BayerTableStyleLeftJustified"/>
              <w:spacing w:line="276" w:lineRule="auto"/>
              <w:rPr>
                <w:lang w:val="en-AU"/>
              </w:rPr>
            </w:pPr>
            <w:r w:rsidRPr="006B4730">
              <w:rPr>
                <w:lang w:val="en-AU"/>
              </w:rPr>
              <w:t>1321 </w:t>
            </w:r>
          </w:p>
          <w:p w14:paraId="28FEF3BD" w14:textId="116DFC77" w:rsidR="00FA6FDD" w:rsidRPr="006B4730" w:rsidRDefault="00FA6FDD" w:rsidP="006E7460">
            <w:pPr>
              <w:pStyle w:val="BayerTableStyleLeftJustified"/>
              <w:spacing w:line="276" w:lineRule="auto"/>
              <w:rPr>
                <w:lang w:val="en-AU"/>
              </w:rPr>
            </w:pPr>
            <w:r w:rsidRPr="006B4730">
              <w:rPr>
                <w:lang w:val="en-AU"/>
              </w:rPr>
              <w:t>(46.5%)</w:t>
            </w:r>
          </w:p>
        </w:tc>
        <w:tc>
          <w:tcPr>
            <w:tcW w:w="1193" w:type="dxa"/>
            <w:vAlign w:val="center"/>
          </w:tcPr>
          <w:p w14:paraId="57D95D8B" w14:textId="77777777" w:rsidR="00FA6FDD" w:rsidRPr="006B4730" w:rsidRDefault="00FA6FDD" w:rsidP="006E7460">
            <w:pPr>
              <w:pStyle w:val="BayerTableStyleLeftJustified"/>
              <w:spacing w:line="276" w:lineRule="auto"/>
              <w:rPr>
                <w:lang w:val="en-AU"/>
              </w:rPr>
            </w:pPr>
            <w:r w:rsidRPr="006B4730">
              <w:rPr>
                <w:lang w:val="en-AU"/>
              </w:rPr>
              <w:t>23.87</w:t>
            </w:r>
          </w:p>
        </w:tc>
        <w:tc>
          <w:tcPr>
            <w:tcW w:w="1266" w:type="dxa"/>
            <w:vAlign w:val="center"/>
          </w:tcPr>
          <w:p w14:paraId="48E68D10"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0.95</w:t>
            </w:r>
          </w:p>
          <w:p w14:paraId="4FBE8A69" w14:textId="77777777" w:rsidR="00FA6FDD" w:rsidRPr="006B4730" w:rsidRDefault="00FA6FDD" w:rsidP="006E7460">
            <w:pPr>
              <w:pStyle w:val="BayerTableStyleLeftJustified"/>
              <w:spacing w:line="276" w:lineRule="auto"/>
              <w:rPr>
                <w:lang w:val="en-AU"/>
              </w:rPr>
            </w:pPr>
            <w:r w:rsidRPr="006B4730">
              <w:rPr>
                <w:lang w:val="en-AU"/>
              </w:rPr>
              <w:t>[0.88; 1.02]</w:t>
            </w:r>
          </w:p>
        </w:tc>
        <w:tc>
          <w:tcPr>
            <w:tcW w:w="984" w:type="dxa"/>
            <w:vAlign w:val="center"/>
          </w:tcPr>
          <w:p w14:paraId="5BD0B1B0" w14:textId="77777777" w:rsidR="00FA6FDD" w:rsidRPr="006B4730" w:rsidRDefault="00FA6FDD" w:rsidP="006E7460">
            <w:pPr>
              <w:pStyle w:val="BayerTableStyleLeftJustified"/>
              <w:spacing w:line="276" w:lineRule="auto"/>
              <w:rPr>
                <w:lang w:val="en-AU"/>
              </w:rPr>
            </w:pPr>
            <w:r w:rsidRPr="006B4730">
              <w:rPr>
                <w:lang w:val="en-AU"/>
              </w:rPr>
              <w:t>-</w:t>
            </w:r>
          </w:p>
        </w:tc>
      </w:tr>
      <w:tr w:rsidR="00FA6FDD" w:rsidRPr="006B4730" w14:paraId="6C555CA0" w14:textId="77777777" w:rsidTr="00FA21B0">
        <w:tc>
          <w:tcPr>
            <w:tcW w:w="2547" w:type="dxa"/>
          </w:tcPr>
          <w:p w14:paraId="06734EEC" w14:textId="77777777" w:rsidR="00FA6FDD" w:rsidRPr="006B4730" w:rsidRDefault="00FA6FDD" w:rsidP="006E7460">
            <w:pPr>
              <w:pStyle w:val="BayerTableStyleLeftJustified"/>
              <w:keepNext w:val="0"/>
              <w:spacing w:line="276" w:lineRule="auto"/>
              <w:rPr>
                <w:lang w:val="en-AU"/>
              </w:rPr>
            </w:pPr>
            <w:r w:rsidRPr="006B4730">
              <w:rPr>
                <w:lang w:val="en-AU"/>
              </w:rPr>
              <w:t>Kidney failure, sustained eGFR decline ≥ 57% or renal death</w:t>
            </w:r>
          </w:p>
        </w:tc>
        <w:tc>
          <w:tcPr>
            <w:tcW w:w="992" w:type="dxa"/>
            <w:vAlign w:val="center"/>
          </w:tcPr>
          <w:p w14:paraId="1E8E3610" w14:textId="77777777" w:rsidR="00FA21B0" w:rsidRPr="006B4730" w:rsidRDefault="00FA6FDD" w:rsidP="006E7460">
            <w:pPr>
              <w:pStyle w:val="BayerTableStyleLeftJustified"/>
              <w:spacing w:line="276" w:lineRule="auto"/>
              <w:rPr>
                <w:lang w:val="en-AU"/>
              </w:rPr>
            </w:pPr>
            <w:r w:rsidRPr="006B4730">
              <w:rPr>
                <w:lang w:val="en-AU"/>
              </w:rPr>
              <w:t>252 </w:t>
            </w:r>
          </w:p>
          <w:p w14:paraId="10A76291" w14:textId="5C896901" w:rsidR="00FA6FDD" w:rsidRPr="006B4730" w:rsidRDefault="00FA6FDD" w:rsidP="006E7460">
            <w:pPr>
              <w:pStyle w:val="BayerTableStyleLeftJustified"/>
              <w:spacing w:line="276" w:lineRule="auto"/>
              <w:rPr>
                <w:lang w:val="en-AU"/>
              </w:rPr>
            </w:pPr>
            <w:r w:rsidRPr="006B4730">
              <w:rPr>
                <w:lang w:val="en-AU"/>
              </w:rPr>
              <w:t>(8.9%) </w:t>
            </w:r>
          </w:p>
        </w:tc>
        <w:tc>
          <w:tcPr>
            <w:tcW w:w="1418" w:type="dxa"/>
            <w:vAlign w:val="center"/>
          </w:tcPr>
          <w:p w14:paraId="007D1C50" w14:textId="77777777" w:rsidR="00FA6FDD" w:rsidRPr="006B4730" w:rsidRDefault="00FA6FDD" w:rsidP="006E7460">
            <w:pPr>
              <w:pStyle w:val="BayerTableStyleLeftJustified"/>
              <w:spacing w:line="276" w:lineRule="auto"/>
              <w:rPr>
                <w:lang w:val="en-AU"/>
              </w:rPr>
            </w:pPr>
            <w:r w:rsidRPr="006B4730">
              <w:rPr>
                <w:lang w:val="en-AU"/>
              </w:rPr>
              <w:t>3.64</w:t>
            </w:r>
          </w:p>
        </w:tc>
        <w:tc>
          <w:tcPr>
            <w:tcW w:w="1234" w:type="dxa"/>
            <w:vAlign w:val="center"/>
          </w:tcPr>
          <w:p w14:paraId="4CBD269B" w14:textId="77777777" w:rsidR="00FA21B0" w:rsidRPr="006B4730" w:rsidRDefault="00FA6FDD" w:rsidP="006E7460">
            <w:pPr>
              <w:pStyle w:val="BayerTableStyleLeftJustified"/>
              <w:spacing w:line="276" w:lineRule="auto"/>
              <w:rPr>
                <w:lang w:val="en-AU"/>
              </w:rPr>
            </w:pPr>
            <w:r w:rsidRPr="006B4730">
              <w:rPr>
                <w:lang w:val="en-AU"/>
              </w:rPr>
              <w:t>326 </w:t>
            </w:r>
          </w:p>
          <w:p w14:paraId="5AB3CF0D" w14:textId="670F304F" w:rsidR="00FA6FDD" w:rsidRPr="006B4730" w:rsidRDefault="00FA6FDD" w:rsidP="006E7460">
            <w:pPr>
              <w:pStyle w:val="BayerTableStyleLeftJustified"/>
              <w:spacing w:line="276" w:lineRule="auto"/>
              <w:rPr>
                <w:lang w:val="en-AU"/>
              </w:rPr>
            </w:pPr>
            <w:r w:rsidRPr="006B4730">
              <w:rPr>
                <w:lang w:val="en-AU"/>
              </w:rPr>
              <w:t>(11.5%) </w:t>
            </w:r>
          </w:p>
        </w:tc>
        <w:tc>
          <w:tcPr>
            <w:tcW w:w="1193" w:type="dxa"/>
            <w:vAlign w:val="center"/>
          </w:tcPr>
          <w:p w14:paraId="3F1B0316" w14:textId="77777777" w:rsidR="00FA6FDD" w:rsidRPr="006B4730" w:rsidRDefault="00FA6FDD" w:rsidP="006E7460">
            <w:pPr>
              <w:pStyle w:val="BayerTableStyleLeftJustified"/>
              <w:spacing w:line="276" w:lineRule="auto"/>
              <w:rPr>
                <w:lang w:val="en-AU"/>
              </w:rPr>
            </w:pPr>
            <w:r w:rsidRPr="006B4730">
              <w:rPr>
                <w:lang w:val="en-AU"/>
              </w:rPr>
              <w:t>4.74 </w:t>
            </w:r>
          </w:p>
        </w:tc>
        <w:tc>
          <w:tcPr>
            <w:tcW w:w="1266" w:type="dxa"/>
            <w:vAlign w:val="center"/>
          </w:tcPr>
          <w:p w14:paraId="0A522E60" w14:textId="77777777" w:rsidR="00FA6FDD" w:rsidRPr="006B4730" w:rsidRDefault="00FA6FDD" w:rsidP="006E7460">
            <w:pPr>
              <w:pStyle w:val="NormalWeb"/>
              <w:spacing w:line="276" w:lineRule="auto"/>
              <w:rPr>
                <w:sz w:val="20"/>
                <w:szCs w:val="20"/>
                <w:lang w:eastAsia="en-US"/>
              </w:rPr>
            </w:pPr>
            <w:r w:rsidRPr="006B4730">
              <w:rPr>
                <w:sz w:val="20"/>
                <w:szCs w:val="20"/>
                <w:lang w:eastAsia="en-US"/>
              </w:rPr>
              <w:t xml:space="preserve">0.76 </w:t>
            </w:r>
          </w:p>
          <w:p w14:paraId="0DC9C204" w14:textId="77777777" w:rsidR="00FA6FDD" w:rsidRPr="006B4730" w:rsidRDefault="00FA6FDD" w:rsidP="006E7460">
            <w:pPr>
              <w:pStyle w:val="BayerTableStyleLeftJustified"/>
              <w:spacing w:line="276" w:lineRule="auto"/>
              <w:rPr>
                <w:lang w:val="en-AU"/>
              </w:rPr>
            </w:pPr>
            <w:r w:rsidRPr="006B4730">
              <w:rPr>
                <w:lang w:val="en-AU"/>
              </w:rPr>
              <w:t>[0.65; 0.90]</w:t>
            </w:r>
          </w:p>
        </w:tc>
        <w:tc>
          <w:tcPr>
            <w:tcW w:w="984" w:type="dxa"/>
            <w:vAlign w:val="center"/>
          </w:tcPr>
          <w:p w14:paraId="1024BC38" w14:textId="77777777" w:rsidR="00FA6FDD" w:rsidRPr="006B4730" w:rsidRDefault="00FA6FDD" w:rsidP="006E7460">
            <w:pPr>
              <w:pStyle w:val="BayerTableStyleLeftJustified"/>
              <w:spacing w:line="276" w:lineRule="auto"/>
              <w:rPr>
                <w:lang w:val="en-AU"/>
              </w:rPr>
            </w:pPr>
            <w:r w:rsidRPr="006B4730">
              <w:rPr>
                <w:lang w:val="en-AU"/>
              </w:rPr>
              <w:t>-</w:t>
            </w:r>
          </w:p>
        </w:tc>
      </w:tr>
    </w:tbl>
    <w:p w14:paraId="21CF4D61" w14:textId="77777777" w:rsidR="00FA6FDD" w:rsidRPr="00C8651C" w:rsidRDefault="00FA6FDD" w:rsidP="006E7460">
      <w:pPr>
        <w:pStyle w:val="CommentText"/>
        <w:jc w:val="left"/>
        <w:rPr>
          <w:rFonts w:ascii="Arial" w:hAnsi="Arial"/>
          <w:szCs w:val="24"/>
        </w:rPr>
      </w:pPr>
      <w:r w:rsidRPr="00C8651C">
        <w:rPr>
          <w:rFonts w:ascii="Arial" w:hAnsi="Arial"/>
          <w:i/>
          <w:szCs w:val="24"/>
        </w:rPr>
        <w:lastRenderedPageBreak/>
        <w:t>*</w:t>
      </w:r>
      <w:r w:rsidRPr="00C8651C">
        <w:rPr>
          <w:rFonts w:ascii="Arial" w:hAnsi="Arial"/>
          <w:szCs w:val="24"/>
        </w:rPr>
        <w:t xml:space="preserve"> Treatment in addition to maximum tolerated labeled doses of </w:t>
      </w:r>
      <w:r w:rsidRPr="00C8651C">
        <w:rPr>
          <w:rFonts w:ascii="Arial" w:hAnsi="Arial"/>
        </w:rPr>
        <w:t>ACEi or ARB.</w:t>
      </w:r>
    </w:p>
    <w:p w14:paraId="28D84168" w14:textId="77777777" w:rsidR="00FA6FDD" w:rsidRPr="00C8651C" w:rsidRDefault="00FA6FDD" w:rsidP="006E7460">
      <w:pPr>
        <w:pStyle w:val="CommentText"/>
        <w:jc w:val="left"/>
        <w:rPr>
          <w:rFonts w:ascii="Arial" w:hAnsi="Arial"/>
          <w:szCs w:val="24"/>
        </w:rPr>
      </w:pPr>
      <w:r w:rsidRPr="00C8651C">
        <w:rPr>
          <w:rFonts w:ascii="Arial" w:hAnsi="Arial"/>
        </w:rPr>
        <w:t>** Not significant</w:t>
      </w:r>
    </w:p>
    <w:p w14:paraId="0CAAD8D5" w14:textId="77777777" w:rsidR="00FA6FDD" w:rsidRPr="006B4730" w:rsidRDefault="00FA6FDD" w:rsidP="006E7460">
      <w:pPr>
        <w:pStyle w:val="Caption"/>
        <w:ind w:left="0"/>
      </w:pPr>
      <w:r w:rsidRPr="006B4730">
        <w:t>Figure 1: Time to first occurrence of kidney failure, sustained decline in eGFR ≥40% from baseline, or renal death in the FIDELIO-DKD study</w:t>
      </w:r>
    </w:p>
    <w:p w14:paraId="0450FDD3" w14:textId="77777777" w:rsidR="00735131" w:rsidRPr="006B4730" w:rsidRDefault="00FA6FDD" w:rsidP="006E7460">
      <w:pPr>
        <w:jc w:val="left"/>
        <w:rPr>
          <w:rStyle w:val="CaptionChar"/>
          <w:sz w:val="20"/>
        </w:rPr>
      </w:pPr>
      <w:r w:rsidRPr="006B4730">
        <w:rPr>
          <w:noProof/>
          <w:lang w:eastAsia="de-DE"/>
        </w:rPr>
        <w:drawing>
          <wp:inline distT="0" distB="0" distL="0" distR="0" wp14:anchorId="30A2D132" wp14:editId="714044DA">
            <wp:extent cx="5759450" cy="3368294"/>
            <wp:effectExtent l="133350" t="133350" r="127000" b="137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3368294"/>
                    </a:xfrm>
                    <a:prstGeom prst="rect">
                      <a:avLst/>
                    </a:prstGeom>
                    <a:effectLst>
                      <a:glow rad="127000">
                        <a:schemeClr val="bg1">
                          <a:lumMod val="65000"/>
                        </a:schemeClr>
                      </a:glow>
                    </a:effectLst>
                  </pic:spPr>
                </pic:pic>
              </a:graphicData>
            </a:graphic>
          </wp:inline>
        </w:drawing>
      </w:r>
    </w:p>
    <w:p w14:paraId="33491EB6" w14:textId="77777777" w:rsidR="00735131" w:rsidRPr="006B4730" w:rsidRDefault="00735131" w:rsidP="006E7460">
      <w:pPr>
        <w:jc w:val="left"/>
        <w:rPr>
          <w:rStyle w:val="CaptionChar"/>
          <w:sz w:val="20"/>
        </w:rPr>
      </w:pPr>
    </w:p>
    <w:p w14:paraId="114D0F37" w14:textId="5DD4B407" w:rsidR="00FA6FDD" w:rsidRPr="006B4730" w:rsidRDefault="00FA6FDD" w:rsidP="006E7460">
      <w:pPr>
        <w:pageBreakBefore/>
        <w:jc w:val="left"/>
        <w:rPr>
          <w:rStyle w:val="CaptionChar"/>
          <w:szCs w:val="24"/>
        </w:rPr>
      </w:pPr>
      <w:r w:rsidRPr="006B4730">
        <w:rPr>
          <w:rStyle w:val="CaptionChar"/>
          <w:szCs w:val="24"/>
        </w:rPr>
        <w:lastRenderedPageBreak/>
        <w:t>Figure 2: Time to first occurrence of CV death, non-fatal myocardial infarction, non-fatal stroke or hospitali</w:t>
      </w:r>
      <w:r w:rsidR="006E6F3C">
        <w:rPr>
          <w:rStyle w:val="CaptionChar"/>
          <w:szCs w:val="24"/>
        </w:rPr>
        <w:t>s</w:t>
      </w:r>
      <w:r w:rsidRPr="006B4730">
        <w:rPr>
          <w:rStyle w:val="CaptionChar"/>
          <w:szCs w:val="24"/>
        </w:rPr>
        <w:t>ation for heart failure in the FIDELIO-DKD study</w:t>
      </w:r>
    </w:p>
    <w:p w14:paraId="1B5334D7" w14:textId="5C0F489F" w:rsidR="007F7347" w:rsidRPr="006B4730" w:rsidRDefault="007F7347" w:rsidP="006E7460">
      <w:pPr>
        <w:jc w:val="left"/>
        <w:rPr>
          <w:highlight w:val="lightGray"/>
        </w:rPr>
      </w:pPr>
      <w:r w:rsidRPr="006B4730">
        <w:rPr>
          <w:noProof/>
          <w:lang w:eastAsia="de-DE"/>
        </w:rPr>
        <w:drawing>
          <wp:inline distT="0" distB="0" distL="0" distR="0" wp14:anchorId="5161EF27" wp14:editId="35207A85">
            <wp:extent cx="5759450" cy="3168313"/>
            <wp:effectExtent l="133350" t="133350" r="127000" b="127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168313"/>
                    </a:xfrm>
                    <a:prstGeom prst="rect">
                      <a:avLst/>
                    </a:prstGeom>
                    <a:effectLst>
                      <a:glow rad="127000">
                        <a:schemeClr val="bg1">
                          <a:lumMod val="65000"/>
                        </a:schemeClr>
                      </a:glow>
                    </a:effectLst>
                  </pic:spPr>
                </pic:pic>
              </a:graphicData>
            </a:graphic>
          </wp:inline>
        </w:drawing>
      </w:r>
    </w:p>
    <w:p w14:paraId="4EDEFBD6" w14:textId="77777777" w:rsidR="001A3992" w:rsidRPr="006B4730" w:rsidRDefault="00713DF2" w:rsidP="006E7460">
      <w:pPr>
        <w:pStyle w:val="Heading1"/>
        <w:numPr>
          <w:ilvl w:val="0"/>
          <w:numId w:val="0"/>
        </w:numPr>
        <w:ind w:left="432" w:hanging="432"/>
        <w:jc w:val="left"/>
      </w:pPr>
      <w:bookmarkStart w:id="24" w:name="_Ref88419060"/>
      <w:r w:rsidRPr="006B4730">
        <w:t xml:space="preserve">5.2 </w:t>
      </w:r>
      <w:r w:rsidR="001A3992" w:rsidRPr="006B4730">
        <w:t>Pharmacokinetic properties</w:t>
      </w:r>
      <w:bookmarkEnd w:id="24"/>
      <w:r w:rsidR="001A3992" w:rsidRPr="006B4730">
        <w:t xml:space="preserve"> </w:t>
      </w:r>
    </w:p>
    <w:p w14:paraId="21B0AA65" w14:textId="440B64E8" w:rsidR="00FA6FDD" w:rsidRPr="006B4730" w:rsidRDefault="00FA6FDD" w:rsidP="006E7460">
      <w:pPr>
        <w:jc w:val="left"/>
      </w:pPr>
      <w:r w:rsidRPr="006B4730">
        <w:t>The concentration-effect relationship over time for UACR was characteri</w:t>
      </w:r>
      <w:r w:rsidR="00583545">
        <w:t>s</w:t>
      </w:r>
      <w:r w:rsidRPr="006B4730">
        <w:t xml:space="preserve">ed by a maximum effect model indicating saturation at high exposures. The model-predicted time to reach the full (99%) steady-state drug effect on UACR was 138 days. The pharmacokinetic (PK) half-life was 2-3 hours and PK steady state was achieved after 2 days, indicating timescale separation. </w:t>
      </w:r>
    </w:p>
    <w:p w14:paraId="6E532577" w14:textId="77777777" w:rsidR="00B43E78" w:rsidRPr="006B4730" w:rsidRDefault="00B43E78" w:rsidP="006E7460">
      <w:pPr>
        <w:jc w:val="left"/>
      </w:pPr>
    </w:p>
    <w:p w14:paraId="782B671D" w14:textId="2D6E049B" w:rsidR="001A3992" w:rsidRPr="006B4730" w:rsidRDefault="001A3992" w:rsidP="006E7460">
      <w:pPr>
        <w:pStyle w:val="Heading3"/>
        <w:jc w:val="left"/>
      </w:pPr>
      <w:r w:rsidRPr="006B4730">
        <w:t>Absorption</w:t>
      </w:r>
      <w:r w:rsidR="00677840" w:rsidRPr="006B4730">
        <w:t xml:space="preserve"> </w:t>
      </w:r>
    </w:p>
    <w:p w14:paraId="3FE47051" w14:textId="0CC3984A" w:rsidR="00FA6FDD" w:rsidRPr="006B4730" w:rsidRDefault="00FA6FDD" w:rsidP="006E7460">
      <w:pPr>
        <w:jc w:val="left"/>
      </w:pPr>
      <w:r w:rsidRPr="006B4730">
        <w:t>Finerenone is almost completely absorbed after oral administration. Absorption is rapid with maximum plasma concentrations (C</w:t>
      </w:r>
      <w:r w:rsidRPr="006B4730">
        <w:rPr>
          <w:vertAlign w:val="subscript"/>
        </w:rPr>
        <w:t>max</w:t>
      </w:r>
      <w:r w:rsidRPr="006B4730">
        <w:t xml:space="preserve">) appearing between 0.5 and 1.25 hours after tablet intake in the fasted state. The absolute bioavailability of finerenone is 43.5% due to first-pass metabolism in the gut-wall and liver. Finerenone is not a substrate of the efflux transporter P-gp </w:t>
      </w:r>
      <w:r w:rsidRPr="006B4730">
        <w:rPr>
          <w:i/>
        </w:rPr>
        <w:t>in vivo</w:t>
      </w:r>
      <w:r w:rsidRPr="006B4730">
        <w:t>. Intake with high fat, high calorie food increased finerenone AUC by 21%, reduced C</w:t>
      </w:r>
      <w:r w:rsidRPr="006B4730">
        <w:rPr>
          <w:vertAlign w:val="subscript"/>
        </w:rPr>
        <w:t>max</w:t>
      </w:r>
      <w:r w:rsidRPr="006B4730">
        <w:t xml:space="preserve"> by 19% and prolonged the time to reach C</w:t>
      </w:r>
      <w:r w:rsidRPr="006B4730">
        <w:rPr>
          <w:vertAlign w:val="subscript"/>
        </w:rPr>
        <w:t>max</w:t>
      </w:r>
      <w:r w:rsidRPr="006B4730">
        <w:t xml:space="preserve"> to 2.5 hours. This is not clinically relevant. Therefore, finerenone can be taken with or without food </w:t>
      </w:r>
      <w:r w:rsidRPr="0009165D">
        <w:rPr>
          <w:iCs/>
        </w:rPr>
        <w:t xml:space="preserve">(see </w:t>
      </w:r>
      <w:r w:rsidR="00B15C94" w:rsidRPr="0009165D">
        <w:rPr>
          <w:iCs/>
        </w:rPr>
        <w:t>Section</w:t>
      </w:r>
      <w:r w:rsidR="0009165D">
        <w:rPr>
          <w:iCs/>
        </w:rPr>
        <w:t xml:space="preserve"> </w:t>
      </w:r>
      <w:r w:rsidR="00812E97">
        <w:rPr>
          <w:iCs/>
        </w:rPr>
        <w:fldChar w:fldCharType="begin"/>
      </w:r>
      <w:r w:rsidR="00812E97">
        <w:rPr>
          <w:iCs/>
        </w:rPr>
        <w:instrText xml:space="preserve"> REF  _Ref79419993 \* Upper \h </w:instrText>
      </w:r>
      <w:r w:rsidR="00812E97">
        <w:rPr>
          <w:iCs/>
        </w:rPr>
      </w:r>
      <w:r w:rsidR="006E7460">
        <w:rPr>
          <w:iCs/>
        </w:rPr>
        <w:instrText xml:space="preserve"> \* MERGEFORMAT </w:instrText>
      </w:r>
      <w:r w:rsidR="00812E97">
        <w:rPr>
          <w:iCs/>
        </w:rPr>
        <w:fldChar w:fldCharType="separate"/>
      </w:r>
      <w:r w:rsidR="00812E97" w:rsidRPr="006B4730">
        <w:t>4.2 DOSE AND METHOD OF ADMINISTRATION</w:t>
      </w:r>
      <w:r w:rsidR="00812E97">
        <w:rPr>
          <w:iCs/>
        </w:rPr>
        <w:fldChar w:fldCharType="end"/>
      </w:r>
      <w:r w:rsidRPr="0009165D">
        <w:rPr>
          <w:iCs/>
        </w:rPr>
        <w:t>)</w:t>
      </w:r>
      <w:r w:rsidRPr="006B4730">
        <w:t>.</w:t>
      </w:r>
    </w:p>
    <w:p w14:paraId="426592D1" w14:textId="2FA0DA10" w:rsidR="001A3992" w:rsidRPr="006B4730" w:rsidRDefault="001A3992" w:rsidP="006E7460">
      <w:pPr>
        <w:pStyle w:val="Heading3"/>
        <w:jc w:val="left"/>
      </w:pPr>
      <w:r w:rsidRPr="006B4730">
        <w:t>Distribution</w:t>
      </w:r>
      <w:r w:rsidR="00677840" w:rsidRPr="006B4730">
        <w:t xml:space="preserve"> </w:t>
      </w:r>
    </w:p>
    <w:p w14:paraId="5FBEF240" w14:textId="15FEF78E" w:rsidR="00FA6FDD" w:rsidRPr="006B4730" w:rsidRDefault="00FA6FDD" w:rsidP="006E7460">
      <w:pPr>
        <w:jc w:val="left"/>
      </w:pPr>
      <w:r w:rsidRPr="006B4730">
        <w:t>The volume of distribution at steady state (V</w:t>
      </w:r>
      <w:r w:rsidRPr="006B4730">
        <w:rPr>
          <w:vertAlign w:val="subscript"/>
        </w:rPr>
        <w:t>ss</w:t>
      </w:r>
      <w:r w:rsidRPr="006B4730">
        <w:t xml:space="preserve">) of finerenone is 52.6 L. The human plasma protein binding of finerenone </w:t>
      </w:r>
      <w:r w:rsidRPr="006B4730">
        <w:rPr>
          <w:i/>
        </w:rPr>
        <w:t>in vitro</w:t>
      </w:r>
      <w:r w:rsidRPr="006B4730">
        <w:t xml:space="preserve"> is 91.7%, with serum albumin being the main binding protein.</w:t>
      </w:r>
    </w:p>
    <w:p w14:paraId="160487A9" w14:textId="6B496D08" w:rsidR="001A3992" w:rsidRPr="006B4730" w:rsidRDefault="001A3992" w:rsidP="006E7460">
      <w:pPr>
        <w:pStyle w:val="Heading3"/>
        <w:jc w:val="left"/>
      </w:pPr>
      <w:r w:rsidRPr="006B4730">
        <w:t>Metabolism</w:t>
      </w:r>
      <w:r w:rsidR="00677840" w:rsidRPr="006B4730">
        <w:t xml:space="preserve"> </w:t>
      </w:r>
    </w:p>
    <w:p w14:paraId="67A4C67A" w14:textId="716BBC21" w:rsidR="00FA6FDD" w:rsidRPr="006B4730" w:rsidRDefault="00FA6FDD" w:rsidP="006E7460">
      <w:pPr>
        <w:jc w:val="left"/>
      </w:pPr>
      <w:r w:rsidRPr="006B4730">
        <w:t xml:space="preserve">Approximately 90% of finerenone metabolism is mediated by CYP3A4 and 10% by CYP2C8. Four major metabolites were found in plasma, resulting from oxidation of the dihydropyridine moiety to a pyridine (M1a, M1b), subsequent hydroxylation of a methyl group (M2a) and formation of a carboxyl function (M3a). All metabolites are pharmacologically inactive. </w:t>
      </w:r>
    </w:p>
    <w:p w14:paraId="79FE2872" w14:textId="59428CE2" w:rsidR="001A3992" w:rsidRPr="006B4730" w:rsidRDefault="001A3992" w:rsidP="006E7460">
      <w:pPr>
        <w:pStyle w:val="Heading3"/>
        <w:jc w:val="left"/>
      </w:pPr>
      <w:r w:rsidRPr="006B4730">
        <w:lastRenderedPageBreak/>
        <w:t>Excretion</w:t>
      </w:r>
      <w:r w:rsidR="00677840" w:rsidRPr="006B4730">
        <w:t xml:space="preserve"> </w:t>
      </w:r>
    </w:p>
    <w:p w14:paraId="4DC8152A" w14:textId="1DB0E901" w:rsidR="00FA6FDD" w:rsidRPr="006B4730" w:rsidRDefault="00FA6FDD" w:rsidP="006E7460">
      <w:pPr>
        <w:jc w:val="left"/>
      </w:pPr>
      <w:r w:rsidRPr="006B4730">
        <w:t>The elimination of finerenone from plasma is rapid with an elimination half-life (t</w:t>
      </w:r>
      <w:r w:rsidRPr="006B4730">
        <w:rPr>
          <w:vertAlign w:val="subscript"/>
        </w:rPr>
        <w:t>1/2</w:t>
      </w:r>
      <w:r w:rsidRPr="006B4730">
        <w:t>) of about 2 to 3 hours. Excretion of unchanged finerenone represents a minor route (&lt;1% of dose in the urine due to glomerular filtration, &lt; 0.2% in the f</w:t>
      </w:r>
      <w:r w:rsidR="00735131" w:rsidRPr="006B4730">
        <w:t>ae</w:t>
      </w:r>
      <w:r w:rsidRPr="006B4730">
        <w:t>ces). About 80% of the administered dose was excreted via urine and approximately 20% of the dose was excreted via f</w:t>
      </w:r>
      <w:r w:rsidR="00735131" w:rsidRPr="006B4730">
        <w:t>a</w:t>
      </w:r>
      <w:r w:rsidRPr="006B4730">
        <w:t xml:space="preserve">eces, almost exclusively in the form of metabolites. With a systemic blood clearance of about 25 L/h, finerenone can be classified as a low clearance drug. </w:t>
      </w:r>
    </w:p>
    <w:p w14:paraId="1C10F53D" w14:textId="116D6D4F" w:rsidR="004A3697" w:rsidRPr="006B4730" w:rsidRDefault="004A3697" w:rsidP="006E7460">
      <w:pPr>
        <w:jc w:val="left"/>
      </w:pPr>
    </w:p>
    <w:p w14:paraId="2E0731CA" w14:textId="22702EBC" w:rsidR="00E342A7" w:rsidRPr="006B4730" w:rsidRDefault="00E342A7" w:rsidP="006E7460">
      <w:pPr>
        <w:pStyle w:val="Heading3"/>
        <w:jc w:val="left"/>
      </w:pPr>
      <w:r w:rsidRPr="006B4730">
        <w:t>Special populations</w:t>
      </w:r>
    </w:p>
    <w:p w14:paraId="375F0C5F" w14:textId="682C4359" w:rsidR="00E342A7" w:rsidRPr="006B4730" w:rsidRDefault="00E342A7" w:rsidP="006E7460">
      <w:pPr>
        <w:pStyle w:val="Heading4"/>
        <w:jc w:val="left"/>
        <w:rPr>
          <w:lang w:val="en-AU"/>
        </w:rPr>
      </w:pPr>
      <w:r w:rsidRPr="006B4730">
        <w:rPr>
          <w:lang w:val="en-AU"/>
        </w:rPr>
        <w:t>Patients with renal impairment</w:t>
      </w:r>
    </w:p>
    <w:p w14:paraId="546A5A00" w14:textId="46B615D7" w:rsidR="00E342A7" w:rsidRPr="006B4730" w:rsidRDefault="00E342A7" w:rsidP="006E7460">
      <w:pPr>
        <w:jc w:val="left"/>
      </w:pPr>
      <w:r w:rsidRPr="006B4730">
        <w:t>Mild renal impairment (CLCR 60 - &lt; 90 mL/min) did not affect finerenone AUC and C</w:t>
      </w:r>
      <w:r w:rsidRPr="006B4730">
        <w:rPr>
          <w:vertAlign w:val="subscript"/>
        </w:rPr>
        <w:t>max</w:t>
      </w:r>
      <w:r w:rsidRPr="006B4730">
        <w:t>. Compared to subjects with normal renal function (CLCR ≥ 90 mL/min), the effect of moderate (CLCR 30 - &lt; 60 mL/min) or severe (CLCR &lt; 30 mL/min) renal impairment on AUC of finerenone was similar with increases by 34-36%. Moderate or severe renal impairment had no effect on C</w:t>
      </w:r>
      <w:r w:rsidRPr="006B4730">
        <w:rPr>
          <w:vertAlign w:val="subscript"/>
        </w:rPr>
        <w:t>max</w:t>
      </w:r>
      <w:r w:rsidRPr="006B4730">
        <w:t xml:space="preserve"> (see </w:t>
      </w:r>
      <w:r w:rsidR="00B15C94">
        <w:t>Section</w:t>
      </w:r>
      <w:r w:rsidRPr="006B4730">
        <w:t xml:space="preserve"> </w:t>
      </w:r>
      <w:r w:rsidR="00C32DF3">
        <w:rPr>
          <w:iCs/>
        </w:rPr>
        <w:fldChar w:fldCharType="begin"/>
      </w:r>
      <w:r w:rsidR="00C32DF3">
        <w:rPr>
          <w:iCs/>
        </w:rPr>
        <w:instrText xml:space="preserve"> REF  _Ref79419993 \* Upper \h </w:instrText>
      </w:r>
      <w:r w:rsidR="00C32DF3">
        <w:rPr>
          <w:iCs/>
        </w:rPr>
      </w:r>
      <w:r w:rsidR="006E7460">
        <w:rPr>
          <w:iCs/>
        </w:rPr>
        <w:instrText xml:space="preserve"> \* MERGEFORMAT </w:instrText>
      </w:r>
      <w:r w:rsidR="00C32DF3">
        <w:rPr>
          <w:iCs/>
        </w:rPr>
        <w:fldChar w:fldCharType="separate"/>
      </w:r>
      <w:r w:rsidR="00C32DF3" w:rsidRPr="006B4730">
        <w:t>4.2 DOSE AND METHOD OF ADMINISTRATION</w:t>
      </w:r>
      <w:r w:rsidR="00C32DF3">
        <w:rPr>
          <w:iCs/>
        </w:rPr>
        <w:fldChar w:fldCharType="end"/>
      </w:r>
      <w:r w:rsidRPr="006B4730">
        <w:t xml:space="preserve">). </w:t>
      </w:r>
    </w:p>
    <w:p w14:paraId="0F0B8267" w14:textId="77777777" w:rsidR="00E342A7" w:rsidRPr="006B4730" w:rsidRDefault="00E342A7" w:rsidP="006E7460">
      <w:pPr>
        <w:jc w:val="left"/>
      </w:pPr>
      <w:r w:rsidRPr="006B4730">
        <w:t xml:space="preserve">Due to the high plasma protein binding, finerenone is not expected to be dialyzable.  </w:t>
      </w:r>
    </w:p>
    <w:p w14:paraId="4B1C3DFB" w14:textId="77777777" w:rsidR="00E342A7" w:rsidRPr="006B4730" w:rsidRDefault="00E342A7" w:rsidP="006E7460">
      <w:pPr>
        <w:jc w:val="left"/>
      </w:pPr>
    </w:p>
    <w:p w14:paraId="47965912" w14:textId="198980BB" w:rsidR="00E342A7" w:rsidRPr="006B4730" w:rsidRDefault="00E342A7" w:rsidP="006E7460">
      <w:pPr>
        <w:pStyle w:val="Heading4"/>
        <w:jc w:val="left"/>
        <w:rPr>
          <w:lang w:val="en-AU"/>
        </w:rPr>
      </w:pPr>
      <w:r w:rsidRPr="006B4730">
        <w:rPr>
          <w:lang w:val="en-AU"/>
        </w:rPr>
        <w:t>Patients with hepatic impairment</w:t>
      </w:r>
    </w:p>
    <w:p w14:paraId="6DE3F575" w14:textId="5270B378" w:rsidR="00E342A7" w:rsidRPr="006B4730" w:rsidRDefault="00E342A7" w:rsidP="006E7460">
      <w:pPr>
        <w:jc w:val="left"/>
      </w:pPr>
      <w:r w:rsidRPr="006B4730">
        <w:t xml:space="preserve">There was no change in finerenone exposure in cirrhotic subjects with mild hepatic impairment (Child Pugh A) (see </w:t>
      </w:r>
      <w:r w:rsidR="00B15C94">
        <w:t>Section</w:t>
      </w:r>
      <w:r w:rsidRPr="006B4730">
        <w:t xml:space="preserve"> </w:t>
      </w:r>
      <w:r w:rsidR="00C32DF3">
        <w:rPr>
          <w:iCs/>
        </w:rPr>
        <w:fldChar w:fldCharType="begin"/>
      </w:r>
      <w:r w:rsidR="00C32DF3">
        <w:rPr>
          <w:iCs/>
        </w:rPr>
        <w:instrText xml:space="preserve"> REF  _Ref79419993 \* Upper \h </w:instrText>
      </w:r>
      <w:r w:rsidR="00C32DF3">
        <w:rPr>
          <w:iCs/>
        </w:rPr>
      </w:r>
      <w:r w:rsidR="006E7460">
        <w:rPr>
          <w:iCs/>
        </w:rPr>
        <w:instrText xml:space="preserve"> \* MERGEFORMAT </w:instrText>
      </w:r>
      <w:r w:rsidR="00C32DF3">
        <w:rPr>
          <w:iCs/>
        </w:rPr>
        <w:fldChar w:fldCharType="separate"/>
      </w:r>
      <w:r w:rsidR="00C32DF3" w:rsidRPr="006B4730">
        <w:t>4.2 DOSE AND METHOD OF ADMINISTRATION</w:t>
      </w:r>
      <w:r w:rsidR="00C32DF3">
        <w:rPr>
          <w:iCs/>
        </w:rPr>
        <w:fldChar w:fldCharType="end"/>
      </w:r>
      <w:r w:rsidRPr="006B4730">
        <w:t>).</w:t>
      </w:r>
    </w:p>
    <w:p w14:paraId="5D4C7540" w14:textId="48A1DEAE" w:rsidR="00E342A7" w:rsidRPr="006B4730" w:rsidRDefault="00E342A7" w:rsidP="006E7460">
      <w:pPr>
        <w:jc w:val="left"/>
      </w:pPr>
      <w:r w:rsidRPr="006B4730">
        <w:t>In cirrhotic subjects with moderate hepatic impairment (Child Pugh B), finerenone mean AUC was increased by 38% and C</w:t>
      </w:r>
      <w:r w:rsidRPr="006B4730">
        <w:rPr>
          <w:vertAlign w:val="subscript"/>
        </w:rPr>
        <w:t>max</w:t>
      </w:r>
      <w:r w:rsidRPr="006B4730">
        <w:t xml:space="preserve"> was unchanged compared to healthy control subjects (see </w:t>
      </w:r>
      <w:r w:rsidR="00B15C94">
        <w:t>Section</w:t>
      </w:r>
      <w:r w:rsidRPr="006B4730">
        <w:t xml:space="preserve"> </w:t>
      </w:r>
      <w:r w:rsidR="003108E2">
        <w:rPr>
          <w:iCs/>
        </w:rPr>
        <w:fldChar w:fldCharType="begin"/>
      </w:r>
      <w:r w:rsidR="003108E2">
        <w:rPr>
          <w:iCs/>
        </w:rPr>
        <w:instrText xml:space="preserve"> REF  _Ref79419993 \* Upper \h </w:instrText>
      </w:r>
      <w:r w:rsidR="003108E2">
        <w:rPr>
          <w:iCs/>
        </w:rPr>
      </w:r>
      <w:r w:rsidR="006E7460">
        <w:rPr>
          <w:iCs/>
        </w:rPr>
        <w:instrText xml:space="preserve"> \* MERGEFORMAT </w:instrText>
      </w:r>
      <w:r w:rsidR="003108E2">
        <w:rPr>
          <w:iCs/>
        </w:rPr>
        <w:fldChar w:fldCharType="separate"/>
      </w:r>
      <w:r w:rsidR="003108E2" w:rsidRPr="006B4730">
        <w:t>4.2 DOSE AND METHOD OF ADMINISTRATION</w:t>
      </w:r>
      <w:r w:rsidR="003108E2">
        <w:rPr>
          <w:iCs/>
        </w:rPr>
        <w:fldChar w:fldCharType="end"/>
      </w:r>
      <w:r w:rsidRPr="006B4730">
        <w:t>).</w:t>
      </w:r>
    </w:p>
    <w:p w14:paraId="44BD9B3E" w14:textId="6AB9FBBE" w:rsidR="00E342A7" w:rsidRPr="006B4730" w:rsidRDefault="00E342A7" w:rsidP="006E7460">
      <w:pPr>
        <w:jc w:val="left"/>
      </w:pPr>
      <w:r w:rsidRPr="006B4730">
        <w:t xml:space="preserve">There are no data in patients with severe hepatic impairment (Child Pugh C) (see </w:t>
      </w:r>
      <w:r w:rsidR="00B15C94">
        <w:t>Section</w:t>
      </w:r>
      <w:r w:rsidRPr="006B4730">
        <w:t xml:space="preserve"> </w:t>
      </w:r>
      <w:r w:rsidR="003108E2">
        <w:rPr>
          <w:iCs/>
        </w:rPr>
        <w:fldChar w:fldCharType="begin"/>
      </w:r>
      <w:r w:rsidR="003108E2">
        <w:rPr>
          <w:iCs/>
        </w:rPr>
        <w:instrText xml:space="preserve"> REF  _Ref79419993 \* Upper \h </w:instrText>
      </w:r>
      <w:r w:rsidR="003108E2">
        <w:rPr>
          <w:iCs/>
        </w:rPr>
      </w:r>
      <w:r w:rsidR="006E7460">
        <w:rPr>
          <w:iCs/>
        </w:rPr>
        <w:instrText xml:space="preserve"> \* MERGEFORMAT </w:instrText>
      </w:r>
      <w:r w:rsidR="003108E2">
        <w:rPr>
          <w:iCs/>
        </w:rPr>
        <w:fldChar w:fldCharType="separate"/>
      </w:r>
      <w:r w:rsidR="003108E2" w:rsidRPr="006B4730">
        <w:t>4.2 DOSE AND METHOD OF ADMINISTRATION</w:t>
      </w:r>
      <w:r w:rsidR="003108E2">
        <w:rPr>
          <w:iCs/>
        </w:rPr>
        <w:fldChar w:fldCharType="end"/>
      </w:r>
      <w:r w:rsidRPr="006B4730">
        <w:t xml:space="preserve"> and </w:t>
      </w:r>
      <w:r w:rsidR="003108E2">
        <w:fldChar w:fldCharType="begin"/>
      </w:r>
      <w:r w:rsidR="003108E2">
        <w:instrText xml:space="preserve"> REF  _Ref79419895 \* Upper \h </w:instrText>
      </w:r>
      <w:r w:rsidR="006E7460">
        <w:instrText xml:space="preserve"> \* MERGEFORMAT </w:instrText>
      </w:r>
      <w:r w:rsidR="003108E2">
        <w:fldChar w:fldCharType="separate"/>
      </w:r>
      <w:r w:rsidR="003108E2" w:rsidRPr="006B4730">
        <w:t>4.4 SPECIAL WARNINGS AND PRECAUTIONS FOR USE</w:t>
      </w:r>
      <w:r w:rsidR="003108E2">
        <w:fldChar w:fldCharType="end"/>
      </w:r>
      <w:r w:rsidRPr="006B4730">
        <w:t>)</w:t>
      </w:r>
      <w:r w:rsidR="00CF5B24">
        <w:t>.</w:t>
      </w:r>
    </w:p>
    <w:p w14:paraId="74ADFF1E" w14:textId="102E4B76" w:rsidR="00625366" w:rsidRPr="006B4730" w:rsidRDefault="00625366" w:rsidP="006E7460">
      <w:pPr>
        <w:jc w:val="left"/>
      </w:pPr>
    </w:p>
    <w:p w14:paraId="5E150D33" w14:textId="38EA04D0" w:rsidR="00B3554D" w:rsidRPr="006B4730" w:rsidRDefault="00B3554D" w:rsidP="006E7460">
      <w:pPr>
        <w:pStyle w:val="Heading4"/>
        <w:jc w:val="left"/>
        <w:rPr>
          <w:lang w:val="en-AU"/>
        </w:rPr>
      </w:pPr>
      <w:r w:rsidRPr="006B4730">
        <w:rPr>
          <w:lang w:val="en-AU"/>
        </w:rPr>
        <w:t>Elderly patients</w:t>
      </w:r>
    </w:p>
    <w:p w14:paraId="68A8527D" w14:textId="6F1F3E46" w:rsidR="00B3554D" w:rsidRPr="006B4730" w:rsidRDefault="00B3554D" w:rsidP="006E7460">
      <w:pPr>
        <w:jc w:val="left"/>
      </w:pPr>
      <w:r w:rsidRPr="006B4730">
        <w:t xml:space="preserve">Of the 2827 patients who received </w:t>
      </w:r>
      <w:r w:rsidR="00FE2EFD" w:rsidRPr="006B4730">
        <w:t xml:space="preserve">KERENDIA </w:t>
      </w:r>
      <w:r w:rsidRPr="006B4730">
        <w:t>in the FIDELIO-DKD study, 58% of patients were 65 years and older, and 15% were 75 years and older. No overall differences in safety or efficacy were observed between these patients and younger patients.</w:t>
      </w:r>
    </w:p>
    <w:p w14:paraId="147353FA" w14:textId="7BFBA7D9" w:rsidR="00B3554D" w:rsidRPr="006B4730" w:rsidRDefault="00B3554D" w:rsidP="006E7460">
      <w:pPr>
        <w:jc w:val="left"/>
      </w:pPr>
      <w:r w:rsidRPr="006B4730">
        <w:t>Elderly subjects (≥65 years of age) exhibited higher finerenone plasma concentrations than younger subjects (≤45 years of age), with mean AUC and C</w:t>
      </w:r>
      <w:r w:rsidRPr="00921138">
        <w:rPr>
          <w:vertAlign w:val="subscript"/>
        </w:rPr>
        <w:t>max</w:t>
      </w:r>
      <w:r w:rsidRPr="006B4730">
        <w:t xml:space="preserve"> values being 34% and 51% higher in the elderly (see </w:t>
      </w:r>
      <w:r w:rsidR="00B15C94">
        <w:t>Section</w:t>
      </w:r>
      <w:r w:rsidRPr="006B4730">
        <w:t xml:space="preserve"> </w:t>
      </w:r>
      <w:r w:rsidR="00DD0F4F">
        <w:rPr>
          <w:iCs/>
        </w:rPr>
        <w:fldChar w:fldCharType="begin"/>
      </w:r>
      <w:r w:rsidR="00DD0F4F">
        <w:rPr>
          <w:iCs/>
        </w:rPr>
        <w:instrText xml:space="preserve"> REF  _Ref79419993 \* Upper \h </w:instrText>
      </w:r>
      <w:r w:rsidR="00DD0F4F">
        <w:rPr>
          <w:iCs/>
        </w:rPr>
      </w:r>
      <w:r w:rsidR="006E7460">
        <w:rPr>
          <w:iCs/>
        </w:rPr>
        <w:instrText xml:space="preserve"> \* MERGEFORMAT </w:instrText>
      </w:r>
      <w:r w:rsidR="00DD0F4F">
        <w:rPr>
          <w:iCs/>
        </w:rPr>
        <w:fldChar w:fldCharType="separate"/>
      </w:r>
      <w:r w:rsidR="00DD0F4F" w:rsidRPr="006B4730">
        <w:t>4.2 DOSE AND METHOD OF ADMINISTRATION</w:t>
      </w:r>
      <w:r w:rsidR="00DD0F4F">
        <w:rPr>
          <w:iCs/>
        </w:rPr>
        <w:fldChar w:fldCharType="end"/>
      </w:r>
      <w:r w:rsidRPr="006B4730">
        <w:t>). Report No. R-13179 Population-pharmacokinetic analyses did not identify age as a covariate for finerenone AUC or C</w:t>
      </w:r>
      <w:r w:rsidRPr="00921138">
        <w:rPr>
          <w:vertAlign w:val="subscript"/>
        </w:rPr>
        <w:t>max</w:t>
      </w:r>
      <w:r w:rsidRPr="006B4730">
        <w:t>.</w:t>
      </w:r>
    </w:p>
    <w:p w14:paraId="011B29D7" w14:textId="486A93D7" w:rsidR="00B3554D" w:rsidRPr="006B4730" w:rsidRDefault="00B3554D" w:rsidP="006E7460">
      <w:pPr>
        <w:jc w:val="left"/>
      </w:pPr>
    </w:p>
    <w:p w14:paraId="62D05788" w14:textId="77777777" w:rsidR="00B3554D" w:rsidRPr="006B4730" w:rsidRDefault="00B3554D" w:rsidP="006E7460">
      <w:pPr>
        <w:pStyle w:val="Heading4"/>
        <w:jc w:val="left"/>
        <w:rPr>
          <w:lang w:val="en-AU"/>
        </w:rPr>
      </w:pPr>
      <w:r w:rsidRPr="006B4730">
        <w:rPr>
          <w:lang w:val="en-AU"/>
        </w:rPr>
        <w:t>Body Weight</w:t>
      </w:r>
    </w:p>
    <w:p w14:paraId="6DBAF8DC" w14:textId="00632B65" w:rsidR="00B3554D" w:rsidRPr="006B4730" w:rsidRDefault="00B3554D" w:rsidP="006E7460">
      <w:pPr>
        <w:jc w:val="left"/>
      </w:pPr>
      <w:r w:rsidRPr="006B4730">
        <w:t>Population-pharmacokinetic analyses identified body weight as a covariate for finerenone C</w:t>
      </w:r>
      <w:r w:rsidRPr="00921138">
        <w:rPr>
          <w:vertAlign w:val="subscript"/>
        </w:rPr>
        <w:t>max</w:t>
      </w:r>
      <w:r w:rsidRPr="006B4730">
        <w:t>. The C</w:t>
      </w:r>
      <w:r w:rsidRPr="00921138">
        <w:rPr>
          <w:vertAlign w:val="subscript"/>
        </w:rPr>
        <w:t>max</w:t>
      </w:r>
      <w:r w:rsidRPr="006B4730">
        <w:t xml:space="preserve"> of a subject with a body weight of 50 kg was estimated to be 43% to 51% higher compared to a subject of 100 kg. Dose adaptation based on body weight is not warranted (see </w:t>
      </w:r>
      <w:r w:rsidR="00B15C94">
        <w:t>Section</w:t>
      </w:r>
      <w:r w:rsidRPr="006B4730">
        <w:t xml:space="preserve"> </w:t>
      </w:r>
      <w:r w:rsidR="00DD0F4F">
        <w:rPr>
          <w:iCs/>
        </w:rPr>
        <w:fldChar w:fldCharType="begin"/>
      </w:r>
      <w:r w:rsidR="00DD0F4F">
        <w:rPr>
          <w:iCs/>
        </w:rPr>
        <w:instrText xml:space="preserve"> REF  _Ref79419993 \* Upper \h </w:instrText>
      </w:r>
      <w:r w:rsidR="00DD0F4F">
        <w:rPr>
          <w:iCs/>
        </w:rPr>
      </w:r>
      <w:r w:rsidR="006E7460">
        <w:rPr>
          <w:iCs/>
        </w:rPr>
        <w:instrText xml:space="preserve"> \* MERGEFORMAT </w:instrText>
      </w:r>
      <w:r w:rsidR="00DD0F4F">
        <w:rPr>
          <w:iCs/>
        </w:rPr>
        <w:fldChar w:fldCharType="separate"/>
      </w:r>
      <w:r w:rsidR="00DD0F4F" w:rsidRPr="006B4730">
        <w:t>4.2 DOSE AND METHOD OF ADMINISTRATION</w:t>
      </w:r>
      <w:r w:rsidR="00DD0F4F">
        <w:rPr>
          <w:iCs/>
        </w:rPr>
        <w:fldChar w:fldCharType="end"/>
      </w:r>
      <w:r w:rsidRPr="006B4730">
        <w:t>).</w:t>
      </w:r>
    </w:p>
    <w:p w14:paraId="69569454" w14:textId="04F18EE8" w:rsidR="007151C8" w:rsidRPr="006E7460" w:rsidRDefault="00713DF2" w:rsidP="006E7460">
      <w:pPr>
        <w:pStyle w:val="Heading1"/>
        <w:numPr>
          <w:ilvl w:val="0"/>
          <w:numId w:val="0"/>
        </w:numPr>
        <w:ind w:left="432" w:hanging="432"/>
        <w:jc w:val="left"/>
        <w:rPr>
          <w:sz w:val="24"/>
          <w:szCs w:val="24"/>
        </w:rPr>
      </w:pPr>
      <w:r w:rsidRPr="006E7460">
        <w:rPr>
          <w:sz w:val="24"/>
          <w:szCs w:val="24"/>
        </w:rPr>
        <w:lastRenderedPageBreak/>
        <w:t xml:space="preserve">5.3 </w:t>
      </w:r>
      <w:r w:rsidR="001A3992" w:rsidRPr="006E7460">
        <w:rPr>
          <w:sz w:val="24"/>
          <w:szCs w:val="24"/>
        </w:rPr>
        <w:t>Preclinical safety data</w:t>
      </w:r>
    </w:p>
    <w:p w14:paraId="39854331" w14:textId="168A3DC0" w:rsidR="001A3992" w:rsidRPr="006E7460" w:rsidRDefault="001A3992" w:rsidP="006E7460">
      <w:pPr>
        <w:pStyle w:val="Heading3"/>
        <w:jc w:val="left"/>
        <w:rPr>
          <w:sz w:val="20"/>
          <w:szCs w:val="20"/>
        </w:rPr>
      </w:pPr>
      <w:r w:rsidRPr="006E7460">
        <w:rPr>
          <w:sz w:val="20"/>
          <w:szCs w:val="20"/>
        </w:rPr>
        <w:t>Genotoxicity</w:t>
      </w:r>
    </w:p>
    <w:p w14:paraId="65F573E8" w14:textId="042AF57F" w:rsidR="004A3697" w:rsidRPr="006B4730" w:rsidRDefault="004A3697" w:rsidP="006E7460">
      <w:pPr>
        <w:jc w:val="left"/>
      </w:pPr>
      <w:r w:rsidRPr="006B4730">
        <w:t>Finerenone was non-genotoxic</w:t>
      </w:r>
      <w:r w:rsidR="00C17E3A" w:rsidRPr="00C17E3A">
        <w:t xml:space="preserve"> in assays for mutagenicity in bacteria and for chromosomal aberrations in vitro (in Chinese hamster V79 cells), and the mouse bone marrow micronucleus test.</w:t>
      </w:r>
    </w:p>
    <w:p w14:paraId="7EB56186" w14:textId="5F0FFCF2" w:rsidR="001A3992" w:rsidRPr="006E7460" w:rsidRDefault="001A3992" w:rsidP="006E7460">
      <w:pPr>
        <w:pStyle w:val="Heading3"/>
        <w:jc w:val="left"/>
        <w:rPr>
          <w:sz w:val="20"/>
          <w:szCs w:val="20"/>
        </w:rPr>
      </w:pPr>
      <w:r w:rsidRPr="006E7460">
        <w:rPr>
          <w:sz w:val="20"/>
          <w:szCs w:val="20"/>
        </w:rPr>
        <w:t>Carcinogenicity</w:t>
      </w:r>
    </w:p>
    <w:p w14:paraId="0128760D" w14:textId="6F3D7E73" w:rsidR="00FA6FDD" w:rsidRPr="006B4730" w:rsidRDefault="00FA6FDD" w:rsidP="006E7460">
      <w:pPr>
        <w:jc w:val="left"/>
        <w:rPr>
          <w:bCs/>
        </w:rPr>
      </w:pPr>
      <w:r w:rsidRPr="006B4730">
        <w:t>In 2-year carcinogenicity studies, finerenone did not</w:t>
      </w:r>
      <w:r w:rsidR="00127085">
        <w:t xml:space="preserve"> </w:t>
      </w:r>
      <w:r w:rsidR="00127085" w:rsidRPr="00127085">
        <w:t>increase tumour incidence in male or female rats at oral doses up to 20 and 10 mg/kg/day, or in female mice at oral doses up to 7.5 mg/kg/day (yielding exposure 19–28 times higher than in patients at the maximum recommended human dose of 20 mg/day, based on plasma AUC for unbound drug)</w:t>
      </w:r>
      <w:r w:rsidRPr="006B4730">
        <w:t xml:space="preserve">. In male mice, finerenone resulted in an increase in Leydig cell adenoma at </w:t>
      </w:r>
      <w:r w:rsidR="003A1602" w:rsidRPr="003A1602">
        <w:t>30 mg/kg/day,</w:t>
      </w:r>
      <w:r w:rsidR="003A1602">
        <w:t xml:space="preserve"> </w:t>
      </w:r>
      <w:r w:rsidRPr="006B4730">
        <w:t>representing 26 times the AUC</w:t>
      </w:r>
      <w:r w:rsidRPr="006B4730">
        <w:rPr>
          <w:vertAlign w:val="subscript"/>
        </w:rPr>
        <w:t>unbound</w:t>
      </w:r>
      <w:r w:rsidRPr="006B4730">
        <w:t xml:space="preserve"> in humans. </w:t>
      </w:r>
      <w:r w:rsidR="00B818EA" w:rsidRPr="00B818EA">
        <w:t>No carcinogenicity was evident with treatment at 10 mg/kg/day</w:t>
      </w:r>
      <w:r w:rsidR="00B818EA">
        <w:t xml:space="preserve">, </w:t>
      </w:r>
      <w:r w:rsidRPr="006B4730">
        <w:t>representing 17 times the AUC</w:t>
      </w:r>
      <w:r w:rsidRPr="006B4730">
        <w:rPr>
          <w:vertAlign w:val="subscript"/>
        </w:rPr>
        <w:t>unbound</w:t>
      </w:r>
      <w:r w:rsidRPr="006B4730">
        <w:t xml:space="preserve"> in humans. </w:t>
      </w:r>
      <w:r w:rsidRPr="006B4730">
        <w:rPr>
          <w:bCs/>
        </w:rPr>
        <w:t>Based on the known sensitivity of rodents to develop these tumo</w:t>
      </w:r>
      <w:r w:rsidR="0098011B">
        <w:rPr>
          <w:bCs/>
        </w:rPr>
        <w:t>u</w:t>
      </w:r>
      <w:r w:rsidRPr="006B4730">
        <w:rPr>
          <w:bCs/>
        </w:rPr>
        <w:t>rs and the pharmacology-based mechanism at supratherapeutic doses as well as</w:t>
      </w:r>
      <w:r w:rsidR="00EE468C">
        <w:rPr>
          <w:bCs/>
        </w:rPr>
        <w:t xml:space="preserve"> </w:t>
      </w:r>
      <w:r w:rsidR="00EE468C" w:rsidRPr="00EE468C">
        <w:rPr>
          <w:bCs/>
        </w:rPr>
        <w:t>the margin of exposure</w:t>
      </w:r>
      <w:r w:rsidRPr="006B4730">
        <w:rPr>
          <w:bCs/>
        </w:rPr>
        <w:t>, the increase in Leydig cell tumo</w:t>
      </w:r>
      <w:r w:rsidR="0098011B">
        <w:rPr>
          <w:bCs/>
        </w:rPr>
        <w:t>u</w:t>
      </w:r>
      <w:r w:rsidRPr="006B4730">
        <w:rPr>
          <w:bCs/>
        </w:rPr>
        <w:t xml:space="preserve">rs </w:t>
      </w:r>
      <w:r w:rsidR="00BE4972">
        <w:rPr>
          <w:bCs/>
        </w:rPr>
        <w:t xml:space="preserve">observed </w:t>
      </w:r>
      <w:r w:rsidRPr="006B4730">
        <w:rPr>
          <w:bCs/>
        </w:rPr>
        <w:t xml:space="preserve">in male mice </w:t>
      </w:r>
      <w:r w:rsidRPr="006B4730">
        <w:t>is not</w:t>
      </w:r>
      <w:r w:rsidR="00BE4972">
        <w:t xml:space="preserve"> </w:t>
      </w:r>
      <w:r w:rsidR="00BE4972" w:rsidRPr="00BE4972">
        <w:t xml:space="preserve">considered to indicate a particular carcinogenic risk to patients treated with </w:t>
      </w:r>
      <w:r w:rsidR="008150C7" w:rsidRPr="00BE4972">
        <w:t>KERENDIA</w:t>
      </w:r>
      <w:r w:rsidRPr="006B4730">
        <w:rPr>
          <w:bCs/>
        </w:rPr>
        <w:t xml:space="preserve">. </w:t>
      </w:r>
    </w:p>
    <w:p w14:paraId="4A42675E" w14:textId="7B57D94E" w:rsidR="001A3992" w:rsidRPr="006B4730" w:rsidRDefault="00713DF2" w:rsidP="006E7460">
      <w:pPr>
        <w:pStyle w:val="Heading1"/>
        <w:numPr>
          <w:ilvl w:val="0"/>
          <w:numId w:val="0"/>
        </w:numPr>
        <w:ind w:left="432" w:hanging="432"/>
        <w:jc w:val="left"/>
      </w:pPr>
      <w:r w:rsidRPr="006B4730">
        <w:t xml:space="preserve">6. </w:t>
      </w:r>
      <w:r w:rsidR="001A3992" w:rsidRPr="006B4730">
        <w:t>Pharmaceutical particulars</w:t>
      </w:r>
    </w:p>
    <w:p w14:paraId="708456F0" w14:textId="5522F686" w:rsidR="001A3992" w:rsidRPr="006B4730" w:rsidRDefault="00713DF2" w:rsidP="006E7460">
      <w:pPr>
        <w:pStyle w:val="Heading1"/>
        <w:numPr>
          <w:ilvl w:val="0"/>
          <w:numId w:val="0"/>
        </w:numPr>
        <w:ind w:left="432" w:hanging="432"/>
        <w:jc w:val="left"/>
      </w:pPr>
      <w:bookmarkStart w:id="25" w:name="_Ref88589995"/>
      <w:r w:rsidRPr="006B4730">
        <w:t xml:space="preserve">6.1 </w:t>
      </w:r>
      <w:r w:rsidR="00F735C4" w:rsidRPr="006B4730">
        <w:t>List of excipients</w:t>
      </w:r>
      <w:bookmarkEnd w:id="25"/>
    </w:p>
    <w:p w14:paraId="318D3AA8" w14:textId="77777777" w:rsidR="00BE4862" w:rsidRPr="006B4730" w:rsidRDefault="00BE4862" w:rsidP="006E7460">
      <w:pPr>
        <w:pStyle w:val="Subheading2"/>
        <w:jc w:val="left"/>
      </w:pPr>
      <w:r w:rsidRPr="006B4730">
        <w:t>Tablet core:</w:t>
      </w:r>
    </w:p>
    <w:p w14:paraId="759572FD" w14:textId="77777777" w:rsidR="00FA6FDD" w:rsidRPr="006B4730" w:rsidRDefault="00FA6FDD" w:rsidP="006E7460">
      <w:pPr>
        <w:jc w:val="left"/>
      </w:pPr>
      <w:r w:rsidRPr="006B4730">
        <w:t xml:space="preserve">Croscarmellose sodium </w:t>
      </w:r>
    </w:p>
    <w:p w14:paraId="016939BE" w14:textId="77777777" w:rsidR="00FA6FDD" w:rsidRPr="006B4730" w:rsidRDefault="00FA6FDD" w:rsidP="006E7460">
      <w:pPr>
        <w:jc w:val="left"/>
      </w:pPr>
      <w:r w:rsidRPr="006B4730">
        <w:t>Hypromellose 5 cP</w:t>
      </w:r>
    </w:p>
    <w:p w14:paraId="3CD8DBCE" w14:textId="77777777" w:rsidR="00FA6FDD" w:rsidRPr="006B4730" w:rsidRDefault="00FA6FDD" w:rsidP="006E7460">
      <w:pPr>
        <w:jc w:val="left"/>
      </w:pPr>
      <w:r w:rsidRPr="006B4730">
        <w:t>Lactose monohydrate</w:t>
      </w:r>
    </w:p>
    <w:p w14:paraId="66754700" w14:textId="77777777" w:rsidR="00FA6FDD" w:rsidRPr="006B4730" w:rsidRDefault="00FA6FDD" w:rsidP="006E7460">
      <w:pPr>
        <w:jc w:val="left"/>
      </w:pPr>
      <w:r w:rsidRPr="006B4730">
        <w:t>Magnesium stearate</w:t>
      </w:r>
    </w:p>
    <w:p w14:paraId="3C31B626" w14:textId="77777777" w:rsidR="00FA6FDD" w:rsidRPr="006B4730" w:rsidRDefault="00FA6FDD" w:rsidP="006E7460">
      <w:pPr>
        <w:jc w:val="left"/>
      </w:pPr>
      <w:r w:rsidRPr="006B4730">
        <w:t>Microcrystalline cellulose</w:t>
      </w:r>
    </w:p>
    <w:p w14:paraId="5A259FE7" w14:textId="77777777" w:rsidR="00FA6FDD" w:rsidRPr="006B4730" w:rsidRDefault="00FA6FDD" w:rsidP="006E7460">
      <w:pPr>
        <w:jc w:val="left"/>
      </w:pPr>
      <w:r w:rsidRPr="006B4730">
        <w:t>Sodium lauryl sulfate</w:t>
      </w:r>
    </w:p>
    <w:p w14:paraId="3695F247" w14:textId="77777777" w:rsidR="001B7D74" w:rsidRPr="006B4730" w:rsidRDefault="001B7D74" w:rsidP="006E7460">
      <w:pPr>
        <w:jc w:val="left"/>
      </w:pPr>
    </w:p>
    <w:p w14:paraId="08434772" w14:textId="77777777" w:rsidR="00BE4862" w:rsidRPr="006B4730" w:rsidRDefault="00BE4862" w:rsidP="006E7460">
      <w:pPr>
        <w:pStyle w:val="Subheading2"/>
        <w:jc w:val="left"/>
      </w:pPr>
      <w:r w:rsidRPr="006B4730">
        <w:t>Tablet coating:</w:t>
      </w:r>
    </w:p>
    <w:p w14:paraId="3CBF4848" w14:textId="77777777" w:rsidR="00694C3A" w:rsidRPr="006B4730" w:rsidRDefault="00694C3A" w:rsidP="006E7460">
      <w:pPr>
        <w:jc w:val="left"/>
      </w:pPr>
      <w:r w:rsidRPr="006B4730">
        <w:t>Hypromellose 5 cP</w:t>
      </w:r>
    </w:p>
    <w:p w14:paraId="1144B479" w14:textId="77777777" w:rsidR="00694C3A" w:rsidRPr="006B4730" w:rsidRDefault="00694C3A" w:rsidP="006E7460">
      <w:pPr>
        <w:jc w:val="left"/>
      </w:pPr>
      <w:r w:rsidRPr="006B4730">
        <w:t>Talc</w:t>
      </w:r>
    </w:p>
    <w:p w14:paraId="13CC2FEB" w14:textId="77777777" w:rsidR="00694C3A" w:rsidRPr="006B4730" w:rsidRDefault="00694C3A" w:rsidP="006E7460">
      <w:pPr>
        <w:jc w:val="left"/>
      </w:pPr>
      <w:r w:rsidRPr="006B4730">
        <w:t>Titanium dioxide</w:t>
      </w:r>
    </w:p>
    <w:p w14:paraId="4750B472" w14:textId="257003D5" w:rsidR="00BE4862" w:rsidRPr="006B4730" w:rsidRDefault="001B0D6C" w:rsidP="006E7460">
      <w:pPr>
        <w:jc w:val="left"/>
      </w:pPr>
      <w:r w:rsidRPr="006B4730">
        <w:t>Iron oxide yellow</w:t>
      </w:r>
      <w:r w:rsidR="00B56206" w:rsidRPr="006B4730">
        <w:t xml:space="preserve"> (</w:t>
      </w:r>
      <w:r w:rsidR="001B7D74" w:rsidRPr="006B4730">
        <w:t>for KERENDIA 20mg film-coated tablet</w:t>
      </w:r>
      <w:r w:rsidR="00B56206" w:rsidRPr="006B4730">
        <w:t>)</w:t>
      </w:r>
    </w:p>
    <w:p w14:paraId="3958682B" w14:textId="7EF14DA2" w:rsidR="00F82891" w:rsidRPr="006B4730" w:rsidRDefault="001B0D6C" w:rsidP="006E7460">
      <w:pPr>
        <w:jc w:val="left"/>
      </w:pPr>
      <w:r w:rsidRPr="006B4730">
        <w:t>Iron</w:t>
      </w:r>
      <w:r w:rsidR="00BE4862" w:rsidRPr="006B4730">
        <w:t xml:space="preserve"> oxide red</w:t>
      </w:r>
      <w:r w:rsidR="001B7D74" w:rsidRPr="006B4730">
        <w:t xml:space="preserve"> (for KERENDIA 10mg film-coated tablet)</w:t>
      </w:r>
    </w:p>
    <w:p w14:paraId="6D30F478" w14:textId="77777777" w:rsidR="001A3992" w:rsidRPr="006B4730" w:rsidRDefault="00713DF2" w:rsidP="006E7460">
      <w:pPr>
        <w:pStyle w:val="Heading1"/>
        <w:numPr>
          <w:ilvl w:val="0"/>
          <w:numId w:val="0"/>
        </w:numPr>
        <w:ind w:left="432" w:hanging="432"/>
        <w:jc w:val="left"/>
      </w:pPr>
      <w:r w:rsidRPr="006B4730">
        <w:t xml:space="preserve">6.2 </w:t>
      </w:r>
      <w:r w:rsidR="00F735C4" w:rsidRPr="006B4730">
        <w:t>Incompatibilities</w:t>
      </w:r>
    </w:p>
    <w:p w14:paraId="7A4AC68A" w14:textId="3AFCFF6E" w:rsidR="00282E87" w:rsidRPr="006B4730" w:rsidRDefault="00F735C4" w:rsidP="006E7460">
      <w:pPr>
        <w:pStyle w:val="InstructionalText"/>
        <w:jc w:val="left"/>
        <w:rPr>
          <w:i w:val="0"/>
          <w:iCs/>
          <w:color w:val="auto"/>
        </w:rPr>
      </w:pPr>
      <w:r w:rsidRPr="006B4730">
        <w:rPr>
          <w:i w:val="0"/>
          <w:iCs/>
          <w:color w:val="auto"/>
        </w:rPr>
        <w:t>Incompatibilities were either not assessed or not identified as part of the registration of this medicine.</w:t>
      </w:r>
    </w:p>
    <w:p w14:paraId="69387F1F" w14:textId="77777777" w:rsidR="001A3992" w:rsidRPr="006B4730" w:rsidRDefault="00713DF2" w:rsidP="006E7460">
      <w:pPr>
        <w:pStyle w:val="Heading1"/>
        <w:numPr>
          <w:ilvl w:val="0"/>
          <w:numId w:val="0"/>
        </w:numPr>
        <w:ind w:left="432" w:hanging="432"/>
        <w:jc w:val="left"/>
      </w:pPr>
      <w:r w:rsidRPr="006B4730">
        <w:t xml:space="preserve">6.3 </w:t>
      </w:r>
      <w:r w:rsidR="00F735C4" w:rsidRPr="006B4730">
        <w:t>Shelf life</w:t>
      </w:r>
    </w:p>
    <w:p w14:paraId="677272F4" w14:textId="1DBE20A7" w:rsidR="0012573D" w:rsidRPr="006B4730" w:rsidRDefault="00497C85" w:rsidP="006E7460">
      <w:pPr>
        <w:jc w:val="left"/>
      </w:pPr>
      <w:r w:rsidRPr="006B4730">
        <w:t>In Australia, information on the shelf life can be found on the public summary of the Australian Register of Therapeutic Goods (ARTG). The expiry date can be fo</w:t>
      </w:r>
      <w:r w:rsidR="0012573D" w:rsidRPr="006B4730">
        <w:t>und on the packaging.</w:t>
      </w:r>
    </w:p>
    <w:p w14:paraId="1BAE0C7D" w14:textId="23F98073" w:rsidR="0012573D" w:rsidRPr="006B4730" w:rsidRDefault="00713DF2" w:rsidP="006E7460">
      <w:pPr>
        <w:pStyle w:val="Heading1"/>
        <w:numPr>
          <w:ilvl w:val="0"/>
          <w:numId w:val="0"/>
        </w:numPr>
        <w:ind w:left="432" w:hanging="432"/>
        <w:jc w:val="left"/>
      </w:pPr>
      <w:r w:rsidRPr="006B4730">
        <w:lastRenderedPageBreak/>
        <w:t xml:space="preserve">6.4 </w:t>
      </w:r>
      <w:r w:rsidR="00F735C4" w:rsidRPr="006B4730">
        <w:t>Special precautions for storage</w:t>
      </w:r>
    </w:p>
    <w:p w14:paraId="7F21E136" w14:textId="26E46B6A" w:rsidR="0012573D" w:rsidRPr="006B4730" w:rsidRDefault="0012573D" w:rsidP="006E7460">
      <w:pPr>
        <w:jc w:val="left"/>
      </w:pPr>
      <w:r w:rsidRPr="006B4730">
        <w:t xml:space="preserve">Store below </w:t>
      </w:r>
      <w:r w:rsidR="006E1D85" w:rsidRPr="006B4730">
        <w:t>30</w:t>
      </w:r>
      <w:r w:rsidRPr="006B4730">
        <w:rPr>
          <w:vertAlign w:val="superscript"/>
        </w:rPr>
        <w:t>o</w:t>
      </w:r>
      <w:r w:rsidRPr="006B4730">
        <w:t xml:space="preserve">C. </w:t>
      </w:r>
    </w:p>
    <w:p w14:paraId="467AB386" w14:textId="77777777" w:rsidR="001A3992" w:rsidRPr="006B4730" w:rsidRDefault="00713DF2" w:rsidP="006E7460">
      <w:pPr>
        <w:pStyle w:val="Heading1"/>
        <w:numPr>
          <w:ilvl w:val="0"/>
          <w:numId w:val="0"/>
        </w:numPr>
        <w:ind w:left="432" w:hanging="432"/>
        <w:jc w:val="left"/>
      </w:pPr>
      <w:r w:rsidRPr="006B4730">
        <w:t xml:space="preserve">6.5 </w:t>
      </w:r>
      <w:r w:rsidR="001A3992" w:rsidRPr="006B4730">
        <w:t>N</w:t>
      </w:r>
      <w:r w:rsidR="00F735C4" w:rsidRPr="006B4730">
        <w:t>ature and contents of container</w:t>
      </w:r>
    </w:p>
    <w:p w14:paraId="21673569" w14:textId="4C4F3D9B" w:rsidR="001B0D6C" w:rsidRPr="006B4730" w:rsidRDefault="00100496" w:rsidP="006E7460">
      <w:pPr>
        <w:jc w:val="left"/>
      </w:pPr>
      <w:r w:rsidRPr="006B4730">
        <w:t>Container type:</w:t>
      </w:r>
      <w:r w:rsidR="001B0D6C" w:rsidRPr="006B4730">
        <w:t xml:space="preserve"> Alu/PVC/PVDC </w:t>
      </w:r>
      <w:r w:rsidR="00694C3A" w:rsidRPr="006B4730">
        <w:t>blister</w:t>
      </w:r>
    </w:p>
    <w:p w14:paraId="50A6FAFB" w14:textId="4EED2368" w:rsidR="00100496" w:rsidRPr="006B4730" w:rsidRDefault="00100496" w:rsidP="006E7460">
      <w:pPr>
        <w:jc w:val="left"/>
      </w:pPr>
      <w:r w:rsidRPr="006B4730">
        <w:t>Pack sizes:</w:t>
      </w:r>
      <w:r w:rsidR="001B0D6C" w:rsidRPr="006B4730">
        <w:t xml:space="preserve"> </w:t>
      </w:r>
      <w:r w:rsidR="00694C3A" w:rsidRPr="006B4730">
        <w:t>14</w:t>
      </w:r>
      <w:r w:rsidR="001B0D6C" w:rsidRPr="006B4730">
        <w:t>, 28, 98, 100</w:t>
      </w:r>
    </w:p>
    <w:p w14:paraId="30F75F5A" w14:textId="6164D850" w:rsidR="00100496" w:rsidRPr="006B4730" w:rsidRDefault="00100496" w:rsidP="006E7460">
      <w:pPr>
        <w:jc w:val="left"/>
      </w:pPr>
      <w:r w:rsidRPr="006B4730">
        <w:t>Some</w:t>
      </w:r>
      <w:r w:rsidR="00735131" w:rsidRPr="006B4730">
        <w:t xml:space="preserve"> </w:t>
      </w:r>
      <w:r w:rsidRPr="006B4730">
        <w:t xml:space="preserve">pack </w:t>
      </w:r>
      <w:r w:rsidR="006E1D85" w:rsidRPr="006B4730">
        <w:t>size</w:t>
      </w:r>
      <w:r w:rsidR="005C7A6C" w:rsidRPr="006B4730">
        <w:t>s</w:t>
      </w:r>
      <w:r w:rsidRPr="006B4730">
        <w:t xml:space="preserve"> may not be marketed.</w:t>
      </w:r>
    </w:p>
    <w:p w14:paraId="4AD5B524" w14:textId="77777777" w:rsidR="001A3992" w:rsidRPr="006B4730" w:rsidRDefault="00713DF2" w:rsidP="006E7460">
      <w:pPr>
        <w:pStyle w:val="Heading1"/>
        <w:numPr>
          <w:ilvl w:val="0"/>
          <w:numId w:val="0"/>
        </w:numPr>
        <w:ind w:left="432" w:hanging="432"/>
        <w:jc w:val="left"/>
      </w:pPr>
      <w:r w:rsidRPr="006B4730">
        <w:t xml:space="preserve">6.6 </w:t>
      </w:r>
      <w:r w:rsidR="001A3992" w:rsidRPr="006B4730">
        <w:t>S</w:t>
      </w:r>
      <w:r w:rsidR="00F735C4" w:rsidRPr="006B4730">
        <w:t>pecial precautions for disposal</w:t>
      </w:r>
    </w:p>
    <w:p w14:paraId="3B08D9AE" w14:textId="77777777" w:rsidR="00497C85" w:rsidRPr="006B4730" w:rsidRDefault="00497C85" w:rsidP="006E7460">
      <w:pPr>
        <w:jc w:val="left"/>
      </w:pPr>
      <w:r w:rsidRPr="006B4730">
        <w:t>In Australia, any unused medicine or waste material should be disposed of by taking</w:t>
      </w:r>
      <w:r w:rsidR="00284745" w:rsidRPr="006B4730">
        <w:t xml:space="preserve"> it to your local pharmacy.</w:t>
      </w:r>
    </w:p>
    <w:p w14:paraId="07014FFD" w14:textId="77777777" w:rsidR="001A3992" w:rsidRPr="006B4730" w:rsidRDefault="00713DF2" w:rsidP="006E7460">
      <w:pPr>
        <w:pStyle w:val="Heading1"/>
        <w:numPr>
          <w:ilvl w:val="0"/>
          <w:numId w:val="0"/>
        </w:numPr>
        <w:ind w:left="432" w:hanging="432"/>
        <w:jc w:val="left"/>
      </w:pPr>
      <w:r w:rsidRPr="006B4730">
        <w:t xml:space="preserve">6.7 </w:t>
      </w:r>
      <w:r w:rsidR="001A3992" w:rsidRPr="006B4730">
        <w:t>Physicochemical properties</w:t>
      </w:r>
    </w:p>
    <w:p w14:paraId="586640F3" w14:textId="2E4F6444" w:rsidR="001A3992" w:rsidRPr="006B4730" w:rsidRDefault="001A3992" w:rsidP="006E7460">
      <w:pPr>
        <w:pStyle w:val="Heading3"/>
        <w:jc w:val="left"/>
      </w:pPr>
      <w:r w:rsidRPr="006B4730">
        <w:t xml:space="preserve">Chemical </w:t>
      </w:r>
      <w:r w:rsidR="00284745" w:rsidRPr="006B4730">
        <w:t>S</w:t>
      </w:r>
      <w:r w:rsidRPr="006B4730">
        <w:t>tructure</w:t>
      </w:r>
    </w:p>
    <w:p w14:paraId="36C6630A" w14:textId="2B5495F6" w:rsidR="00380E95" w:rsidRPr="006B4730" w:rsidRDefault="001C0A94" w:rsidP="006E7460">
      <w:pPr>
        <w:jc w:val="left"/>
      </w:pPr>
      <w:r w:rsidRPr="006B4730">
        <w:rPr>
          <w:noProof/>
        </w:rPr>
        <w:drawing>
          <wp:inline distT="0" distB="0" distL="0" distR="0" wp14:anchorId="6709D55B" wp14:editId="4D19C303">
            <wp:extent cx="1448410" cy="1177747"/>
            <wp:effectExtent l="0" t="0" r="0" b="381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4"/>
                    <a:stretch>
                      <a:fillRect/>
                    </a:stretch>
                  </pic:blipFill>
                  <pic:spPr>
                    <a:xfrm>
                      <a:off x="0" y="0"/>
                      <a:ext cx="1477773" cy="1201623"/>
                    </a:xfrm>
                    <a:prstGeom prst="rect">
                      <a:avLst/>
                    </a:prstGeom>
                  </pic:spPr>
                </pic:pic>
              </a:graphicData>
            </a:graphic>
          </wp:inline>
        </w:drawing>
      </w:r>
    </w:p>
    <w:p w14:paraId="5B22FDAC" w14:textId="15306EEA" w:rsidR="001A3992" w:rsidRPr="006B4730" w:rsidRDefault="001A3992" w:rsidP="006E7460">
      <w:pPr>
        <w:pStyle w:val="Heading3"/>
        <w:jc w:val="left"/>
      </w:pPr>
      <w:r w:rsidRPr="006B4730">
        <w:t xml:space="preserve">CAS </w:t>
      </w:r>
      <w:r w:rsidR="00284745" w:rsidRPr="006B4730">
        <w:t>N</w:t>
      </w:r>
      <w:r w:rsidRPr="006B4730">
        <w:t>umber</w:t>
      </w:r>
      <w:r w:rsidR="001C0A94" w:rsidRPr="006B4730">
        <w:t>: 1050477-31-0</w:t>
      </w:r>
    </w:p>
    <w:p w14:paraId="3D55EFB1" w14:textId="3043B71C" w:rsidR="001C0A94" w:rsidRPr="006B4730" w:rsidRDefault="001C0A94" w:rsidP="006E7460">
      <w:pPr>
        <w:jc w:val="left"/>
        <w:rPr>
          <w:b/>
          <w:bCs/>
          <w:caps/>
          <w:lang w:eastAsia="en-AU" w:bidi="en-AU"/>
        </w:rPr>
      </w:pPr>
      <w:r w:rsidRPr="006B4730">
        <w:rPr>
          <w:lang w:eastAsia="en-AU" w:bidi="en-AU"/>
        </w:rPr>
        <w:t>Chemical</w:t>
      </w:r>
      <w:r w:rsidR="008150C7">
        <w:rPr>
          <w:lang w:eastAsia="en-AU" w:bidi="en-AU"/>
        </w:rPr>
        <w:t xml:space="preserve"> </w:t>
      </w:r>
      <w:r w:rsidRPr="006B4730">
        <w:rPr>
          <w:lang w:eastAsia="en-AU" w:bidi="en-AU"/>
        </w:rPr>
        <w:t>name:</w:t>
      </w:r>
      <w:r w:rsidR="003335EE" w:rsidRPr="006B4730">
        <w:rPr>
          <w:lang w:eastAsia="en-AU" w:bidi="en-AU"/>
        </w:rPr>
        <w:t xml:space="preserve"> </w:t>
      </w:r>
      <w:r w:rsidRPr="006B4730">
        <w:rPr>
          <w:lang w:eastAsia="en-AU" w:bidi="en-AU"/>
        </w:rPr>
        <w:t>4S)-4-(4-cyano-2-methoxyphenyl)-5-ethoxy-2,8-dimethyl-1,4-dihydro-1,6</w:t>
      </w:r>
      <w:r w:rsidRPr="006B4730">
        <w:rPr>
          <w:b/>
          <w:bCs/>
          <w:caps/>
          <w:lang w:eastAsia="en-AU" w:bidi="en-AU"/>
        </w:rPr>
        <w:t xml:space="preserve"> </w:t>
      </w:r>
      <w:r w:rsidRPr="006B4730">
        <w:rPr>
          <w:lang w:eastAsia="en-AU" w:bidi="en-AU"/>
        </w:rPr>
        <w:t>naphthyridine-3-carboxami</w:t>
      </w:r>
      <w:r w:rsidR="0019018A" w:rsidRPr="006B4730">
        <w:rPr>
          <w:lang w:eastAsia="en-AU" w:bidi="en-AU"/>
        </w:rPr>
        <w:t>de</w:t>
      </w:r>
    </w:p>
    <w:p w14:paraId="15497DE4" w14:textId="28A0AA6C" w:rsidR="001C0A94" w:rsidRPr="006B4730" w:rsidRDefault="001C0A94" w:rsidP="006E7460">
      <w:pPr>
        <w:jc w:val="left"/>
        <w:rPr>
          <w:lang w:eastAsia="en-AU" w:bidi="en-AU"/>
        </w:rPr>
      </w:pPr>
      <w:r w:rsidRPr="006B4730">
        <w:rPr>
          <w:lang w:eastAsia="en-AU" w:bidi="en-AU"/>
        </w:rPr>
        <w:t>Empirical formula: C</w:t>
      </w:r>
      <w:r w:rsidRPr="006B4730">
        <w:rPr>
          <w:vertAlign w:val="subscript"/>
          <w:lang w:eastAsia="en-AU" w:bidi="en-AU"/>
        </w:rPr>
        <w:t>21</w:t>
      </w:r>
      <w:r w:rsidRPr="006B4730">
        <w:rPr>
          <w:lang w:eastAsia="en-AU" w:bidi="en-AU"/>
        </w:rPr>
        <w:t>H</w:t>
      </w:r>
      <w:r w:rsidRPr="006B4730">
        <w:rPr>
          <w:vertAlign w:val="subscript"/>
          <w:lang w:eastAsia="en-AU" w:bidi="en-AU"/>
        </w:rPr>
        <w:t>22</w:t>
      </w:r>
      <w:r w:rsidRPr="006B4730">
        <w:rPr>
          <w:lang w:eastAsia="en-AU" w:bidi="en-AU"/>
        </w:rPr>
        <w:t>N</w:t>
      </w:r>
      <w:r w:rsidRPr="006B4730">
        <w:rPr>
          <w:vertAlign w:val="subscript"/>
          <w:lang w:eastAsia="en-AU" w:bidi="en-AU"/>
        </w:rPr>
        <w:t>4</w:t>
      </w:r>
      <w:r w:rsidRPr="006B4730">
        <w:rPr>
          <w:lang w:eastAsia="en-AU" w:bidi="en-AU"/>
        </w:rPr>
        <w:t>O</w:t>
      </w:r>
      <w:r w:rsidRPr="006B4730">
        <w:rPr>
          <w:vertAlign w:val="subscript"/>
          <w:lang w:eastAsia="en-AU" w:bidi="en-AU"/>
        </w:rPr>
        <w:t>3</w:t>
      </w:r>
    </w:p>
    <w:p w14:paraId="22C087CB" w14:textId="36B6C5D4" w:rsidR="00287062" w:rsidRPr="006B4730" w:rsidRDefault="001C0A94" w:rsidP="006E7460">
      <w:pPr>
        <w:jc w:val="left"/>
        <w:rPr>
          <w:b/>
          <w:bCs/>
          <w:caps/>
          <w:lang w:eastAsia="en-AU" w:bidi="en-AU"/>
        </w:rPr>
      </w:pPr>
      <w:r w:rsidRPr="006B4730">
        <w:rPr>
          <w:lang w:eastAsia="en-AU" w:bidi="en-AU"/>
        </w:rPr>
        <w:t>Molecular weight:  378.43 g/mol</w:t>
      </w:r>
    </w:p>
    <w:p w14:paraId="599ECCC6" w14:textId="249FD524" w:rsidR="001A3992" w:rsidRPr="006B4730" w:rsidRDefault="00713DF2" w:rsidP="006E7460">
      <w:pPr>
        <w:pStyle w:val="Heading1"/>
        <w:numPr>
          <w:ilvl w:val="0"/>
          <w:numId w:val="0"/>
        </w:numPr>
        <w:ind w:left="432" w:hanging="432"/>
        <w:jc w:val="left"/>
      </w:pPr>
      <w:r w:rsidRPr="006B4730">
        <w:t xml:space="preserve">7 </w:t>
      </w:r>
      <w:r w:rsidR="001A3992" w:rsidRPr="006B4730">
        <w:t>Medicine schedule (Poisons Standard)</w:t>
      </w:r>
    </w:p>
    <w:p w14:paraId="27881D7D" w14:textId="77777777" w:rsidR="006F2777" w:rsidRPr="006B4730" w:rsidRDefault="006F2777" w:rsidP="006E7460">
      <w:pPr>
        <w:jc w:val="left"/>
      </w:pPr>
      <w:r w:rsidRPr="006B4730">
        <w:t>S4 (Prescription Only Medicine)</w:t>
      </w:r>
    </w:p>
    <w:p w14:paraId="4C325A3F" w14:textId="77777777" w:rsidR="001A3992" w:rsidRPr="006B4730" w:rsidRDefault="00713DF2" w:rsidP="006E7460">
      <w:pPr>
        <w:pStyle w:val="Heading1"/>
        <w:numPr>
          <w:ilvl w:val="0"/>
          <w:numId w:val="0"/>
        </w:numPr>
        <w:ind w:left="432" w:hanging="432"/>
        <w:jc w:val="left"/>
      </w:pPr>
      <w:r w:rsidRPr="006B4730">
        <w:t xml:space="preserve">8 </w:t>
      </w:r>
      <w:r w:rsidR="001A3992" w:rsidRPr="006B4730">
        <w:t>Sponsor</w:t>
      </w:r>
    </w:p>
    <w:p w14:paraId="0124E864" w14:textId="77777777" w:rsidR="00A9415F" w:rsidRPr="006B4730" w:rsidRDefault="00A9415F" w:rsidP="006E7460">
      <w:pPr>
        <w:jc w:val="left"/>
      </w:pPr>
      <w:r w:rsidRPr="006B4730">
        <w:t>Bayer Australia Limited</w:t>
      </w:r>
    </w:p>
    <w:p w14:paraId="7FF3FBFF" w14:textId="77777777" w:rsidR="00A9415F" w:rsidRPr="006B4730" w:rsidRDefault="00A9415F" w:rsidP="006E7460">
      <w:pPr>
        <w:jc w:val="left"/>
      </w:pPr>
      <w:r w:rsidRPr="006B4730">
        <w:t>ABN 22 000 138 714</w:t>
      </w:r>
    </w:p>
    <w:p w14:paraId="4E176444" w14:textId="77777777" w:rsidR="00A9415F" w:rsidRPr="006B4730" w:rsidRDefault="00A9415F" w:rsidP="006E7460">
      <w:pPr>
        <w:jc w:val="left"/>
      </w:pPr>
      <w:r w:rsidRPr="006B4730">
        <w:t>875 Pacific Highway, Pymble NSW 2073</w:t>
      </w:r>
    </w:p>
    <w:p w14:paraId="726E6908" w14:textId="77777777" w:rsidR="00A9415F" w:rsidRPr="006B4730" w:rsidRDefault="006E7460" w:rsidP="006E7460">
      <w:pPr>
        <w:jc w:val="left"/>
      </w:pPr>
      <w:hyperlink r:id="rId15" w:history="1">
        <w:r w:rsidR="00A9415F" w:rsidRPr="006B4730">
          <w:rPr>
            <w:rStyle w:val="Hyperlink"/>
            <w:rFonts w:eastAsiaTheme="majorEastAsia"/>
            <w:color w:val="auto"/>
          </w:rPr>
          <w:t>www.bayer.com.au</w:t>
        </w:r>
      </w:hyperlink>
    </w:p>
    <w:p w14:paraId="7CA286A9" w14:textId="395C834B" w:rsidR="001A3992" w:rsidRPr="006B4730" w:rsidRDefault="00713DF2" w:rsidP="006E7460">
      <w:pPr>
        <w:pStyle w:val="Heading1"/>
        <w:numPr>
          <w:ilvl w:val="0"/>
          <w:numId w:val="0"/>
        </w:numPr>
        <w:ind w:left="432" w:hanging="432"/>
        <w:jc w:val="left"/>
      </w:pPr>
      <w:r w:rsidRPr="006B4730">
        <w:t xml:space="preserve">9 </w:t>
      </w:r>
      <w:r w:rsidR="00F735C4" w:rsidRPr="006B4730">
        <w:t>Date of first approval</w:t>
      </w:r>
    </w:p>
    <w:p w14:paraId="79C8E064" w14:textId="1FBC11D1" w:rsidR="0004484B" w:rsidRPr="006B2799" w:rsidRDefault="00D436DD" w:rsidP="006E7460">
      <w:pPr>
        <w:pStyle w:val="InstructionalText"/>
        <w:jc w:val="left"/>
        <w:rPr>
          <w:i w:val="0"/>
          <w:color w:val="auto"/>
        </w:rPr>
      </w:pPr>
      <w:r>
        <w:rPr>
          <w:i w:val="0"/>
          <w:color w:val="auto"/>
        </w:rPr>
        <w:t>25</w:t>
      </w:r>
      <w:r w:rsidR="006B2799" w:rsidRPr="006B2799">
        <w:rPr>
          <w:i w:val="0"/>
          <w:color w:val="auto"/>
        </w:rPr>
        <w:t xml:space="preserve"> November 2021</w:t>
      </w:r>
    </w:p>
    <w:p w14:paraId="2A555438" w14:textId="77777777" w:rsidR="001A3992" w:rsidRPr="006B4730" w:rsidRDefault="00713DF2" w:rsidP="006E7460">
      <w:pPr>
        <w:pStyle w:val="Heading1"/>
        <w:numPr>
          <w:ilvl w:val="0"/>
          <w:numId w:val="0"/>
        </w:numPr>
        <w:ind w:left="432" w:hanging="432"/>
        <w:jc w:val="left"/>
      </w:pPr>
      <w:r w:rsidRPr="006B4730">
        <w:t xml:space="preserve">10 </w:t>
      </w:r>
      <w:r w:rsidR="00F735C4" w:rsidRPr="006B4730">
        <w:t>Date of revision</w:t>
      </w:r>
    </w:p>
    <w:p w14:paraId="7C9009F5" w14:textId="0112C3D8" w:rsidR="0004484B" w:rsidRPr="008966D3" w:rsidRDefault="008966D3" w:rsidP="006E7460">
      <w:pPr>
        <w:pStyle w:val="InstructionalText"/>
        <w:jc w:val="left"/>
        <w:rPr>
          <w:i w:val="0"/>
          <w:color w:val="auto"/>
        </w:rPr>
      </w:pPr>
      <w:r w:rsidRPr="008966D3">
        <w:rPr>
          <w:i w:val="0"/>
          <w:color w:val="auto"/>
        </w:rPr>
        <w:t>Not applicable</w:t>
      </w:r>
    </w:p>
    <w:sectPr w:rsidR="0004484B" w:rsidRPr="008966D3" w:rsidSect="008C601A">
      <w:headerReference w:type="even" r:id="rId16"/>
      <w:headerReference w:type="default" r:id="rId17"/>
      <w:footerReference w:type="even" r:id="rId18"/>
      <w:footerReference w:type="default" r:id="rId19"/>
      <w:headerReference w:type="first" r:id="rId20"/>
      <w:footerReference w:type="first" r:id="rId21"/>
      <w:pgSz w:w="11906" w:h="16838"/>
      <w:pgMar w:top="1008" w:right="1152"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7112C" w14:textId="77777777" w:rsidR="00E53E09" w:rsidRDefault="00E53E09" w:rsidP="0061413A">
      <w:r>
        <w:separator/>
      </w:r>
    </w:p>
    <w:p w14:paraId="275AA2A6" w14:textId="77777777" w:rsidR="00E53E09" w:rsidRDefault="00E53E09" w:rsidP="0061413A"/>
  </w:endnote>
  <w:endnote w:type="continuationSeparator" w:id="0">
    <w:p w14:paraId="39B11FF7" w14:textId="77777777" w:rsidR="00E53E09" w:rsidRDefault="00E53E09" w:rsidP="0061413A">
      <w:r>
        <w:continuationSeparator/>
      </w:r>
    </w:p>
    <w:p w14:paraId="5B242810" w14:textId="77777777" w:rsidR="00E53E09" w:rsidRDefault="00E53E09" w:rsidP="0061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
    <w:altName w:val="Arial"/>
    <w:charset w:val="00"/>
    <w:family w:val="auto"/>
    <w:pitch w:val="variable"/>
    <w:sig w:usb0="00000003" w:usb1="00000000" w:usb2="00000000" w:usb3="00000000" w:csb0="00000001" w:csb1="00000000"/>
  </w:font>
  <w:font w:name="TimesNewRoman">
    <w:altName w:val="Yu Gothic"/>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7FE9" w14:textId="77777777" w:rsidR="00CA7685" w:rsidRDefault="00CA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DEE0" w14:textId="1B4F152C" w:rsidR="00E53E09" w:rsidRDefault="00E53E09" w:rsidP="0061413A">
    <w:pPr>
      <w:pStyle w:val="Footer"/>
    </w:pPr>
  </w:p>
  <w:sdt>
    <w:sdtPr>
      <w:id w:val="878062271"/>
      <w:docPartObj>
        <w:docPartGallery w:val="Page Numbers (Top of Page)"/>
        <w:docPartUnique/>
      </w:docPartObj>
    </w:sdtPr>
    <w:sdtEndPr/>
    <w:sdtContent>
      <w:p w14:paraId="1FC5D70C" w14:textId="79DC6BE3" w:rsidR="00E53E09" w:rsidRDefault="00E53E09" w:rsidP="0061413A">
        <w:pPr>
          <w:pStyle w:val="Footer"/>
        </w:pPr>
      </w:p>
      <w:p w14:paraId="5766D3D4" w14:textId="55279C07" w:rsidR="00E53E09" w:rsidRDefault="00E53E09" w:rsidP="0061413A">
        <w:pPr>
          <w:pStyle w:val="Footer"/>
        </w:pPr>
      </w:p>
      <w:p w14:paraId="03D7B91C" w14:textId="6CBB0539" w:rsidR="00E53E09" w:rsidRDefault="00E53E09" w:rsidP="0061413A">
        <w:pPr>
          <w:pStyle w:val="Footer"/>
        </w:pPr>
        <w:r>
          <w:t>Kerendia</w:t>
        </w:r>
        <w:r w:rsidRPr="000E0970">
          <w:rPr>
            <w:vertAlign w:val="superscript"/>
          </w:rPr>
          <w:t>®</w:t>
        </w:r>
        <w:r>
          <w:t xml:space="preserve"> PI V</w:t>
        </w:r>
        <w:r w:rsidR="00290F1F">
          <w:t>1.0</w:t>
        </w:r>
        <w:r>
          <w:t xml:space="preserve">; </w:t>
        </w:r>
        <w:r w:rsidRPr="002F2854">
          <w:t xml:space="preserve">CCDS </w:t>
        </w:r>
        <w:r>
          <w:t>1</w:t>
        </w:r>
        <w:r>
          <w:tab/>
        </w:r>
        <w:r>
          <w:tab/>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p>
    </w:sdtContent>
  </w:sdt>
  <w:p w14:paraId="2DF57B85" w14:textId="77777777" w:rsidR="00E53E09" w:rsidRDefault="00E53E09" w:rsidP="0061413A">
    <w:pPr>
      <w:pStyle w:val="Footer"/>
    </w:pPr>
  </w:p>
  <w:p w14:paraId="10820724" w14:textId="77777777" w:rsidR="00E53E09" w:rsidRDefault="00E53E09" w:rsidP="006141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29624" w14:textId="5C5ABD9A" w:rsidR="00E53E09" w:rsidRDefault="00E53E09" w:rsidP="0061413A">
    <w:pPr>
      <w:pStyle w:val="Footer"/>
    </w:pPr>
  </w:p>
  <w:sdt>
    <w:sdtPr>
      <w:id w:val="2038685584"/>
      <w:docPartObj>
        <w:docPartGallery w:val="Page Numbers (Top of Page)"/>
        <w:docPartUnique/>
      </w:docPartObj>
    </w:sdtPr>
    <w:sdtEndPr/>
    <w:sdtContent>
      <w:p w14:paraId="3F39E039" w14:textId="1BAB04D8" w:rsidR="00E53E09" w:rsidRDefault="00E53E09" w:rsidP="0061413A">
        <w:pPr>
          <w:pStyle w:val="Footer"/>
        </w:pPr>
      </w:p>
      <w:p w14:paraId="2A5BCA3E" w14:textId="14A2D37C" w:rsidR="00E53E09" w:rsidRDefault="00E53E09" w:rsidP="0061413A">
        <w:pPr>
          <w:pStyle w:val="Footer"/>
        </w:pPr>
        <w:r>
          <w:t>Kerendia</w:t>
        </w:r>
        <w:r w:rsidRPr="000E0970">
          <w:rPr>
            <w:vertAlign w:val="superscript"/>
          </w:rPr>
          <w:t>®</w:t>
        </w:r>
        <w:r>
          <w:t xml:space="preserve"> PI V</w:t>
        </w:r>
        <w:r w:rsidR="008052BF">
          <w:t>1.0</w:t>
        </w:r>
        <w:r>
          <w:t>; CCDS 1</w:t>
        </w:r>
        <w:r>
          <w:tab/>
        </w:r>
        <w:r>
          <w:tab/>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p>
    </w:sdtContent>
  </w:sdt>
  <w:p w14:paraId="668EF55C" w14:textId="77777777" w:rsidR="00E53E09" w:rsidRDefault="00E53E09" w:rsidP="0061413A">
    <w:pPr>
      <w:pStyle w:val="Footer"/>
    </w:pPr>
  </w:p>
  <w:p w14:paraId="62E12692" w14:textId="77777777" w:rsidR="00E53E09" w:rsidRDefault="00E53E09" w:rsidP="006141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35A91" w14:textId="77777777" w:rsidR="00E53E09" w:rsidRDefault="00E53E09" w:rsidP="0061413A">
      <w:r>
        <w:separator/>
      </w:r>
    </w:p>
    <w:p w14:paraId="3B86204D" w14:textId="77777777" w:rsidR="00E53E09" w:rsidRDefault="00E53E09" w:rsidP="0061413A"/>
  </w:footnote>
  <w:footnote w:type="continuationSeparator" w:id="0">
    <w:p w14:paraId="34868148" w14:textId="77777777" w:rsidR="00E53E09" w:rsidRDefault="00E53E09" w:rsidP="0061413A">
      <w:r>
        <w:continuationSeparator/>
      </w:r>
    </w:p>
    <w:p w14:paraId="271A6D11" w14:textId="77777777" w:rsidR="00E53E09" w:rsidRDefault="00E53E09" w:rsidP="00614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D24BE" w14:textId="77777777" w:rsidR="00CA7685" w:rsidRDefault="00CA7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472"/>
    </w:tblGrid>
    <w:tr w:rsidR="006E7460" w:rsidRPr="000B2145" w14:paraId="2549CE12" w14:textId="77777777" w:rsidTr="00A76D1F">
      <w:trPr>
        <w:trHeight w:val="590"/>
      </w:trPr>
      <w:tc>
        <w:tcPr>
          <w:tcW w:w="8472" w:type="dxa"/>
          <w:shd w:val="clear" w:color="auto" w:fill="E4F2E0"/>
        </w:tcPr>
        <w:p w14:paraId="66ECCB8D" w14:textId="77777777" w:rsidR="006E7460" w:rsidRPr="000B2145" w:rsidRDefault="006E7460" w:rsidP="006E7460">
          <w:pPr>
            <w:pStyle w:val="Footer"/>
            <w:rPr>
              <w:b/>
              <w:sz w:val="18"/>
              <w:szCs w:val="18"/>
            </w:rPr>
          </w:pPr>
          <w:r w:rsidRPr="000E7E13">
            <w:rPr>
              <w:b/>
              <w:sz w:val="18"/>
              <w:szCs w:val="18"/>
            </w:rPr>
            <w:t>Attachment 1</w:t>
          </w:r>
          <w:r>
            <w:t xml:space="preserve"> </w:t>
          </w:r>
          <w:r w:rsidRPr="00211963">
            <w:rPr>
              <w:b/>
              <w:sz w:val="18"/>
              <w:szCs w:val="18"/>
            </w:rPr>
            <w:t>AusPAR - Kerendia - finerenone - Bayer Australia Limited - PM-2020-05944-1-5</w:t>
          </w:r>
          <w:r>
            <w:rPr>
              <w:b/>
              <w:sz w:val="18"/>
              <w:szCs w:val="18"/>
            </w:rPr>
            <w:t xml:space="preserve"> </w:t>
          </w:r>
          <w:r w:rsidRPr="00211963">
            <w:rPr>
              <w:b/>
              <w:sz w:val="18"/>
              <w:szCs w:val="18"/>
            </w:rPr>
            <w:t>FINAL 19 May 2022</w:t>
          </w:r>
          <w:r w:rsidRPr="00D256F8">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E0818F8" w14:textId="77777777" w:rsidR="00CA7685" w:rsidRDefault="00CA7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472"/>
    </w:tblGrid>
    <w:tr w:rsidR="006E7460" w:rsidRPr="000B2145" w14:paraId="7D5BE934" w14:textId="77777777" w:rsidTr="00A76D1F">
      <w:trPr>
        <w:trHeight w:val="590"/>
      </w:trPr>
      <w:tc>
        <w:tcPr>
          <w:tcW w:w="8472" w:type="dxa"/>
          <w:shd w:val="clear" w:color="auto" w:fill="E4F2E0"/>
        </w:tcPr>
        <w:p w14:paraId="746FBABD" w14:textId="77777777" w:rsidR="006E7460" w:rsidRPr="000B2145" w:rsidRDefault="006E7460" w:rsidP="006E7460">
          <w:pPr>
            <w:pStyle w:val="Footer"/>
            <w:rPr>
              <w:b/>
              <w:sz w:val="18"/>
              <w:szCs w:val="18"/>
            </w:rPr>
          </w:pPr>
          <w:bookmarkStart w:id="26" w:name="_Hlk80614836"/>
          <w:r w:rsidRPr="000E7E13">
            <w:rPr>
              <w:b/>
              <w:sz w:val="18"/>
              <w:szCs w:val="18"/>
            </w:rPr>
            <w:t>Attachment 1</w:t>
          </w:r>
          <w:r>
            <w:t xml:space="preserve"> </w:t>
          </w:r>
          <w:r w:rsidRPr="00211963">
            <w:rPr>
              <w:b/>
              <w:sz w:val="18"/>
              <w:szCs w:val="18"/>
            </w:rPr>
            <w:t>AusPAR - Kerendia - finerenone - Bayer Australia Limited - PM-2020-05944-1-5</w:t>
          </w:r>
          <w:r>
            <w:rPr>
              <w:b/>
              <w:sz w:val="18"/>
              <w:szCs w:val="18"/>
            </w:rPr>
            <w:t xml:space="preserve"> </w:t>
          </w:r>
          <w:r w:rsidRPr="00211963">
            <w:rPr>
              <w:b/>
              <w:sz w:val="18"/>
              <w:szCs w:val="18"/>
            </w:rPr>
            <w:t>FINAL 19 May 2022</w:t>
          </w:r>
          <w:r w:rsidRPr="00D256F8">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bookmarkEnd w:id="26"/>
  <w:p w14:paraId="5E43AE3B" w14:textId="0B02094F" w:rsidR="00E53E09" w:rsidRPr="00BE4862" w:rsidRDefault="00CA7685" w:rsidP="0061413A">
    <w:r w:rsidRPr="00CA7685">
      <w:rPr>
        <w:rFonts w:asciiTheme="minorHAnsi" w:hAnsiTheme="minorHAnsi" w:cstheme="minorBidi"/>
        <w:noProof/>
        <w:lang w:eastAsia="en-AU"/>
      </w:rPr>
      <mc:AlternateContent>
        <mc:Choice Requires="wps">
          <w:drawing>
            <wp:inline distT="0" distB="0" distL="0" distR="0" wp14:anchorId="3C6402B0" wp14:editId="63C7F845">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2B026" w14:textId="77777777" w:rsidR="00CA7685" w:rsidRPr="00BE2A26" w:rsidRDefault="00CA7685" w:rsidP="00CA7685">
                          <w:pPr>
                            <w:rPr>
                              <w:rFonts w:ascii="Wingdings 3" w:hAnsi="Wingdings 3"/>
                              <w:sz w:val="24"/>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3C6402B0"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44C2B026" w14:textId="77777777" w:rsidR="00CA7685" w:rsidRPr="00BE2A26" w:rsidRDefault="00CA7685" w:rsidP="00CA7685">
                    <w:pPr>
                      <w:rPr>
                        <w:rFonts w:ascii="Wingdings 3" w:hAnsi="Wingdings 3"/>
                        <w:sz w:val="24"/>
                      </w:rPr>
                    </w:pPr>
                    <w:r w:rsidRPr="00BE2A26">
                      <w:rPr>
                        <w:rFonts w:ascii="SimSun" w:eastAsia="SimSun" w:hAnsi="SimSun" w:hint="eastAsia"/>
                        <w:sz w:val="40"/>
                      </w:rPr>
                      <w:t>▼</w:t>
                    </w:r>
                  </w:p>
                </w:txbxContent>
              </v:textbox>
              <w10:anchorlock/>
            </v:shape>
          </w:pict>
        </mc:Fallback>
      </mc:AlternateContent>
    </w:r>
    <w:r w:rsidR="00E53E09" w:rsidRPr="00BE4862">
      <w:t xml:space="preserve">This medicinal product is subject to additional monitoring in Australia. This will allow quick identification of new safety information. Healthcare professionals are asked to report any suspected adverse events at </w:t>
    </w:r>
    <w:hyperlink r:id="rId2" w:history="1">
      <w:r w:rsidR="00E53E09" w:rsidRPr="00BE4862">
        <w:rPr>
          <w:rStyle w:val="Hyperlink"/>
        </w:rPr>
        <w:t>www.tga.gov.au/reporting-problems</w:t>
      </w:r>
    </w:hyperlink>
    <w:r w:rsidR="00E53E09" w:rsidRPr="00BE4862">
      <w:t>.</w:t>
    </w:r>
  </w:p>
  <w:p w14:paraId="56CDB54E" w14:textId="77777777" w:rsidR="00E53E09" w:rsidRDefault="00E53E09" w:rsidP="001E0C1F">
    <w:pPr>
      <w:pStyle w:val="Default"/>
      <w:jc w:val="center"/>
      <w:rPr>
        <w:b/>
        <w:sz w:val="28"/>
      </w:rPr>
    </w:pPr>
  </w:p>
  <w:p w14:paraId="2CB15F68" w14:textId="3F4B83C2" w:rsidR="00E53E09" w:rsidRDefault="00E53E09" w:rsidP="001E0C1F">
    <w:pPr>
      <w:pStyle w:val="Default"/>
      <w:jc w:val="center"/>
      <w:rPr>
        <w:b/>
        <w:sz w:val="28"/>
      </w:rPr>
    </w:pPr>
    <w:r>
      <w:rPr>
        <w:b/>
        <w:sz w:val="28"/>
      </w:rPr>
      <w:t>AUSTRALIAN PRODUCT INFORMATION</w:t>
    </w:r>
  </w:p>
  <w:p w14:paraId="2BA5EC1A" w14:textId="317E5A2A" w:rsidR="00E53E09" w:rsidRDefault="00E53E09" w:rsidP="001E0C1F">
    <w:pPr>
      <w:pStyle w:val="Default"/>
      <w:jc w:val="center"/>
      <w:rPr>
        <w:b/>
        <w:sz w:val="28"/>
      </w:rPr>
    </w:pPr>
    <w:r>
      <w:rPr>
        <w:b/>
        <w:sz w:val="28"/>
      </w:rPr>
      <w:t>Kerendia</w:t>
    </w:r>
    <w:r w:rsidRPr="000E0970">
      <w:rPr>
        <w:b/>
        <w:sz w:val="28"/>
        <w:vertAlign w:val="superscript"/>
      </w:rPr>
      <w:t>®</w:t>
    </w:r>
    <w:r>
      <w:rPr>
        <w:b/>
        <w:sz w:val="28"/>
      </w:rPr>
      <w:t xml:space="preserve"> (finerenone) film-coated tablets</w:t>
    </w:r>
  </w:p>
  <w:p w14:paraId="728A0E5F" w14:textId="1B9A36D4" w:rsidR="00E53E09" w:rsidRPr="00A9415F" w:rsidRDefault="00E53E09" w:rsidP="0061413A">
    <w:pPr>
      <w:pStyle w:val="Header"/>
    </w:pPr>
  </w:p>
  <w:p w14:paraId="1A3CD822" w14:textId="77777777" w:rsidR="00E53E09" w:rsidRDefault="00E53E09" w:rsidP="00614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92A6F"/>
    <w:multiLevelType w:val="hybridMultilevel"/>
    <w:tmpl w:val="66985A26"/>
    <w:lvl w:ilvl="0" w:tplc="07BCF0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F5B4B"/>
    <w:multiLevelType w:val="hybridMultilevel"/>
    <w:tmpl w:val="C38204C2"/>
    <w:lvl w:ilvl="0" w:tplc="DC146FA0">
      <w:numFmt w:val="bullet"/>
      <w:lvlText w:val="-"/>
      <w:lvlJc w:val="left"/>
      <w:pPr>
        <w:ind w:left="720" w:hanging="360"/>
      </w:pPr>
      <w:rPr>
        <w:rFonts w:ascii="Cambria" w:eastAsiaTheme="minorHAnsi"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07ECC"/>
    <w:multiLevelType w:val="hybridMultilevel"/>
    <w:tmpl w:val="67D86422"/>
    <w:lvl w:ilvl="0" w:tplc="833405A0">
      <w:start w:val="1"/>
      <w:numFmt w:val="decimal"/>
      <w:pStyle w:val="Body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A5091"/>
    <w:multiLevelType w:val="hybridMultilevel"/>
    <w:tmpl w:val="9FA4CA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016EA"/>
    <w:multiLevelType w:val="hybridMultilevel"/>
    <w:tmpl w:val="700AA4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6B7C76"/>
    <w:multiLevelType w:val="hybridMultilevel"/>
    <w:tmpl w:val="266C49C6"/>
    <w:lvl w:ilvl="0" w:tplc="8B769C56">
      <w:start w:val="1"/>
      <w:numFmt w:val="bullet"/>
      <w:pStyle w:val="Bodydo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E23A5"/>
    <w:multiLevelType w:val="hybridMultilevel"/>
    <w:tmpl w:val="4ACCF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5F47C4"/>
    <w:multiLevelType w:val="hybridMultilevel"/>
    <w:tmpl w:val="D5A47518"/>
    <w:lvl w:ilvl="0" w:tplc="D102ED5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98509F"/>
    <w:multiLevelType w:val="hybridMultilevel"/>
    <w:tmpl w:val="691AA516"/>
    <w:lvl w:ilvl="0" w:tplc="DE3645D4">
      <w:start w:val="1"/>
      <w:numFmt w:val="bullet"/>
      <w:lvlText w:val="-"/>
      <w:lvlJc w:val="left"/>
      <w:pPr>
        <w:ind w:left="720" w:hanging="360"/>
      </w:pPr>
      <w:rPr>
        <w:rFonts w:ascii="Cambria" w:eastAsiaTheme="minorHAnsi"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60B38"/>
    <w:multiLevelType w:val="hybridMultilevel"/>
    <w:tmpl w:val="52062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C0EAA"/>
    <w:multiLevelType w:val="hybridMultilevel"/>
    <w:tmpl w:val="D374A542"/>
    <w:lvl w:ilvl="0" w:tplc="0358C1D8">
      <w:start w:val="5"/>
      <w:numFmt w:val="bullet"/>
      <w:pStyle w:val="Heading4"/>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17D65"/>
    <w:multiLevelType w:val="hybridMultilevel"/>
    <w:tmpl w:val="A5CCF6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3E1B21"/>
    <w:multiLevelType w:val="hybridMultilevel"/>
    <w:tmpl w:val="0C78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568BE"/>
    <w:multiLevelType w:val="hybridMultilevel"/>
    <w:tmpl w:val="3DA8B6DE"/>
    <w:lvl w:ilvl="0" w:tplc="EE7A49F4">
      <w:numFmt w:val="bullet"/>
      <w:lvlText w:val=""/>
      <w:lvlJc w:val="left"/>
      <w:pPr>
        <w:ind w:left="1029" w:hanging="361"/>
      </w:pPr>
      <w:rPr>
        <w:rFonts w:ascii="Symbol" w:eastAsia="Symbol" w:hAnsi="Symbol" w:cs="Symbol" w:hint="default"/>
        <w:w w:val="100"/>
        <w:sz w:val="22"/>
        <w:szCs w:val="22"/>
        <w:lang w:val="en-AU" w:eastAsia="en-AU" w:bidi="en-AU"/>
      </w:rPr>
    </w:lvl>
    <w:lvl w:ilvl="1" w:tplc="9F865350">
      <w:numFmt w:val="bullet"/>
      <w:lvlText w:val="•"/>
      <w:lvlJc w:val="left"/>
      <w:pPr>
        <w:ind w:left="1842" w:hanging="361"/>
      </w:pPr>
      <w:rPr>
        <w:rFonts w:hint="default"/>
        <w:lang w:val="en-AU" w:eastAsia="en-AU" w:bidi="en-AU"/>
      </w:rPr>
    </w:lvl>
    <w:lvl w:ilvl="2" w:tplc="A4F49038">
      <w:numFmt w:val="bullet"/>
      <w:lvlText w:val="•"/>
      <w:lvlJc w:val="left"/>
      <w:pPr>
        <w:ind w:left="2665" w:hanging="361"/>
      </w:pPr>
      <w:rPr>
        <w:rFonts w:hint="default"/>
        <w:lang w:val="en-AU" w:eastAsia="en-AU" w:bidi="en-AU"/>
      </w:rPr>
    </w:lvl>
    <w:lvl w:ilvl="3" w:tplc="20A842D6">
      <w:numFmt w:val="bullet"/>
      <w:lvlText w:val="•"/>
      <w:lvlJc w:val="left"/>
      <w:pPr>
        <w:ind w:left="3487" w:hanging="361"/>
      </w:pPr>
      <w:rPr>
        <w:rFonts w:hint="default"/>
        <w:lang w:val="en-AU" w:eastAsia="en-AU" w:bidi="en-AU"/>
      </w:rPr>
    </w:lvl>
    <w:lvl w:ilvl="4" w:tplc="6812DF98">
      <w:numFmt w:val="bullet"/>
      <w:lvlText w:val="•"/>
      <w:lvlJc w:val="left"/>
      <w:pPr>
        <w:ind w:left="4310" w:hanging="361"/>
      </w:pPr>
      <w:rPr>
        <w:rFonts w:hint="default"/>
        <w:lang w:val="en-AU" w:eastAsia="en-AU" w:bidi="en-AU"/>
      </w:rPr>
    </w:lvl>
    <w:lvl w:ilvl="5" w:tplc="4DEA8DA0">
      <w:numFmt w:val="bullet"/>
      <w:lvlText w:val="•"/>
      <w:lvlJc w:val="left"/>
      <w:pPr>
        <w:ind w:left="5133" w:hanging="361"/>
      </w:pPr>
      <w:rPr>
        <w:rFonts w:hint="default"/>
        <w:lang w:val="en-AU" w:eastAsia="en-AU" w:bidi="en-AU"/>
      </w:rPr>
    </w:lvl>
    <w:lvl w:ilvl="6" w:tplc="A55C3838">
      <w:numFmt w:val="bullet"/>
      <w:lvlText w:val="•"/>
      <w:lvlJc w:val="left"/>
      <w:pPr>
        <w:ind w:left="5955" w:hanging="361"/>
      </w:pPr>
      <w:rPr>
        <w:rFonts w:hint="default"/>
        <w:lang w:val="en-AU" w:eastAsia="en-AU" w:bidi="en-AU"/>
      </w:rPr>
    </w:lvl>
    <w:lvl w:ilvl="7" w:tplc="23782624">
      <w:numFmt w:val="bullet"/>
      <w:lvlText w:val="•"/>
      <w:lvlJc w:val="left"/>
      <w:pPr>
        <w:ind w:left="6778" w:hanging="361"/>
      </w:pPr>
      <w:rPr>
        <w:rFonts w:hint="default"/>
        <w:lang w:val="en-AU" w:eastAsia="en-AU" w:bidi="en-AU"/>
      </w:rPr>
    </w:lvl>
    <w:lvl w:ilvl="8" w:tplc="B4BC3666">
      <w:numFmt w:val="bullet"/>
      <w:lvlText w:val="•"/>
      <w:lvlJc w:val="left"/>
      <w:pPr>
        <w:ind w:left="7601" w:hanging="361"/>
      </w:pPr>
      <w:rPr>
        <w:rFonts w:hint="default"/>
        <w:lang w:val="en-AU" w:eastAsia="en-AU" w:bidi="en-AU"/>
      </w:rPr>
    </w:lvl>
  </w:abstractNum>
  <w:abstractNum w:abstractNumId="17" w15:restartNumberingAfterBreak="0">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18" w15:restartNumberingAfterBreak="0">
    <w:nsid w:val="38374835"/>
    <w:multiLevelType w:val="hybridMultilevel"/>
    <w:tmpl w:val="E0800820"/>
    <w:lvl w:ilvl="0" w:tplc="2CB0AB4C">
      <w:start w:val="1"/>
      <w:numFmt w:val="bullet"/>
      <w:pStyle w:val="Bodydo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0E54"/>
    <w:multiLevelType w:val="hybridMultilevel"/>
    <w:tmpl w:val="BB60D332"/>
    <w:lvl w:ilvl="0" w:tplc="B9F21696">
      <w:start w:val="1"/>
      <w:numFmt w:val="upperRoman"/>
      <w:lvlText w:val="%1"/>
      <w:lvlJc w:val="left"/>
      <w:pPr>
        <w:ind w:left="1028" w:hanging="720"/>
      </w:pPr>
      <w:rPr>
        <w:rFonts w:ascii="Arial" w:eastAsia="Arial" w:hAnsi="Arial" w:cs="Arial" w:hint="default"/>
        <w:w w:val="99"/>
        <w:sz w:val="20"/>
        <w:szCs w:val="20"/>
        <w:lang w:val="en-AU" w:eastAsia="en-AU" w:bidi="en-AU"/>
      </w:rPr>
    </w:lvl>
    <w:lvl w:ilvl="1" w:tplc="C7324F02">
      <w:numFmt w:val="bullet"/>
      <w:lvlText w:val="•"/>
      <w:lvlJc w:val="left"/>
      <w:pPr>
        <w:ind w:left="1842" w:hanging="720"/>
      </w:pPr>
      <w:rPr>
        <w:rFonts w:hint="default"/>
        <w:lang w:val="en-AU" w:eastAsia="en-AU" w:bidi="en-AU"/>
      </w:rPr>
    </w:lvl>
    <w:lvl w:ilvl="2" w:tplc="7206E80C">
      <w:numFmt w:val="bullet"/>
      <w:lvlText w:val="•"/>
      <w:lvlJc w:val="left"/>
      <w:pPr>
        <w:ind w:left="2665" w:hanging="720"/>
      </w:pPr>
      <w:rPr>
        <w:rFonts w:hint="default"/>
        <w:lang w:val="en-AU" w:eastAsia="en-AU" w:bidi="en-AU"/>
      </w:rPr>
    </w:lvl>
    <w:lvl w:ilvl="3" w:tplc="BD1EA534">
      <w:numFmt w:val="bullet"/>
      <w:lvlText w:val="•"/>
      <w:lvlJc w:val="left"/>
      <w:pPr>
        <w:ind w:left="3487" w:hanging="720"/>
      </w:pPr>
      <w:rPr>
        <w:rFonts w:hint="default"/>
        <w:lang w:val="en-AU" w:eastAsia="en-AU" w:bidi="en-AU"/>
      </w:rPr>
    </w:lvl>
    <w:lvl w:ilvl="4" w:tplc="394A3E68">
      <w:numFmt w:val="bullet"/>
      <w:lvlText w:val="•"/>
      <w:lvlJc w:val="left"/>
      <w:pPr>
        <w:ind w:left="4310" w:hanging="720"/>
      </w:pPr>
      <w:rPr>
        <w:rFonts w:hint="default"/>
        <w:lang w:val="en-AU" w:eastAsia="en-AU" w:bidi="en-AU"/>
      </w:rPr>
    </w:lvl>
    <w:lvl w:ilvl="5" w:tplc="9A66DB4E">
      <w:numFmt w:val="bullet"/>
      <w:lvlText w:val="•"/>
      <w:lvlJc w:val="left"/>
      <w:pPr>
        <w:ind w:left="5133" w:hanging="720"/>
      </w:pPr>
      <w:rPr>
        <w:rFonts w:hint="default"/>
        <w:lang w:val="en-AU" w:eastAsia="en-AU" w:bidi="en-AU"/>
      </w:rPr>
    </w:lvl>
    <w:lvl w:ilvl="6" w:tplc="E1B68BFA">
      <w:numFmt w:val="bullet"/>
      <w:lvlText w:val="•"/>
      <w:lvlJc w:val="left"/>
      <w:pPr>
        <w:ind w:left="5955" w:hanging="720"/>
      </w:pPr>
      <w:rPr>
        <w:rFonts w:hint="default"/>
        <w:lang w:val="en-AU" w:eastAsia="en-AU" w:bidi="en-AU"/>
      </w:rPr>
    </w:lvl>
    <w:lvl w:ilvl="7" w:tplc="69E04C74">
      <w:numFmt w:val="bullet"/>
      <w:lvlText w:val="•"/>
      <w:lvlJc w:val="left"/>
      <w:pPr>
        <w:ind w:left="6778" w:hanging="720"/>
      </w:pPr>
      <w:rPr>
        <w:rFonts w:hint="default"/>
        <w:lang w:val="en-AU" w:eastAsia="en-AU" w:bidi="en-AU"/>
      </w:rPr>
    </w:lvl>
    <w:lvl w:ilvl="8" w:tplc="4C18ABEE">
      <w:numFmt w:val="bullet"/>
      <w:lvlText w:val="•"/>
      <w:lvlJc w:val="left"/>
      <w:pPr>
        <w:ind w:left="7601" w:hanging="720"/>
      </w:pPr>
      <w:rPr>
        <w:rFonts w:hint="default"/>
        <w:lang w:val="en-AU" w:eastAsia="en-AU" w:bidi="en-AU"/>
      </w:rPr>
    </w:lvl>
  </w:abstractNum>
  <w:abstractNum w:abstractNumId="20" w15:restartNumberingAfterBreak="0">
    <w:nsid w:val="3DCF7DB4"/>
    <w:multiLevelType w:val="hybridMultilevel"/>
    <w:tmpl w:val="6F24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24BE9"/>
    <w:multiLevelType w:val="hybridMultilevel"/>
    <w:tmpl w:val="406022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CF333D"/>
    <w:multiLevelType w:val="hybridMultilevel"/>
    <w:tmpl w:val="B6B8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1B383E"/>
    <w:multiLevelType w:val="hybridMultilevel"/>
    <w:tmpl w:val="B16630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DE000A"/>
    <w:multiLevelType w:val="hybridMultilevel"/>
    <w:tmpl w:val="669C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2339B"/>
    <w:multiLevelType w:val="hybridMultilevel"/>
    <w:tmpl w:val="14709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E83037"/>
    <w:multiLevelType w:val="multilevel"/>
    <w:tmpl w:val="17F222C2"/>
    <w:lvl w:ilvl="0">
      <w:start w:val="1"/>
      <w:numFmt w:val="decimal"/>
      <w:lvlText w:val="%1."/>
      <w:lvlJc w:val="left"/>
      <w:pPr>
        <w:tabs>
          <w:tab w:val="num" w:pos="0"/>
        </w:tabs>
        <w:ind w:left="1134" w:hanging="1134"/>
      </w:pPr>
      <w:rPr>
        <w:rFonts w:hint="default"/>
        <w:b/>
        <w:sz w:val="28"/>
      </w:rPr>
    </w:lvl>
    <w:lvl w:ilvl="1">
      <w:start w:val="2"/>
      <w:numFmt w:val="decimal"/>
      <w:lvlText w:val="%1.%2"/>
      <w:lvlJc w:val="left"/>
      <w:pPr>
        <w:tabs>
          <w:tab w:val="num" w:pos="4536"/>
        </w:tabs>
        <w:ind w:left="5670" w:hanging="1134"/>
      </w:pPr>
      <w:rPr>
        <w:rFonts w:hint="default"/>
        <w:b/>
      </w:rPr>
    </w:lvl>
    <w:lvl w:ilvl="2">
      <w:start w:val="3"/>
      <w:numFmt w:val="decimal"/>
      <w:lvlText w:val="%1.%2.%3"/>
      <w:lvlJc w:val="left"/>
      <w:pPr>
        <w:tabs>
          <w:tab w:val="num" w:pos="4770"/>
        </w:tabs>
        <w:ind w:left="5904" w:hanging="1134"/>
      </w:pPr>
      <w:rPr>
        <w:rFonts w:hint="default"/>
        <w:b/>
      </w:rPr>
    </w:lvl>
    <w:lvl w:ilvl="3">
      <w:start w:val="4"/>
      <w:numFmt w:val="decimal"/>
      <w:lvlText w:val="%1.%2.%3.%4"/>
      <w:lvlJc w:val="left"/>
      <w:pPr>
        <w:tabs>
          <w:tab w:val="num" w:pos="990"/>
        </w:tabs>
        <w:ind w:left="2124" w:hanging="1134"/>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0"/>
        </w:tabs>
        <w:ind w:left="1134" w:hanging="1134"/>
      </w:pPr>
      <w:rPr>
        <w:rFonts w:hint="default"/>
      </w:rPr>
    </w:lvl>
    <w:lvl w:ilvl="6">
      <w:start w:val="1"/>
      <w:numFmt w:val="decimal"/>
      <w:lvlText w:val="%1.%2.%3.%4.%5.%6.%7"/>
      <w:lvlJc w:val="left"/>
      <w:pPr>
        <w:tabs>
          <w:tab w:val="num" w:pos="0"/>
        </w:tabs>
        <w:ind w:left="1134" w:hanging="1134"/>
      </w:pPr>
      <w:rPr>
        <w:rFonts w:hint="default"/>
      </w:rPr>
    </w:lvl>
    <w:lvl w:ilvl="7">
      <w:start w:val="1"/>
      <w:numFmt w:val="decimal"/>
      <w:lvlText w:val="%1.%2.%3.%4.%5.%6.%7.%8"/>
      <w:lvlJc w:val="left"/>
      <w:pPr>
        <w:tabs>
          <w:tab w:val="num" w:pos="0"/>
        </w:tabs>
        <w:ind w:left="1134" w:hanging="1134"/>
      </w:pPr>
      <w:rPr>
        <w:rFonts w:hint="default"/>
      </w:rPr>
    </w:lvl>
    <w:lvl w:ilvl="8">
      <w:start w:val="1"/>
      <w:numFmt w:val="decimal"/>
      <w:lvlText w:val="%1.%2.%3.%4.%5.%6.%7.%8.%9"/>
      <w:lvlJc w:val="left"/>
      <w:pPr>
        <w:tabs>
          <w:tab w:val="num" w:pos="0"/>
        </w:tabs>
        <w:ind w:left="1134" w:hanging="1134"/>
      </w:pPr>
      <w:rPr>
        <w:rFonts w:hint="default"/>
      </w:rPr>
    </w:lvl>
  </w:abstractNum>
  <w:abstractNum w:abstractNumId="2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446BA"/>
    <w:multiLevelType w:val="hybridMultilevel"/>
    <w:tmpl w:val="2EB2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E3178"/>
    <w:multiLevelType w:val="multilevel"/>
    <w:tmpl w:val="291687E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F16BFA"/>
    <w:multiLevelType w:val="hybridMultilevel"/>
    <w:tmpl w:val="6DBC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2A1801"/>
    <w:multiLevelType w:val="hybridMultilevel"/>
    <w:tmpl w:val="3420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217A"/>
    <w:multiLevelType w:val="hybridMultilevel"/>
    <w:tmpl w:val="404C0E78"/>
    <w:lvl w:ilvl="0" w:tplc="321CE024">
      <w:numFmt w:val="bullet"/>
      <w:lvlText w:val="-"/>
      <w:lvlJc w:val="left"/>
      <w:pPr>
        <w:ind w:left="405" w:hanging="360"/>
      </w:pPr>
      <w:rPr>
        <w:rFonts w:ascii="Cambria" w:eastAsiaTheme="minorHAnsi" w:hAnsi="Cambria"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8" w15:restartNumberingAfterBreak="0">
    <w:nsid w:val="7A5617E2"/>
    <w:multiLevelType w:val="hybridMultilevel"/>
    <w:tmpl w:val="DFBAA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0"/>
  </w:num>
  <w:num w:numId="4">
    <w:abstractNumId w:val="25"/>
  </w:num>
  <w:num w:numId="5">
    <w:abstractNumId w:val="39"/>
  </w:num>
  <w:num w:numId="6">
    <w:abstractNumId w:val="34"/>
  </w:num>
  <w:num w:numId="7">
    <w:abstractNumId w:val="29"/>
  </w:num>
  <w:num w:numId="8">
    <w:abstractNumId w:val="35"/>
  </w:num>
  <w:num w:numId="9">
    <w:abstractNumId w:val="12"/>
  </w:num>
  <w:num w:numId="10">
    <w:abstractNumId w:val="28"/>
  </w:num>
  <w:num w:numId="11">
    <w:abstractNumId w:val="14"/>
  </w:num>
  <w:num w:numId="12">
    <w:abstractNumId w:val="38"/>
  </w:num>
  <w:num w:numId="13">
    <w:abstractNumId w:val="11"/>
  </w:num>
  <w:num w:numId="14">
    <w:abstractNumId w:val="23"/>
  </w:num>
  <w:num w:numId="15">
    <w:abstractNumId w:val="30"/>
  </w:num>
  <w:num w:numId="16">
    <w:abstractNumId w:val="20"/>
  </w:num>
  <w:num w:numId="17">
    <w:abstractNumId w:val="18"/>
  </w:num>
  <w:num w:numId="18">
    <w:abstractNumId w:val="3"/>
  </w:num>
  <w:num w:numId="19">
    <w:abstractNumId w:val="7"/>
  </w:num>
  <w:num w:numId="20">
    <w:abstractNumId w:val="16"/>
  </w:num>
  <w:num w:numId="21">
    <w:abstractNumId w:val="19"/>
  </w:num>
  <w:num w:numId="22">
    <w:abstractNumId w:val="36"/>
  </w:num>
  <w:num w:numId="23">
    <w:abstractNumId w:val="1"/>
  </w:num>
  <w:num w:numId="24">
    <w:abstractNumId w:val="24"/>
  </w:num>
  <w:num w:numId="25">
    <w:abstractNumId w:val="31"/>
  </w:num>
  <w:num w:numId="26">
    <w:abstractNumId w:val="27"/>
  </w:num>
  <w:num w:numId="27">
    <w:abstractNumId w:val="27"/>
    <w:lvlOverride w:ilvl="0">
      <w:startOverride w:val="5"/>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4"/>
    </w:lvlOverride>
    <w:lvlOverride w:ilvl="1">
      <w:startOverride w:val="4"/>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7"/>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8"/>
  </w:num>
  <w:num w:numId="35">
    <w:abstractNumId w:val="15"/>
  </w:num>
  <w:num w:numId="36">
    <w:abstractNumId w:val="22"/>
  </w:num>
  <w:num w:numId="37">
    <w:abstractNumId w:val="17"/>
  </w:num>
  <w:num w:numId="38">
    <w:abstractNumId w:val="6"/>
  </w:num>
  <w:num w:numId="39">
    <w:abstractNumId w:val="4"/>
  </w:num>
  <w:num w:numId="40">
    <w:abstractNumId w:val="21"/>
  </w:num>
  <w:num w:numId="41">
    <w:abstractNumId w:val="37"/>
  </w:num>
  <w:num w:numId="42">
    <w:abstractNumId w:val="26"/>
  </w:num>
  <w:num w:numId="43">
    <w:abstractNumId w:val="1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B8"/>
    <w:rsid w:val="0000128F"/>
    <w:rsid w:val="000034FC"/>
    <w:rsid w:val="00007B4E"/>
    <w:rsid w:val="00010C0F"/>
    <w:rsid w:val="00011527"/>
    <w:rsid w:val="00011E46"/>
    <w:rsid w:val="00013958"/>
    <w:rsid w:val="00023A1B"/>
    <w:rsid w:val="000243D6"/>
    <w:rsid w:val="000341DF"/>
    <w:rsid w:val="00034C70"/>
    <w:rsid w:val="0003797B"/>
    <w:rsid w:val="00043464"/>
    <w:rsid w:val="0004484B"/>
    <w:rsid w:val="000459E0"/>
    <w:rsid w:val="0005366B"/>
    <w:rsid w:val="00061E37"/>
    <w:rsid w:val="000634AB"/>
    <w:rsid w:val="00065DD2"/>
    <w:rsid w:val="00071248"/>
    <w:rsid w:val="00073629"/>
    <w:rsid w:val="000744B8"/>
    <w:rsid w:val="00074FEF"/>
    <w:rsid w:val="00080B19"/>
    <w:rsid w:val="00082425"/>
    <w:rsid w:val="00084987"/>
    <w:rsid w:val="000868C5"/>
    <w:rsid w:val="0009165D"/>
    <w:rsid w:val="00091BF5"/>
    <w:rsid w:val="000A02A7"/>
    <w:rsid w:val="000A1C2D"/>
    <w:rsid w:val="000A2762"/>
    <w:rsid w:val="000A7818"/>
    <w:rsid w:val="000B0989"/>
    <w:rsid w:val="000B11B6"/>
    <w:rsid w:val="000B1CAA"/>
    <w:rsid w:val="000B5BE0"/>
    <w:rsid w:val="000B5E41"/>
    <w:rsid w:val="000C07E5"/>
    <w:rsid w:val="000C5CB9"/>
    <w:rsid w:val="000C60ED"/>
    <w:rsid w:val="000D1913"/>
    <w:rsid w:val="000D6957"/>
    <w:rsid w:val="000E0970"/>
    <w:rsid w:val="000F667A"/>
    <w:rsid w:val="00100496"/>
    <w:rsid w:val="00102148"/>
    <w:rsid w:val="00103BC8"/>
    <w:rsid w:val="001045CD"/>
    <w:rsid w:val="00105DA9"/>
    <w:rsid w:val="00111FDD"/>
    <w:rsid w:val="0011517C"/>
    <w:rsid w:val="00120823"/>
    <w:rsid w:val="00122E09"/>
    <w:rsid w:val="001239BC"/>
    <w:rsid w:val="0012420D"/>
    <w:rsid w:val="001254D1"/>
    <w:rsid w:val="0012573D"/>
    <w:rsid w:val="00127085"/>
    <w:rsid w:val="00131624"/>
    <w:rsid w:val="00141D08"/>
    <w:rsid w:val="00142272"/>
    <w:rsid w:val="00143859"/>
    <w:rsid w:val="00152F05"/>
    <w:rsid w:val="001577F7"/>
    <w:rsid w:val="001614C6"/>
    <w:rsid w:val="001615BA"/>
    <w:rsid w:val="00163436"/>
    <w:rsid w:val="00163D45"/>
    <w:rsid w:val="001745B5"/>
    <w:rsid w:val="00175E5C"/>
    <w:rsid w:val="00182456"/>
    <w:rsid w:val="0019018A"/>
    <w:rsid w:val="00192EC2"/>
    <w:rsid w:val="00196B82"/>
    <w:rsid w:val="001977C9"/>
    <w:rsid w:val="001A3160"/>
    <w:rsid w:val="001A3992"/>
    <w:rsid w:val="001A435B"/>
    <w:rsid w:val="001A53D2"/>
    <w:rsid w:val="001A67B3"/>
    <w:rsid w:val="001B0783"/>
    <w:rsid w:val="001B0D6C"/>
    <w:rsid w:val="001B4C97"/>
    <w:rsid w:val="001B714F"/>
    <w:rsid w:val="001B7D74"/>
    <w:rsid w:val="001C0A94"/>
    <w:rsid w:val="001C379D"/>
    <w:rsid w:val="001D5BD6"/>
    <w:rsid w:val="001D7B00"/>
    <w:rsid w:val="001E0C1F"/>
    <w:rsid w:val="001E35CB"/>
    <w:rsid w:val="001E54BC"/>
    <w:rsid w:val="001E5518"/>
    <w:rsid w:val="001E6AAE"/>
    <w:rsid w:val="001F027B"/>
    <w:rsid w:val="001F2F62"/>
    <w:rsid w:val="001F3930"/>
    <w:rsid w:val="001F3B30"/>
    <w:rsid w:val="001F410F"/>
    <w:rsid w:val="002043C6"/>
    <w:rsid w:val="00205838"/>
    <w:rsid w:val="00211069"/>
    <w:rsid w:val="00212646"/>
    <w:rsid w:val="00213776"/>
    <w:rsid w:val="00215281"/>
    <w:rsid w:val="00230F56"/>
    <w:rsid w:val="002327F0"/>
    <w:rsid w:val="00234A4C"/>
    <w:rsid w:val="00240911"/>
    <w:rsid w:val="002417A5"/>
    <w:rsid w:val="0024584A"/>
    <w:rsid w:val="002468F7"/>
    <w:rsid w:val="00247D12"/>
    <w:rsid w:val="00250677"/>
    <w:rsid w:val="00253E37"/>
    <w:rsid w:val="002563C2"/>
    <w:rsid w:val="00262940"/>
    <w:rsid w:val="00263AD3"/>
    <w:rsid w:val="002647D4"/>
    <w:rsid w:val="002668C6"/>
    <w:rsid w:val="00270401"/>
    <w:rsid w:val="002735A9"/>
    <w:rsid w:val="00274FD0"/>
    <w:rsid w:val="002763E9"/>
    <w:rsid w:val="0027736E"/>
    <w:rsid w:val="00280AAA"/>
    <w:rsid w:val="002812A3"/>
    <w:rsid w:val="00282E87"/>
    <w:rsid w:val="00284745"/>
    <w:rsid w:val="002867F6"/>
    <w:rsid w:val="00286AC4"/>
    <w:rsid w:val="00287062"/>
    <w:rsid w:val="00290F1F"/>
    <w:rsid w:val="002957D7"/>
    <w:rsid w:val="0029728D"/>
    <w:rsid w:val="002A3F6C"/>
    <w:rsid w:val="002B0236"/>
    <w:rsid w:val="002B2171"/>
    <w:rsid w:val="002B3DCC"/>
    <w:rsid w:val="002B424E"/>
    <w:rsid w:val="002C50C5"/>
    <w:rsid w:val="002C6309"/>
    <w:rsid w:val="002C7CCB"/>
    <w:rsid w:val="002C7D67"/>
    <w:rsid w:val="002D1E2C"/>
    <w:rsid w:val="002D3BC6"/>
    <w:rsid w:val="002E0842"/>
    <w:rsid w:val="002E2365"/>
    <w:rsid w:val="002E277D"/>
    <w:rsid w:val="002E3075"/>
    <w:rsid w:val="002E6344"/>
    <w:rsid w:val="002F1055"/>
    <w:rsid w:val="002F2854"/>
    <w:rsid w:val="00300887"/>
    <w:rsid w:val="00301B63"/>
    <w:rsid w:val="00302CB9"/>
    <w:rsid w:val="003062A0"/>
    <w:rsid w:val="00306620"/>
    <w:rsid w:val="003108E2"/>
    <w:rsid w:val="00310902"/>
    <w:rsid w:val="00322873"/>
    <w:rsid w:val="00330327"/>
    <w:rsid w:val="00332D58"/>
    <w:rsid w:val="003335EE"/>
    <w:rsid w:val="00335227"/>
    <w:rsid w:val="003352D7"/>
    <w:rsid w:val="0033709A"/>
    <w:rsid w:val="003371FE"/>
    <w:rsid w:val="003450D6"/>
    <w:rsid w:val="00347C5C"/>
    <w:rsid w:val="003551CD"/>
    <w:rsid w:val="00355B45"/>
    <w:rsid w:val="00357B3A"/>
    <w:rsid w:val="00357B3C"/>
    <w:rsid w:val="00361C44"/>
    <w:rsid w:val="00363088"/>
    <w:rsid w:val="003646B1"/>
    <w:rsid w:val="003758A7"/>
    <w:rsid w:val="003808BD"/>
    <w:rsid w:val="00380E95"/>
    <w:rsid w:val="00385044"/>
    <w:rsid w:val="0039575D"/>
    <w:rsid w:val="00397541"/>
    <w:rsid w:val="003A1602"/>
    <w:rsid w:val="003A26FE"/>
    <w:rsid w:val="003B30FB"/>
    <w:rsid w:val="003B570A"/>
    <w:rsid w:val="003B5B78"/>
    <w:rsid w:val="003B7528"/>
    <w:rsid w:val="003C0A90"/>
    <w:rsid w:val="003C1BCE"/>
    <w:rsid w:val="003D065F"/>
    <w:rsid w:val="003D0F95"/>
    <w:rsid w:val="003D6C41"/>
    <w:rsid w:val="003E14FC"/>
    <w:rsid w:val="003E2439"/>
    <w:rsid w:val="003E3BFC"/>
    <w:rsid w:val="003E3EE9"/>
    <w:rsid w:val="003E4A30"/>
    <w:rsid w:val="003F2537"/>
    <w:rsid w:val="003F3281"/>
    <w:rsid w:val="003F35AD"/>
    <w:rsid w:val="004032BD"/>
    <w:rsid w:val="00403FF8"/>
    <w:rsid w:val="0041309A"/>
    <w:rsid w:val="004218F0"/>
    <w:rsid w:val="00431ACD"/>
    <w:rsid w:val="00433475"/>
    <w:rsid w:val="0043681F"/>
    <w:rsid w:val="00437045"/>
    <w:rsid w:val="004418CA"/>
    <w:rsid w:val="00444D24"/>
    <w:rsid w:val="00445037"/>
    <w:rsid w:val="00447702"/>
    <w:rsid w:val="00447852"/>
    <w:rsid w:val="00454ACA"/>
    <w:rsid w:val="00457A9E"/>
    <w:rsid w:val="00461654"/>
    <w:rsid w:val="00463845"/>
    <w:rsid w:val="00472281"/>
    <w:rsid w:val="00474427"/>
    <w:rsid w:val="00477F64"/>
    <w:rsid w:val="0048529F"/>
    <w:rsid w:val="00494501"/>
    <w:rsid w:val="00497C85"/>
    <w:rsid w:val="004A3697"/>
    <w:rsid w:val="004A4E8F"/>
    <w:rsid w:val="004A73A3"/>
    <w:rsid w:val="004B136B"/>
    <w:rsid w:val="004B6D22"/>
    <w:rsid w:val="004B7D50"/>
    <w:rsid w:val="004C0F39"/>
    <w:rsid w:val="004C37AB"/>
    <w:rsid w:val="004C509F"/>
    <w:rsid w:val="004E3653"/>
    <w:rsid w:val="004F35CA"/>
    <w:rsid w:val="004F5CE1"/>
    <w:rsid w:val="0050150E"/>
    <w:rsid w:val="005073D6"/>
    <w:rsid w:val="00510A39"/>
    <w:rsid w:val="00512BA0"/>
    <w:rsid w:val="00516135"/>
    <w:rsid w:val="005222C6"/>
    <w:rsid w:val="005305ED"/>
    <w:rsid w:val="00531A35"/>
    <w:rsid w:val="00533592"/>
    <w:rsid w:val="00533EA0"/>
    <w:rsid w:val="00534CB2"/>
    <w:rsid w:val="00536113"/>
    <w:rsid w:val="00550E52"/>
    <w:rsid w:val="00555C03"/>
    <w:rsid w:val="00556407"/>
    <w:rsid w:val="005617AA"/>
    <w:rsid w:val="00565B68"/>
    <w:rsid w:val="00566B11"/>
    <w:rsid w:val="00570DB3"/>
    <w:rsid w:val="00571173"/>
    <w:rsid w:val="00571BAC"/>
    <w:rsid w:val="00575337"/>
    <w:rsid w:val="00581B79"/>
    <w:rsid w:val="00583545"/>
    <w:rsid w:val="0059077F"/>
    <w:rsid w:val="00592CCD"/>
    <w:rsid w:val="005A1073"/>
    <w:rsid w:val="005A5614"/>
    <w:rsid w:val="005B19F8"/>
    <w:rsid w:val="005B1CAC"/>
    <w:rsid w:val="005B1F80"/>
    <w:rsid w:val="005B6EBF"/>
    <w:rsid w:val="005C48AE"/>
    <w:rsid w:val="005C79F0"/>
    <w:rsid w:val="005C7A6C"/>
    <w:rsid w:val="005D2927"/>
    <w:rsid w:val="005E6F6E"/>
    <w:rsid w:val="005E7CC9"/>
    <w:rsid w:val="005F040F"/>
    <w:rsid w:val="005F0FF5"/>
    <w:rsid w:val="005F2A08"/>
    <w:rsid w:val="005F2F6C"/>
    <w:rsid w:val="005F4928"/>
    <w:rsid w:val="006003F6"/>
    <w:rsid w:val="006014ED"/>
    <w:rsid w:val="00601DD1"/>
    <w:rsid w:val="00602E73"/>
    <w:rsid w:val="0060327C"/>
    <w:rsid w:val="00607749"/>
    <w:rsid w:val="0061413A"/>
    <w:rsid w:val="00617B65"/>
    <w:rsid w:val="00621A7D"/>
    <w:rsid w:val="00624C00"/>
    <w:rsid w:val="00625366"/>
    <w:rsid w:val="0063018F"/>
    <w:rsid w:val="0063075D"/>
    <w:rsid w:val="00634938"/>
    <w:rsid w:val="00640498"/>
    <w:rsid w:val="006415FC"/>
    <w:rsid w:val="00641F67"/>
    <w:rsid w:val="00643064"/>
    <w:rsid w:val="00644585"/>
    <w:rsid w:val="00653362"/>
    <w:rsid w:val="00653382"/>
    <w:rsid w:val="0065407A"/>
    <w:rsid w:val="00656786"/>
    <w:rsid w:val="006614B2"/>
    <w:rsid w:val="00662AC5"/>
    <w:rsid w:val="00665CF9"/>
    <w:rsid w:val="0066633F"/>
    <w:rsid w:val="00672ACC"/>
    <w:rsid w:val="00673008"/>
    <w:rsid w:val="00677840"/>
    <w:rsid w:val="00680C7C"/>
    <w:rsid w:val="00680E12"/>
    <w:rsid w:val="0069198E"/>
    <w:rsid w:val="00693E02"/>
    <w:rsid w:val="00693EDA"/>
    <w:rsid w:val="00694C3A"/>
    <w:rsid w:val="00695DD9"/>
    <w:rsid w:val="00697D4A"/>
    <w:rsid w:val="006A2361"/>
    <w:rsid w:val="006A4C88"/>
    <w:rsid w:val="006A7703"/>
    <w:rsid w:val="006B0661"/>
    <w:rsid w:val="006B2799"/>
    <w:rsid w:val="006B4730"/>
    <w:rsid w:val="006B6A91"/>
    <w:rsid w:val="006C117F"/>
    <w:rsid w:val="006C3299"/>
    <w:rsid w:val="006C43C9"/>
    <w:rsid w:val="006C6A9D"/>
    <w:rsid w:val="006D035E"/>
    <w:rsid w:val="006D3F0A"/>
    <w:rsid w:val="006D690D"/>
    <w:rsid w:val="006E1D85"/>
    <w:rsid w:val="006E6F3C"/>
    <w:rsid w:val="006E7266"/>
    <w:rsid w:val="006E7460"/>
    <w:rsid w:val="006F0FB8"/>
    <w:rsid w:val="006F2777"/>
    <w:rsid w:val="0070021E"/>
    <w:rsid w:val="00700674"/>
    <w:rsid w:val="00702082"/>
    <w:rsid w:val="00705D96"/>
    <w:rsid w:val="00707185"/>
    <w:rsid w:val="00707472"/>
    <w:rsid w:val="00707B47"/>
    <w:rsid w:val="00711853"/>
    <w:rsid w:val="00711FA9"/>
    <w:rsid w:val="00713DF2"/>
    <w:rsid w:val="007144D8"/>
    <w:rsid w:val="007151C8"/>
    <w:rsid w:val="00716481"/>
    <w:rsid w:val="007232E9"/>
    <w:rsid w:val="00723D38"/>
    <w:rsid w:val="0072461B"/>
    <w:rsid w:val="00724CBB"/>
    <w:rsid w:val="00734D3F"/>
    <w:rsid w:val="00735131"/>
    <w:rsid w:val="00736C67"/>
    <w:rsid w:val="00737102"/>
    <w:rsid w:val="007434A5"/>
    <w:rsid w:val="00753389"/>
    <w:rsid w:val="0075778F"/>
    <w:rsid w:val="00760049"/>
    <w:rsid w:val="007653A7"/>
    <w:rsid w:val="00770C5A"/>
    <w:rsid w:val="0077358F"/>
    <w:rsid w:val="00773702"/>
    <w:rsid w:val="0079268B"/>
    <w:rsid w:val="00792B9A"/>
    <w:rsid w:val="007A1D88"/>
    <w:rsid w:val="007A6A4F"/>
    <w:rsid w:val="007B24F5"/>
    <w:rsid w:val="007B485B"/>
    <w:rsid w:val="007B653E"/>
    <w:rsid w:val="007C01E7"/>
    <w:rsid w:val="007C2212"/>
    <w:rsid w:val="007C736E"/>
    <w:rsid w:val="007D3B50"/>
    <w:rsid w:val="007D561C"/>
    <w:rsid w:val="007E51CA"/>
    <w:rsid w:val="007E693C"/>
    <w:rsid w:val="007E77A6"/>
    <w:rsid w:val="007E7DA3"/>
    <w:rsid w:val="007E7F99"/>
    <w:rsid w:val="007F5BD0"/>
    <w:rsid w:val="007F7347"/>
    <w:rsid w:val="008017FD"/>
    <w:rsid w:val="00801ED2"/>
    <w:rsid w:val="00802D39"/>
    <w:rsid w:val="008052BF"/>
    <w:rsid w:val="008102AF"/>
    <w:rsid w:val="00812E97"/>
    <w:rsid w:val="008135A4"/>
    <w:rsid w:val="008150C7"/>
    <w:rsid w:val="00821B74"/>
    <w:rsid w:val="00823805"/>
    <w:rsid w:val="00824550"/>
    <w:rsid w:val="00824DD8"/>
    <w:rsid w:val="008267A7"/>
    <w:rsid w:val="00831D5D"/>
    <w:rsid w:val="00836671"/>
    <w:rsid w:val="008374B4"/>
    <w:rsid w:val="00843758"/>
    <w:rsid w:val="00844F34"/>
    <w:rsid w:val="0085010B"/>
    <w:rsid w:val="00853577"/>
    <w:rsid w:val="00856E86"/>
    <w:rsid w:val="00857799"/>
    <w:rsid w:val="00862B1E"/>
    <w:rsid w:val="00873E37"/>
    <w:rsid w:val="0087627A"/>
    <w:rsid w:val="0087716E"/>
    <w:rsid w:val="00883CCD"/>
    <w:rsid w:val="00884509"/>
    <w:rsid w:val="00884F4D"/>
    <w:rsid w:val="0088633A"/>
    <w:rsid w:val="008949DF"/>
    <w:rsid w:val="008966D3"/>
    <w:rsid w:val="008A1445"/>
    <w:rsid w:val="008C1A92"/>
    <w:rsid w:val="008C3261"/>
    <w:rsid w:val="008C3781"/>
    <w:rsid w:val="008C601A"/>
    <w:rsid w:val="008C6C9E"/>
    <w:rsid w:val="008D163F"/>
    <w:rsid w:val="008D1908"/>
    <w:rsid w:val="008E173F"/>
    <w:rsid w:val="008E41E1"/>
    <w:rsid w:val="008E6AD4"/>
    <w:rsid w:val="008F15E1"/>
    <w:rsid w:val="008F17D9"/>
    <w:rsid w:val="008F39BC"/>
    <w:rsid w:val="00906693"/>
    <w:rsid w:val="00914930"/>
    <w:rsid w:val="0091791E"/>
    <w:rsid w:val="00921138"/>
    <w:rsid w:val="00921ECB"/>
    <w:rsid w:val="00924B7D"/>
    <w:rsid w:val="0092537A"/>
    <w:rsid w:val="009316C7"/>
    <w:rsid w:val="009335D8"/>
    <w:rsid w:val="00934172"/>
    <w:rsid w:val="009405BC"/>
    <w:rsid w:val="00943544"/>
    <w:rsid w:val="00943979"/>
    <w:rsid w:val="009531E9"/>
    <w:rsid w:val="00955BBF"/>
    <w:rsid w:val="00956D68"/>
    <w:rsid w:val="00960CD5"/>
    <w:rsid w:val="009620DB"/>
    <w:rsid w:val="00963420"/>
    <w:rsid w:val="0096622B"/>
    <w:rsid w:val="0097224D"/>
    <w:rsid w:val="009742A9"/>
    <w:rsid w:val="00975A4E"/>
    <w:rsid w:val="0098011B"/>
    <w:rsid w:val="00985617"/>
    <w:rsid w:val="00986ABB"/>
    <w:rsid w:val="0099248F"/>
    <w:rsid w:val="00994232"/>
    <w:rsid w:val="009A30A6"/>
    <w:rsid w:val="009A4040"/>
    <w:rsid w:val="009A7599"/>
    <w:rsid w:val="009B553A"/>
    <w:rsid w:val="009C1D12"/>
    <w:rsid w:val="009C6803"/>
    <w:rsid w:val="009D0AD3"/>
    <w:rsid w:val="009D6A0D"/>
    <w:rsid w:val="009D74C7"/>
    <w:rsid w:val="009E39C7"/>
    <w:rsid w:val="009E796F"/>
    <w:rsid w:val="009F5AA6"/>
    <w:rsid w:val="009F64AA"/>
    <w:rsid w:val="009F7900"/>
    <w:rsid w:val="00A013F0"/>
    <w:rsid w:val="00A05E3C"/>
    <w:rsid w:val="00A07DDF"/>
    <w:rsid w:val="00A11F7B"/>
    <w:rsid w:val="00A1399E"/>
    <w:rsid w:val="00A15E01"/>
    <w:rsid w:val="00A17350"/>
    <w:rsid w:val="00A20884"/>
    <w:rsid w:val="00A277BF"/>
    <w:rsid w:val="00A33C30"/>
    <w:rsid w:val="00A36F8B"/>
    <w:rsid w:val="00A52189"/>
    <w:rsid w:val="00A57C59"/>
    <w:rsid w:val="00A609E8"/>
    <w:rsid w:val="00A60DEE"/>
    <w:rsid w:val="00A628B2"/>
    <w:rsid w:val="00A62CEC"/>
    <w:rsid w:val="00A64D91"/>
    <w:rsid w:val="00A8650B"/>
    <w:rsid w:val="00A9415F"/>
    <w:rsid w:val="00A963EC"/>
    <w:rsid w:val="00AB04E9"/>
    <w:rsid w:val="00AC2CE7"/>
    <w:rsid w:val="00AC35E9"/>
    <w:rsid w:val="00AC561A"/>
    <w:rsid w:val="00AD5357"/>
    <w:rsid w:val="00AD710F"/>
    <w:rsid w:val="00AE09B5"/>
    <w:rsid w:val="00AF6712"/>
    <w:rsid w:val="00AF6FD6"/>
    <w:rsid w:val="00AF7DC8"/>
    <w:rsid w:val="00B025F2"/>
    <w:rsid w:val="00B113A8"/>
    <w:rsid w:val="00B131A8"/>
    <w:rsid w:val="00B14024"/>
    <w:rsid w:val="00B15C94"/>
    <w:rsid w:val="00B1775A"/>
    <w:rsid w:val="00B25AC9"/>
    <w:rsid w:val="00B3136C"/>
    <w:rsid w:val="00B32F4E"/>
    <w:rsid w:val="00B3554D"/>
    <w:rsid w:val="00B37C9F"/>
    <w:rsid w:val="00B40F45"/>
    <w:rsid w:val="00B43E78"/>
    <w:rsid w:val="00B459B5"/>
    <w:rsid w:val="00B55DAF"/>
    <w:rsid w:val="00B56206"/>
    <w:rsid w:val="00B610A7"/>
    <w:rsid w:val="00B65A99"/>
    <w:rsid w:val="00B67747"/>
    <w:rsid w:val="00B677CE"/>
    <w:rsid w:val="00B7090F"/>
    <w:rsid w:val="00B71E89"/>
    <w:rsid w:val="00B80F26"/>
    <w:rsid w:val="00B818EA"/>
    <w:rsid w:val="00B908AF"/>
    <w:rsid w:val="00B95F7C"/>
    <w:rsid w:val="00BA34CA"/>
    <w:rsid w:val="00BA49BD"/>
    <w:rsid w:val="00BA56DF"/>
    <w:rsid w:val="00BA6E68"/>
    <w:rsid w:val="00BB1CB6"/>
    <w:rsid w:val="00BB5EFD"/>
    <w:rsid w:val="00BB6298"/>
    <w:rsid w:val="00BC3D53"/>
    <w:rsid w:val="00BC49D2"/>
    <w:rsid w:val="00BC52AE"/>
    <w:rsid w:val="00BD242F"/>
    <w:rsid w:val="00BD29AF"/>
    <w:rsid w:val="00BD5E7F"/>
    <w:rsid w:val="00BE1949"/>
    <w:rsid w:val="00BE3E42"/>
    <w:rsid w:val="00BE4862"/>
    <w:rsid w:val="00BE4972"/>
    <w:rsid w:val="00BE74EA"/>
    <w:rsid w:val="00BE7AEB"/>
    <w:rsid w:val="00BF2EF3"/>
    <w:rsid w:val="00C001A1"/>
    <w:rsid w:val="00C0060D"/>
    <w:rsid w:val="00C03B58"/>
    <w:rsid w:val="00C12385"/>
    <w:rsid w:val="00C15C56"/>
    <w:rsid w:val="00C17E3A"/>
    <w:rsid w:val="00C204BE"/>
    <w:rsid w:val="00C214C7"/>
    <w:rsid w:val="00C226DF"/>
    <w:rsid w:val="00C22736"/>
    <w:rsid w:val="00C22C6A"/>
    <w:rsid w:val="00C271C9"/>
    <w:rsid w:val="00C32DF3"/>
    <w:rsid w:val="00C33299"/>
    <w:rsid w:val="00C33628"/>
    <w:rsid w:val="00C33AAE"/>
    <w:rsid w:val="00C33C58"/>
    <w:rsid w:val="00C373D7"/>
    <w:rsid w:val="00C37A42"/>
    <w:rsid w:val="00C37C11"/>
    <w:rsid w:val="00C40C79"/>
    <w:rsid w:val="00C56DE7"/>
    <w:rsid w:val="00C62B89"/>
    <w:rsid w:val="00C65E93"/>
    <w:rsid w:val="00C67FA0"/>
    <w:rsid w:val="00C739E4"/>
    <w:rsid w:val="00C76069"/>
    <w:rsid w:val="00C80319"/>
    <w:rsid w:val="00C85F3B"/>
    <w:rsid w:val="00C8651C"/>
    <w:rsid w:val="00C931F0"/>
    <w:rsid w:val="00C9370E"/>
    <w:rsid w:val="00C94435"/>
    <w:rsid w:val="00C957AE"/>
    <w:rsid w:val="00CA281F"/>
    <w:rsid w:val="00CA2FC1"/>
    <w:rsid w:val="00CA53EB"/>
    <w:rsid w:val="00CA5ACD"/>
    <w:rsid w:val="00CA6CCF"/>
    <w:rsid w:val="00CA6D3B"/>
    <w:rsid w:val="00CA7685"/>
    <w:rsid w:val="00CA7802"/>
    <w:rsid w:val="00CB7C4B"/>
    <w:rsid w:val="00CC1E43"/>
    <w:rsid w:val="00CC2115"/>
    <w:rsid w:val="00CC384D"/>
    <w:rsid w:val="00CD4075"/>
    <w:rsid w:val="00CD50E0"/>
    <w:rsid w:val="00CD655C"/>
    <w:rsid w:val="00CF01A8"/>
    <w:rsid w:val="00CF3DD9"/>
    <w:rsid w:val="00CF5B24"/>
    <w:rsid w:val="00CF7581"/>
    <w:rsid w:val="00CF7EDA"/>
    <w:rsid w:val="00D006CB"/>
    <w:rsid w:val="00D022C2"/>
    <w:rsid w:val="00D05B43"/>
    <w:rsid w:val="00D066F2"/>
    <w:rsid w:val="00D118AE"/>
    <w:rsid w:val="00D11CB1"/>
    <w:rsid w:val="00D12F7D"/>
    <w:rsid w:val="00D14104"/>
    <w:rsid w:val="00D1460F"/>
    <w:rsid w:val="00D2454B"/>
    <w:rsid w:val="00D330AE"/>
    <w:rsid w:val="00D34D1C"/>
    <w:rsid w:val="00D436DD"/>
    <w:rsid w:val="00D440CB"/>
    <w:rsid w:val="00D4469B"/>
    <w:rsid w:val="00D44ABF"/>
    <w:rsid w:val="00D44BA0"/>
    <w:rsid w:val="00D46BD7"/>
    <w:rsid w:val="00D51317"/>
    <w:rsid w:val="00D54005"/>
    <w:rsid w:val="00D56DDE"/>
    <w:rsid w:val="00D614ED"/>
    <w:rsid w:val="00D61E77"/>
    <w:rsid w:val="00D62DAE"/>
    <w:rsid w:val="00D635A8"/>
    <w:rsid w:val="00D66FF6"/>
    <w:rsid w:val="00D70364"/>
    <w:rsid w:val="00D70512"/>
    <w:rsid w:val="00D74412"/>
    <w:rsid w:val="00D74B57"/>
    <w:rsid w:val="00D74D29"/>
    <w:rsid w:val="00D77E98"/>
    <w:rsid w:val="00D817EA"/>
    <w:rsid w:val="00D82B07"/>
    <w:rsid w:val="00D84A4A"/>
    <w:rsid w:val="00D95725"/>
    <w:rsid w:val="00D959E7"/>
    <w:rsid w:val="00D967AC"/>
    <w:rsid w:val="00D97D2B"/>
    <w:rsid w:val="00DA0D06"/>
    <w:rsid w:val="00DB30B5"/>
    <w:rsid w:val="00DB7B6A"/>
    <w:rsid w:val="00DC1C91"/>
    <w:rsid w:val="00DC2B8D"/>
    <w:rsid w:val="00DC3AC5"/>
    <w:rsid w:val="00DC5163"/>
    <w:rsid w:val="00DD0F4F"/>
    <w:rsid w:val="00DD234A"/>
    <w:rsid w:val="00DD2C69"/>
    <w:rsid w:val="00DD2D60"/>
    <w:rsid w:val="00DD4129"/>
    <w:rsid w:val="00DD683D"/>
    <w:rsid w:val="00DE3700"/>
    <w:rsid w:val="00DE6560"/>
    <w:rsid w:val="00DF2CC9"/>
    <w:rsid w:val="00DF4B82"/>
    <w:rsid w:val="00DF560D"/>
    <w:rsid w:val="00DF5E99"/>
    <w:rsid w:val="00E01F63"/>
    <w:rsid w:val="00E0619A"/>
    <w:rsid w:val="00E06952"/>
    <w:rsid w:val="00E07980"/>
    <w:rsid w:val="00E10262"/>
    <w:rsid w:val="00E11745"/>
    <w:rsid w:val="00E157B3"/>
    <w:rsid w:val="00E15BD4"/>
    <w:rsid w:val="00E226D7"/>
    <w:rsid w:val="00E27B1A"/>
    <w:rsid w:val="00E31E8A"/>
    <w:rsid w:val="00E324DA"/>
    <w:rsid w:val="00E329D2"/>
    <w:rsid w:val="00E342A7"/>
    <w:rsid w:val="00E3503B"/>
    <w:rsid w:val="00E35ECD"/>
    <w:rsid w:val="00E37225"/>
    <w:rsid w:val="00E5146D"/>
    <w:rsid w:val="00E536D3"/>
    <w:rsid w:val="00E53E09"/>
    <w:rsid w:val="00E5602B"/>
    <w:rsid w:val="00E6208A"/>
    <w:rsid w:val="00E62EF5"/>
    <w:rsid w:val="00E6662E"/>
    <w:rsid w:val="00E73A7B"/>
    <w:rsid w:val="00E74A56"/>
    <w:rsid w:val="00E76420"/>
    <w:rsid w:val="00E946EB"/>
    <w:rsid w:val="00E958E2"/>
    <w:rsid w:val="00EA052D"/>
    <w:rsid w:val="00EA0BD2"/>
    <w:rsid w:val="00EB4D9E"/>
    <w:rsid w:val="00EB717E"/>
    <w:rsid w:val="00EC1DD5"/>
    <w:rsid w:val="00EC33F2"/>
    <w:rsid w:val="00EC5A28"/>
    <w:rsid w:val="00ED0937"/>
    <w:rsid w:val="00ED2A6F"/>
    <w:rsid w:val="00ED2AF8"/>
    <w:rsid w:val="00EE3BAF"/>
    <w:rsid w:val="00EE468C"/>
    <w:rsid w:val="00EF054D"/>
    <w:rsid w:val="00EF098E"/>
    <w:rsid w:val="00EF2F05"/>
    <w:rsid w:val="00EF3DE7"/>
    <w:rsid w:val="00F035EE"/>
    <w:rsid w:val="00F03FC8"/>
    <w:rsid w:val="00F0724F"/>
    <w:rsid w:val="00F15DC2"/>
    <w:rsid w:val="00F163E9"/>
    <w:rsid w:val="00F16AF3"/>
    <w:rsid w:val="00F2225D"/>
    <w:rsid w:val="00F26D0D"/>
    <w:rsid w:val="00F26E2F"/>
    <w:rsid w:val="00F314D8"/>
    <w:rsid w:val="00F325DD"/>
    <w:rsid w:val="00F347B6"/>
    <w:rsid w:val="00F37750"/>
    <w:rsid w:val="00F4345B"/>
    <w:rsid w:val="00F5179A"/>
    <w:rsid w:val="00F718EC"/>
    <w:rsid w:val="00F735C4"/>
    <w:rsid w:val="00F7449C"/>
    <w:rsid w:val="00F81AD6"/>
    <w:rsid w:val="00F82891"/>
    <w:rsid w:val="00F96A8E"/>
    <w:rsid w:val="00FA1DF8"/>
    <w:rsid w:val="00FA21B0"/>
    <w:rsid w:val="00FA4914"/>
    <w:rsid w:val="00FA54D4"/>
    <w:rsid w:val="00FA67AC"/>
    <w:rsid w:val="00FA6FDD"/>
    <w:rsid w:val="00FB4706"/>
    <w:rsid w:val="00FB7C40"/>
    <w:rsid w:val="00FC4A1E"/>
    <w:rsid w:val="00FC7B81"/>
    <w:rsid w:val="00FD246E"/>
    <w:rsid w:val="00FD7591"/>
    <w:rsid w:val="00FE0FCC"/>
    <w:rsid w:val="00FE2220"/>
    <w:rsid w:val="00FE2EFD"/>
    <w:rsid w:val="00FE4913"/>
    <w:rsid w:val="00FE7309"/>
    <w:rsid w:val="00FF37D2"/>
    <w:rsid w:val="00FF591F"/>
    <w:rsid w:val="00FF6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74E70843"/>
  <w15:docId w15:val="{8DD4E835-184C-401E-BB81-023DDF20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Content"/>
    <w:qFormat/>
    <w:rsid w:val="00CA7685"/>
    <w:pPr>
      <w:spacing w:after="0" w:line="240" w:lineRule="auto"/>
      <w:jc w:val="both"/>
    </w:pPr>
    <w:rPr>
      <w:rFonts w:ascii="Arial" w:hAnsi="Arial" w:cs="Arial"/>
    </w:rPr>
  </w:style>
  <w:style w:type="paragraph" w:styleId="Heading1">
    <w:name w:val="heading 1"/>
    <w:aliases w:val="Bayer-Heading 1"/>
    <w:basedOn w:val="Normal"/>
    <w:next w:val="Normal"/>
    <w:link w:val="Heading1Char"/>
    <w:qFormat/>
    <w:rsid w:val="006D690D"/>
    <w:pPr>
      <w:keepNext/>
      <w:keepLines/>
      <w:numPr>
        <w:numId w:val="1"/>
      </w:numPr>
      <w:spacing w:before="240" w:after="120"/>
      <w:outlineLvl w:val="0"/>
    </w:pPr>
    <w:rPr>
      <w:rFonts w:eastAsiaTheme="majorEastAsia" w:cstheme="majorBidi"/>
      <w:b/>
      <w:bCs/>
      <w:caps/>
      <w:sz w:val="28"/>
      <w:szCs w:val="28"/>
    </w:rPr>
  </w:style>
  <w:style w:type="paragraph" w:styleId="Heading2">
    <w:name w:val="heading 2"/>
    <w:aliases w:val="Bayer-Heading 2"/>
    <w:basedOn w:val="Normal"/>
    <w:next w:val="Normal"/>
    <w:link w:val="Heading2Char"/>
    <w:qFormat/>
    <w:rsid w:val="006D690D"/>
    <w:pPr>
      <w:numPr>
        <w:ilvl w:val="1"/>
        <w:numId w:val="1"/>
      </w:numPr>
      <w:spacing w:before="240" w:after="120"/>
      <w:outlineLvl w:val="1"/>
    </w:pPr>
    <w:rPr>
      <w:b/>
      <w:caps/>
      <w:sz w:val="24"/>
    </w:rPr>
  </w:style>
  <w:style w:type="paragraph" w:styleId="Heading3">
    <w:name w:val="heading 3"/>
    <w:aliases w:val="Bayer-Heading 3"/>
    <w:basedOn w:val="Normal"/>
    <w:next w:val="Normal"/>
    <w:link w:val="Heading3Char"/>
    <w:qFormat/>
    <w:rsid w:val="00EA0BD2"/>
    <w:pPr>
      <w:keepNext/>
      <w:keepLines/>
      <w:spacing w:before="120" w:after="120"/>
      <w:outlineLvl w:val="2"/>
    </w:pPr>
    <w:rPr>
      <w:rFonts w:eastAsiaTheme="majorEastAsia"/>
      <w:b/>
      <w:bCs/>
    </w:rPr>
  </w:style>
  <w:style w:type="paragraph" w:styleId="Heading4">
    <w:name w:val="heading 4"/>
    <w:aliases w:val="Bayer-Heading 4"/>
    <w:basedOn w:val="Normal"/>
    <w:next w:val="Normal"/>
    <w:link w:val="Heading4Char"/>
    <w:qFormat/>
    <w:rsid w:val="00914930"/>
    <w:pPr>
      <w:keepNext/>
      <w:keepLines/>
      <w:numPr>
        <w:numId w:val="29"/>
      </w:numPr>
      <w:spacing w:before="120" w:after="120"/>
      <w:outlineLvl w:val="3"/>
    </w:pPr>
    <w:rPr>
      <w:rFonts w:eastAsiaTheme="majorEastAsia"/>
      <w:b/>
      <w:bCs/>
      <w:i/>
      <w:iCs/>
      <w:lang w:val="en-US"/>
    </w:rPr>
  </w:style>
  <w:style w:type="paragraph" w:styleId="Heading5">
    <w:name w:val="heading 5"/>
    <w:aliases w:val="Bayer-Heading 5"/>
    <w:basedOn w:val="Normal"/>
    <w:next w:val="Normal"/>
    <w:link w:val="Heading5Char"/>
    <w:qFormat/>
    <w:rsid w:val="002812A3"/>
    <w:pPr>
      <w:keepNext/>
      <w:keepLines/>
      <w:spacing w:before="120" w:after="120"/>
      <w:outlineLvl w:val="4"/>
    </w:pPr>
    <w:rPr>
      <w:rFonts w:eastAsiaTheme="majorEastAsia" w:cstheme="majorBidi"/>
      <w:u w:val="single"/>
    </w:rPr>
  </w:style>
  <w:style w:type="paragraph" w:styleId="Heading6">
    <w:name w:val="heading 6"/>
    <w:aliases w:val="Bayer-Heading 6"/>
    <w:basedOn w:val="Normal"/>
    <w:next w:val="Normal"/>
    <w:link w:val="Heading6Char"/>
    <w:qFormat/>
    <w:rsid w:val="002812A3"/>
    <w:pPr>
      <w:keepNext/>
      <w:keepLines/>
      <w:spacing w:before="120" w:after="120"/>
      <w:outlineLvl w:val="5"/>
    </w:pPr>
    <w:rPr>
      <w:rFonts w:eastAsiaTheme="majorEastAsia" w:cstheme="majorBidi"/>
      <w:i/>
      <w:iCs/>
    </w:rPr>
  </w:style>
  <w:style w:type="paragraph" w:styleId="Heading7">
    <w:name w:val="heading 7"/>
    <w:aliases w:val="Bayer-Heading 7"/>
    <w:basedOn w:val="Normal"/>
    <w:next w:val="Normal"/>
    <w:link w:val="Heading7Char"/>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Bayer-Heading 8"/>
    <w:basedOn w:val="Normal"/>
    <w:next w:val="Normal"/>
    <w:link w:val="Heading8Char"/>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Bayer-Heading 9"/>
    <w:basedOn w:val="Normal"/>
    <w:next w:val="Normal"/>
    <w:link w:val="Heading9Char"/>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
    <w:basedOn w:val="DefaultParagraphFont"/>
    <w:link w:val="Heading1"/>
    <w:uiPriority w:val="3"/>
    <w:rsid w:val="001254D1"/>
    <w:rPr>
      <w:rFonts w:ascii="Arial" w:eastAsiaTheme="majorEastAsia" w:hAnsi="Arial" w:cstheme="majorBidi"/>
      <w:b/>
      <w:bCs/>
      <w:caps/>
      <w:sz w:val="28"/>
      <w:szCs w:val="28"/>
    </w:rPr>
  </w:style>
  <w:style w:type="character" w:customStyle="1" w:styleId="Heading2Char">
    <w:name w:val="Heading 2 Char"/>
    <w:aliases w:val="Bayer-Heading 2 Char"/>
    <w:basedOn w:val="DefaultParagraphFont"/>
    <w:link w:val="Heading2"/>
    <w:uiPriority w:val="3"/>
    <w:rsid w:val="001254D1"/>
    <w:rPr>
      <w:rFonts w:ascii="Arial" w:hAnsi="Arial"/>
      <w:b/>
      <w:caps/>
      <w:sz w:val="24"/>
    </w:rPr>
  </w:style>
  <w:style w:type="character" w:customStyle="1" w:styleId="Heading3Char">
    <w:name w:val="Heading 3 Char"/>
    <w:aliases w:val="Bayer-Heading 3 Char"/>
    <w:basedOn w:val="DefaultParagraphFont"/>
    <w:link w:val="Heading3"/>
    <w:uiPriority w:val="3"/>
    <w:rsid w:val="00EA0BD2"/>
    <w:rPr>
      <w:rFonts w:ascii="Arial" w:eastAsiaTheme="majorEastAsia" w:hAnsi="Arial" w:cs="Arial"/>
      <w:b/>
      <w:bCs/>
    </w:rPr>
  </w:style>
  <w:style w:type="character" w:customStyle="1" w:styleId="Heading4Char">
    <w:name w:val="Heading 4 Char"/>
    <w:aliases w:val="Bayer-Heading 4 Char"/>
    <w:basedOn w:val="DefaultParagraphFont"/>
    <w:link w:val="Heading4"/>
    <w:rsid w:val="00914930"/>
    <w:rPr>
      <w:rFonts w:ascii="Arial" w:eastAsiaTheme="majorEastAsia" w:hAnsi="Arial" w:cs="Arial"/>
      <w:b/>
      <w:bCs/>
      <w:i/>
      <w:iCs/>
      <w:lang w:val="en-US"/>
    </w:rPr>
  </w:style>
  <w:style w:type="character" w:customStyle="1" w:styleId="Heading5Char">
    <w:name w:val="Heading 5 Char"/>
    <w:aliases w:val="Bayer-Heading 5 Char"/>
    <w:basedOn w:val="DefaultParagraphFont"/>
    <w:link w:val="Heading5"/>
    <w:uiPriority w:val="9"/>
    <w:semiHidden/>
    <w:rsid w:val="001254D1"/>
    <w:rPr>
      <w:rFonts w:ascii="Times New Roman" w:eastAsiaTheme="majorEastAsia" w:hAnsi="Times New Roman" w:cstheme="majorBidi"/>
      <w:u w:val="single"/>
    </w:rPr>
  </w:style>
  <w:style w:type="character" w:customStyle="1" w:styleId="Heading6Char">
    <w:name w:val="Heading 6 Char"/>
    <w:aliases w:val="Bayer-Heading 6 Char"/>
    <w:basedOn w:val="DefaultParagraphFont"/>
    <w:link w:val="Heading6"/>
    <w:uiPriority w:val="9"/>
    <w:semiHidden/>
    <w:rsid w:val="001254D1"/>
    <w:rPr>
      <w:rFonts w:ascii="Times New Roman" w:eastAsiaTheme="majorEastAsia" w:hAnsi="Times New Roman" w:cstheme="majorBidi"/>
      <w:i/>
      <w:iCs/>
    </w:rPr>
  </w:style>
  <w:style w:type="character" w:customStyle="1" w:styleId="Heading7Char">
    <w:name w:val="Heading 7 Char"/>
    <w:aliases w:val="Bayer-Heading 7 Char"/>
    <w:basedOn w:val="DefaultParagraphFont"/>
    <w:link w:val="Heading7"/>
    <w:uiPriority w:val="9"/>
    <w:semiHidden/>
    <w:rsid w:val="001254D1"/>
    <w:rPr>
      <w:rFonts w:asciiTheme="majorHAnsi" w:eastAsiaTheme="majorEastAsia" w:hAnsiTheme="majorHAnsi" w:cstheme="majorBidi"/>
      <w:i/>
      <w:iCs/>
      <w:color w:val="404040" w:themeColor="text1" w:themeTint="BF"/>
    </w:rPr>
  </w:style>
  <w:style w:type="character" w:customStyle="1" w:styleId="Heading8Char">
    <w:name w:val="Heading 8 Char"/>
    <w:aliases w:val="Bayer-Heading 8 Char"/>
    <w:basedOn w:val="DefaultParagraphFont"/>
    <w:link w:val="Heading8"/>
    <w:uiPriority w:val="9"/>
    <w:semiHidden/>
    <w:rsid w:val="001254D1"/>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Bayer-Heading 9 Char"/>
    <w:basedOn w:val="DefaultParagraphFont"/>
    <w:link w:val="Heading9"/>
    <w:uiPriority w:val="9"/>
    <w:semiHidden/>
    <w:rsid w:val="001254D1"/>
    <w:rPr>
      <w:rFonts w:asciiTheme="majorHAnsi" w:eastAsiaTheme="majorEastAsia" w:hAnsiTheme="majorHAnsi" w:cstheme="majorBidi"/>
      <w:i/>
      <w:iCs/>
      <w:color w:val="404040" w:themeColor="text1" w:themeTint="BF"/>
      <w:sz w:val="20"/>
      <w:szCs w:val="20"/>
    </w:rPr>
  </w:style>
  <w:style w:type="paragraph" w:customStyle="1" w:styleId="Subheading1">
    <w:name w:val="Subheading 1"/>
    <w:basedOn w:val="Normal"/>
    <w:next w:val="Normal"/>
    <w:qFormat/>
    <w:rsid w:val="003F35AD"/>
    <w:pPr>
      <w:spacing w:before="120" w:after="120"/>
      <w:ind w:firstLine="720"/>
    </w:pPr>
    <w:rPr>
      <w:b/>
      <w:i/>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customStyle="1" w:styleId="Subheading2">
    <w:name w:val="Subheading 2"/>
    <w:basedOn w:val="Normal"/>
    <w:next w:val="Normal"/>
    <w:qFormat/>
    <w:rsid w:val="00163436"/>
    <w:pPr>
      <w:spacing w:before="120" w:after="120"/>
    </w:pPr>
    <w:rPr>
      <w:u w:val="single"/>
    </w:rPr>
  </w:style>
  <w:style w:type="paragraph" w:customStyle="1" w:styleId="Bodynumbering">
    <w:name w:val="Body numbering"/>
    <w:basedOn w:val="Normal"/>
    <w:uiPriority w:val="4"/>
    <w:qFormat/>
    <w:rsid w:val="00CA2FC1"/>
    <w:pPr>
      <w:numPr>
        <w:numId w:val="18"/>
      </w:numPr>
    </w:pPr>
  </w:style>
  <w:style w:type="paragraph" w:customStyle="1" w:styleId="Subheading3">
    <w:name w:val="Subheading 3"/>
    <w:basedOn w:val="Normal"/>
    <w:next w:val="Normal"/>
    <w:qFormat/>
    <w:rsid w:val="001254D1"/>
    <w:pPr>
      <w:spacing w:before="120" w:after="120"/>
    </w:pPr>
    <w:rPr>
      <w:i/>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10"/>
    <w:semiHidden/>
    <w:rsid w:val="00CA6CCF"/>
    <w:pPr>
      <w:tabs>
        <w:tab w:val="center" w:pos="4513"/>
        <w:tab w:val="right" w:pos="9026"/>
      </w:tabs>
    </w:pPr>
  </w:style>
  <w:style w:type="character" w:customStyle="1" w:styleId="HeaderChar">
    <w:name w:val="Header Char"/>
    <w:basedOn w:val="DefaultParagraphFont"/>
    <w:link w:val="Header"/>
    <w:uiPriority w:val="10"/>
    <w:semiHidden/>
    <w:rsid w:val="001254D1"/>
    <w:rPr>
      <w:rFonts w:ascii="Times New Roman" w:hAnsi="Times New Roman"/>
    </w:rPr>
  </w:style>
  <w:style w:type="paragraph" w:customStyle="1" w:styleId="Activeingredientdosageform">
    <w:name w:val="Active ingredient dosage form"/>
    <w:basedOn w:val="Normal"/>
    <w:qFormat/>
    <w:rsid w:val="00F347B6"/>
    <w:rPr>
      <w:rFonts w:eastAsia="SimSun" w:cstheme="minorHAnsi"/>
      <w:i/>
      <w:sz w:val="20"/>
    </w:rPr>
  </w:style>
  <w:style w:type="paragraph" w:customStyle="1" w:styleId="TradeName">
    <w:name w:val="Trade Name"/>
    <w:basedOn w:val="Normal"/>
    <w:qFormat/>
    <w:rsid w:val="00F347B6"/>
    <w:rPr>
      <w:rFonts w:eastAsia="SimSun" w:cstheme="minorHAnsi"/>
      <w:b/>
      <w:caps/>
      <w:sz w:val="44"/>
    </w:rPr>
  </w:style>
  <w:style w:type="paragraph" w:customStyle="1" w:styleId="InstructionalText">
    <w:name w:val="Instructional Text"/>
    <w:basedOn w:val="Normal"/>
    <w:qFormat/>
    <w:rsid w:val="00BD29AF"/>
    <w:rPr>
      <w:i/>
      <w:color w:val="0070C0"/>
    </w:rPr>
  </w:style>
  <w:style w:type="character" w:customStyle="1" w:styleId="UnresolvedMention1">
    <w:name w:val="Unresolved Mention1"/>
    <w:basedOn w:val="DefaultParagraphFont"/>
    <w:uiPriority w:val="99"/>
    <w:semiHidden/>
    <w:unhideWhenUsed/>
    <w:rsid w:val="006F2777"/>
    <w:rPr>
      <w:color w:val="808080"/>
      <w:shd w:val="clear" w:color="auto" w:fill="E6E6E6"/>
    </w:rPr>
  </w:style>
  <w:style w:type="table" w:styleId="TableGrid">
    <w:name w:val="Table Grid"/>
    <w:basedOn w:val="TableNormal"/>
    <w:uiPriority w:val="59"/>
    <w:rsid w:val="00CA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tpoint">
    <w:name w:val="Body dot point"/>
    <w:basedOn w:val="Normal"/>
    <w:uiPriority w:val="4"/>
    <w:qFormat/>
    <w:rsid w:val="00C33628"/>
    <w:pPr>
      <w:numPr>
        <w:numId w:val="17"/>
      </w:numPr>
    </w:pPr>
  </w:style>
  <w:style w:type="paragraph" w:customStyle="1" w:styleId="TableTitle">
    <w:name w:val="Table Title"/>
    <w:basedOn w:val="Normal"/>
    <w:next w:val="Normal"/>
    <w:qFormat/>
    <w:rsid w:val="00CA2FC1"/>
    <w:rPr>
      <w:b/>
    </w:rPr>
  </w:style>
  <w:style w:type="paragraph" w:customStyle="1" w:styleId="TableHeading">
    <w:name w:val="Table Heading"/>
    <w:basedOn w:val="Normal"/>
    <w:qFormat/>
    <w:rsid w:val="00082425"/>
    <w:pPr>
      <w:spacing w:before="60" w:after="60"/>
    </w:pPr>
    <w:rPr>
      <w:b/>
    </w:rPr>
  </w:style>
  <w:style w:type="paragraph" w:customStyle="1" w:styleId="TableBody">
    <w:name w:val="Table Body"/>
    <w:basedOn w:val="Normal"/>
    <w:qFormat/>
    <w:rsid w:val="00082425"/>
    <w:pPr>
      <w:spacing w:before="60" w:after="60"/>
    </w:pPr>
  </w:style>
  <w:style w:type="paragraph" w:customStyle="1" w:styleId="In-housecoding">
    <w:name w:val="In-house coding"/>
    <w:basedOn w:val="Normal"/>
    <w:qFormat/>
    <w:rsid w:val="00AC561A"/>
    <w:rPr>
      <w:b/>
    </w:rPr>
  </w:style>
  <w:style w:type="paragraph" w:customStyle="1" w:styleId="HeaderPI">
    <w:name w:val="Header PI"/>
    <w:basedOn w:val="Normal"/>
    <w:qFormat/>
    <w:rsid w:val="00AC561A"/>
    <w:pPr>
      <w:pBdr>
        <w:bottom w:val="single" w:sz="4" w:space="1" w:color="auto"/>
      </w:pBdr>
    </w:pPr>
    <w:rPr>
      <w:sz w:val="20"/>
      <w:szCs w:val="20"/>
    </w:rPr>
  </w:style>
  <w:style w:type="paragraph" w:customStyle="1" w:styleId="AustralianPI">
    <w:name w:val="Australian PI"/>
    <w:basedOn w:val="Heading1"/>
    <w:next w:val="TradeName"/>
    <w:qFormat/>
    <w:rsid w:val="001254D1"/>
    <w:pPr>
      <w:numPr>
        <w:numId w:val="0"/>
      </w:numPr>
      <w:spacing w:before="120"/>
    </w:pPr>
    <w:rPr>
      <w:rFonts w:eastAsia="SimSun" w:cstheme="minorHAnsi"/>
    </w:rPr>
  </w:style>
  <w:style w:type="paragraph" w:styleId="Footer">
    <w:name w:val="footer"/>
    <w:basedOn w:val="Normal"/>
    <w:link w:val="FooterChar"/>
    <w:unhideWhenUsed/>
    <w:rsid w:val="00BA6E68"/>
    <w:pPr>
      <w:tabs>
        <w:tab w:val="center" w:pos="4680"/>
        <w:tab w:val="right" w:pos="9360"/>
      </w:tabs>
    </w:pPr>
  </w:style>
  <w:style w:type="character" w:customStyle="1" w:styleId="FooterChar">
    <w:name w:val="Footer Char"/>
    <w:basedOn w:val="DefaultParagraphFont"/>
    <w:link w:val="Footer"/>
    <w:rsid w:val="00BA6E68"/>
    <w:rPr>
      <w:rFonts w:ascii="Times New Roman" w:hAnsi="Times New Roman"/>
    </w:rPr>
  </w:style>
  <w:style w:type="paragraph" w:customStyle="1" w:styleId="Minorheading">
    <w:name w:val="Minor heading"/>
    <w:basedOn w:val="Normal"/>
    <w:next w:val="Normal"/>
    <w:rsid w:val="0050150E"/>
    <w:pPr>
      <w:spacing w:after="160" w:line="259" w:lineRule="auto"/>
    </w:pPr>
    <w:rPr>
      <w:rFonts w:ascii="Helvet" w:eastAsia="SimSun" w:hAnsi="Helvet" w:cs="Times New Roman"/>
      <w:b/>
      <w:lang w:eastAsia="zh-CN"/>
    </w:rPr>
  </w:style>
  <w:style w:type="paragraph" w:customStyle="1" w:styleId="ActiveIngredientName">
    <w:name w:val="Active Ingredient Name"/>
    <w:basedOn w:val="Normal"/>
    <w:qFormat/>
    <w:rsid w:val="0050150E"/>
    <w:pPr>
      <w:pBdr>
        <w:bottom w:val="single" w:sz="4" w:space="1" w:color="auto"/>
      </w:pBdr>
      <w:mirrorIndents/>
      <w:jc w:val="left"/>
    </w:pPr>
    <w:rPr>
      <w:rFonts w:eastAsia="SimSun"/>
      <w:i/>
      <w:sz w:val="20"/>
      <w:szCs w:val="20"/>
      <w:lang w:eastAsia="zh-CN"/>
    </w:rPr>
  </w:style>
  <w:style w:type="paragraph" w:customStyle="1" w:styleId="Bodydot">
    <w:name w:val="Body dot"/>
    <w:basedOn w:val="Normal"/>
    <w:qFormat/>
    <w:rsid w:val="00152F05"/>
    <w:pPr>
      <w:numPr>
        <w:numId w:val="19"/>
      </w:numPr>
      <w:adjustRightInd w:val="0"/>
      <w:spacing w:after="240"/>
      <w:jc w:val="left"/>
    </w:pPr>
    <w:rPr>
      <w:rFonts w:eastAsia="SimSun"/>
      <w:szCs w:val="28"/>
      <w:lang w:eastAsia="zh-CN" w:bidi="en-AU"/>
    </w:rPr>
  </w:style>
  <w:style w:type="paragraph" w:customStyle="1" w:styleId="Bodyofcontents">
    <w:name w:val="Body of contents"/>
    <w:basedOn w:val="Normal"/>
    <w:qFormat/>
    <w:rsid w:val="0050150E"/>
    <w:pPr>
      <w:spacing w:after="240"/>
      <w:mirrorIndents/>
    </w:pPr>
    <w:rPr>
      <w:rFonts w:eastAsia="SimSun" w:cs="Times New Roman"/>
      <w:szCs w:val="28"/>
      <w:lang w:eastAsia="zh-CN"/>
    </w:rPr>
  </w:style>
  <w:style w:type="paragraph" w:customStyle="1" w:styleId="DocumentName">
    <w:name w:val="Document Name"/>
    <w:basedOn w:val="Normal"/>
    <w:qFormat/>
    <w:rsid w:val="0050150E"/>
    <w:pPr>
      <w:mirrorIndents/>
      <w:jc w:val="left"/>
    </w:pPr>
    <w:rPr>
      <w:rFonts w:eastAsia="SimSun"/>
      <w:b/>
      <w:caps/>
      <w:sz w:val="26"/>
      <w:szCs w:val="26"/>
      <w:lang w:eastAsia="zh-CN"/>
    </w:rPr>
  </w:style>
  <w:style w:type="paragraph" w:customStyle="1" w:styleId="MainHeading">
    <w:name w:val="Main Heading"/>
    <w:basedOn w:val="Normal"/>
    <w:qFormat/>
    <w:rsid w:val="0050150E"/>
    <w:pPr>
      <w:mirrorIndents/>
      <w:jc w:val="left"/>
    </w:pPr>
    <w:rPr>
      <w:rFonts w:eastAsia="SimSun"/>
      <w:b/>
      <w:sz w:val="60"/>
      <w:szCs w:val="60"/>
      <w:lang w:eastAsia="zh-CN"/>
    </w:rPr>
  </w:style>
  <w:style w:type="paragraph" w:customStyle="1" w:styleId="SubjectHeading">
    <w:name w:val="Subject Heading"/>
    <w:basedOn w:val="Normal"/>
    <w:qFormat/>
    <w:rsid w:val="0050150E"/>
    <w:pPr>
      <w:keepNext/>
      <w:snapToGrid w:val="0"/>
      <w:spacing w:before="360" w:after="120" w:line="360" w:lineRule="auto"/>
      <w:mirrorIndents/>
      <w:jc w:val="left"/>
    </w:pPr>
    <w:rPr>
      <w:rFonts w:eastAsia="SimSun"/>
      <w:b/>
      <w:caps/>
      <w:sz w:val="28"/>
      <w:szCs w:val="28"/>
      <w:lang w:eastAsia="zh-CN"/>
    </w:rPr>
  </w:style>
  <w:style w:type="character" w:styleId="Hyperlink">
    <w:name w:val="Hyperlink"/>
    <w:basedOn w:val="DefaultParagraphFont"/>
    <w:uiPriority w:val="99"/>
    <w:unhideWhenUsed/>
    <w:rsid w:val="00CA7685"/>
    <w:rPr>
      <w:caps w:val="0"/>
      <w:smallCaps w:val="0"/>
      <w:color w:val="0000FF" w:themeColor="hyperlink"/>
      <w:u w:val="single"/>
    </w:rPr>
  </w:style>
  <w:style w:type="character" w:styleId="UnresolvedMention">
    <w:name w:val="Unresolved Mention"/>
    <w:basedOn w:val="DefaultParagraphFont"/>
    <w:uiPriority w:val="99"/>
    <w:semiHidden/>
    <w:unhideWhenUsed/>
    <w:rsid w:val="003646B1"/>
    <w:rPr>
      <w:color w:val="605E5C"/>
      <w:shd w:val="clear" w:color="auto" w:fill="E1DFDD"/>
    </w:rPr>
  </w:style>
  <w:style w:type="paragraph" w:styleId="BodyText">
    <w:name w:val="Body Text"/>
    <w:basedOn w:val="Normal"/>
    <w:link w:val="BodyTextChar"/>
    <w:uiPriority w:val="1"/>
    <w:qFormat/>
    <w:rsid w:val="00F26E2F"/>
    <w:pPr>
      <w:widowControl w:val="0"/>
      <w:autoSpaceDE w:val="0"/>
      <w:autoSpaceDN w:val="0"/>
      <w:spacing w:before="180"/>
      <w:ind w:left="308"/>
    </w:pPr>
    <w:rPr>
      <w:rFonts w:eastAsia="Arial"/>
      <w:lang w:eastAsia="en-AU" w:bidi="en-AU"/>
    </w:rPr>
  </w:style>
  <w:style w:type="character" w:customStyle="1" w:styleId="BodyTextChar">
    <w:name w:val="Body Text Char"/>
    <w:basedOn w:val="DefaultParagraphFont"/>
    <w:link w:val="BodyText"/>
    <w:uiPriority w:val="1"/>
    <w:rsid w:val="00F26E2F"/>
    <w:rPr>
      <w:rFonts w:ascii="Arial" w:eastAsia="Arial" w:hAnsi="Arial" w:cs="Arial"/>
      <w:lang w:eastAsia="en-AU" w:bidi="en-AU"/>
    </w:rPr>
  </w:style>
  <w:style w:type="paragraph" w:styleId="ListParagraph">
    <w:name w:val="List Paragraph"/>
    <w:basedOn w:val="Normal"/>
    <w:uiPriority w:val="34"/>
    <w:qFormat/>
    <w:rsid w:val="00737102"/>
    <w:pPr>
      <w:widowControl w:val="0"/>
      <w:autoSpaceDE w:val="0"/>
      <w:autoSpaceDN w:val="0"/>
      <w:ind w:left="1028" w:hanging="720"/>
      <w:jc w:val="left"/>
    </w:pPr>
    <w:rPr>
      <w:rFonts w:eastAsia="Arial"/>
      <w:lang w:eastAsia="en-AU" w:bidi="en-AU"/>
    </w:rPr>
  </w:style>
  <w:style w:type="paragraph" w:customStyle="1" w:styleId="TableParagraph">
    <w:name w:val="Table Paragraph"/>
    <w:basedOn w:val="Normal"/>
    <w:uiPriority w:val="1"/>
    <w:qFormat/>
    <w:rsid w:val="00737102"/>
    <w:pPr>
      <w:widowControl w:val="0"/>
      <w:autoSpaceDE w:val="0"/>
      <w:autoSpaceDN w:val="0"/>
      <w:spacing w:before="54"/>
      <w:ind w:left="107"/>
      <w:jc w:val="left"/>
    </w:pPr>
    <w:rPr>
      <w:rFonts w:eastAsia="Arial"/>
      <w:lang w:eastAsia="en-AU" w:bidi="en-AU"/>
    </w:rPr>
  </w:style>
  <w:style w:type="paragraph" w:customStyle="1" w:styleId="Default">
    <w:name w:val="Default"/>
    <w:rsid w:val="005F492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9415F"/>
    <w:pPr>
      <w:spacing w:before="100" w:beforeAutospacing="1" w:after="100" w:afterAutospacing="1"/>
      <w:jc w:val="left"/>
    </w:pPr>
    <w:rPr>
      <w:rFonts w:eastAsia="Times New Roman" w:cs="Times New Roman"/>
      <w:sz w:val="24"/>
      <w:szCs w:val="24"/>
      <w:lang w:eastAsia="en-AU"/>
    </w:rPr>
  </w:style>
  <w:style w:type="character" w:customStyle="1" w:styleId="BayerBodyTextFullChar">
    <w:name w:val="Bayer Body Text Full Char"/>
    <w:link w:val="BayerBodyTextFull"/>
    <w:locked/>
    <w:rsid w:val="001B0D6C"/>
    <w:rPr>
      <w:sz w:val="24"/>
    </w:rPr>
  </w:style>
  <w:style w:type="paragraph" w:customStyle="1" w:styleId="BayerBodyTextFull">
    <w:name w:val="Bayer Body Text Full"/>
    <w:basedOn w:val="Normal"/>
    <w:link w:val="BayerBodyTextFullChar"/>
    <w:qFormat/>
    <w:rsid w:val="001B0D6C"/>
    <w:pPr>
      <w:spacing w:before="120" w:after="120"/>
      <w:jc w:val="left"/>
    </w:pPr>
    <w:rPr>
      <w:rFonts w:asciiTheme="minorHAnsi" w:hAnsiTheme="minorHAnsi"/>
      <w:sz w:val="24"/>
    </w:rPr>
  </w:style>
  <w:style w:type="character" w:customStyle="1" w:styleId="CaptionChar">
    <w:name w:val="Caption Char"/>
    <w:aliases w:val="Bayer Caption Char"/>
    <w:link w:val="Caption"/>
    <w:locked/>
    <w:rsid w:val="00192EC2"/>
    <w:rPr>
      <w:rFonts w:ascii="Arial" w:hAnsi="Arial" w:cs="Arial"/>
      <w:b/>
    </w:rPr>
  </w:style>
  <w:style w:type="paragraph" w:styleId="Caption">
    <w:name w:val="caption"/>
    <w:aliases w:val="Bayer Caption"/>
    <w:basedOn w:val="Normal"/>
    <w:next w:val="Normal"/>
    <w:link w:val="CaptionChar"/>
    <w:unhideWhenUsed/>
    <w:qFormat/>
    <w:rsid w:val="00192EC2"/>
    <w:pPr>
      <w:keepNext/>
      <w:spacing w:before="120" w:after="120"/>
      <w:ind w:left="907"/>
      <w:jc w:val="left"/>
    </w:pPr>
    <w:rPr>
      <w:b/>
    </w:rPr>
  </w:style>
  <w:style w:type="paragraph" w:styleId="CommentSubject">
    <w:name w:val="annotation subject"/>
    <w:basedOn w:val="CommentText"/>
    <w:next w:val="CommentText"/>
    <w:link w:val="CommentSubjectChar"/>
    <w:uiPriority w:val="99"/>
    <w:semiHidden/>
    <w:unhideWhenUsed/>
    <w:rsid w:val="001F2F62"/>
    <w:rPr>
      <w:rFonts w:ascii="Times New Roman" w:hAnsi="Times New Roman"/>
      <w:b/>
      <w:bCs/>
    </w:rPr>
  </w:style>
  <w:style w:type="character" w:customStyle="1" w:styleId="CommentSubjectChar">
    <w:name w:val="Comment Subject Char"/>
    <w:basedOn w:val="CommentTextChar"/>
    <w:link w:val="CommentSubject"/>
    <w:uiPriority w:val="99"/>
    <w:semiHidden/>
    <w:rsid w:val="001F2F62"/>
    <w:rPr>
      <w:rFonts w:ascii="Times New Roman" w:hAnsi="Times New Roman"/>
      <w:b/>
      <w:bCs/>
      <w:sz w:val="20"/>
      <w:szCs w:val="20"/>
    </w:rPr>
  </w:style>
  <w:style w:type="paragraph" w:customStyle="1" w:styleId="Style1">
    <w:name w:val="Style1"/>
    <w:basedOn w:val="Heading4"/>
    <w:link w:val="Style1Char"/>
    <w:qFormat/>
    <w:rsid w:val="00EA0BD2"/>
  </w:style>
  <w:style w:type="paragraph" w:customStyle="1" w:styleId="Paragraph">
    <w:name w:val="Paragraph"/>
    <w:rsid w:val="00773702"/>
    <w:pPr>
      <w:numPr>
        <w:ilvl w:val="9"/>
      </w:numPr>
      <w:suppressAutoHyphens/>
      <w:spacing w:before="85" w:after="0" w:line="253" w:lineRule="atLeast"/>
    </w:pPr>
    <w:rPr>
      <w:rFonts w:ascii="Times New Roman" w:eastAsia="Times New Roman" w:hAnsi="Times New Roman" w:cs="Times New Roman"/>
      <w:color w:val="000000"/>
      <w:lang w:val="en-US"/>
    </w:rPr>
  </w:style>
  <w:style w:type="character" w:customStyle="1" w:styleId="Style1Char">
    <w:name w:val="Style1 Char"/>
    <w:basedOn w:val="Heading4Char"/>
    <w:link w:val="Style1"/>
    <w:rsid w:val="00EA0BD2"/>
    <w:rPr>
      <w:rFonts w:ascii="Arial" w:eastAsiaTheme="majorEastAsia" w:hAnsi="Arial" w:cs="Arial"/>
      <w:b/>
      <w:bCs/>
      <w:i/>
      <w:iCs/>
      <w:lang w:val="en-US"/>
    </w:rPr>
  </w:style>
  <w:style w:type="paragraph" w:customStyle="1" w:styleId="BayerTableRowHeadings">
    <w:name w:val="Bayer Table Row Headings"/>
    <w:basedOn w:val="BayerTableStyleRightJustified"/>
    <w:link w:val="BayerTableRowHeadingsZchn"/>
    <w:qFormat/>
    <w:rsid w:val="00FF37D2"/>
    <w:pPr>
      <w:jc w:val="left"/>
    </w:pPr>
  </w:style>
  <w:style w:type="paragraph" w:customStyle="1" w:styleId="BayerTableStyleRightJustified">
    <w:name w:val="Bayer TableStyle Right Justified"/>
    <w:qFormat/>
    <w:rsid w:val="00FF37D2"/>
    <w:pPr>
      <w:keepNext/>
      <w:widowControl w:val="0"/>
      <w:spacing w:after="0" w:line="240" w:lineRule="auto"/>
      <w:jc w:val="right"/>
    </w:pPr>
    <w:rPr>
      <w:rFonts w:ascii="Arial" w:eastAsia="Times New Roman" w:hAnsi="Arial" w:cs="Times New Roman"/>
      <w:sz w:val="20"/>
      <w:szCs w:val="20"/>
      <w:lang w:val="en-US"/>
    </w:rPr>
  </w:style>
  <w:style w:type="paragraph" w:customStyle="1" w:styleId="BayerTableColumnHeadings">
    <w:name w:val="Bayer Table Column Headings"/>
    <w:basedOn w:val="Normal"/>
    <w:link w:val="BayerTableColumnHeadingsZchn"/>
    <w:qFormat/>
    <w:rsid w:val="00FF37D2"/>
    <w:pPr>
      <w:jc w:val="center"/>
    </w:pPr>
    <w:rPr>
      <w:rFonts w:eastAsia="Times New Roman" w:cs="Times New Roman"/>
      <w:b/>
      <w:sz w:val="20"/>
      <w:szCs w:val="20"/>
      <w:lang w:val="en-US"/>
    </w:rPr>
  </w:style>
  <w:style w:type="paragraph" w:customStyle="1" w:styleId="BayerTableStyleLeftJustified">
    <w:name w:val="Bayer TableStyle Left Justified"/>
    <w:basedOn w:val="Normal"/>
    <w:qFormat/>
    <w:rsid w:val="00FF37D2"/>
    <w:pPr>
      <w:keepNext/>
      <w:widowControl w:val="0"/>
      <w:jc w:val="left"/>
    </w:pPr>
    <w:rPr>
      <w:rFonts w:eastAsia="Times New Roman" w:cs="Times New Roman"/>
      <w:sz w:val="20"/>
      <w:szCs w:val="20"/>
      <w:lang w:val="en-US"/>
    </w:rPr>
  </w:style>
  <w:style w:type="character" w:customStyle="1" w:styleId="BayerTableColumnHeadingsZchn">
    <w:name w:val="Bayer Table Column Headings Zchn"/>
    <w:link w:val="BayerTableColumnHeadings"/>
    <w:rsid w:val="00FF37D2"/>
    <w:rPr>
      <w:rFonts w:ascii="Arial" w:eastAsia="Times New Roman" w:hAnsi="Arial" w:cs="Times New Roman"/>
      <w:b/>
      <w:sz w:val="20"/>
      <w:szCs w:val="20"/>
      <w:lang w:val="en-US"/>
    </w:rPr>
  </w:style>
  <w:style w:type="character" w:customStyle="1" w:styleId="BayerTableRowHeadingsZchn">
    <w:name w:val="Bayer Table Row Headings Zchn"/>
    <w:link w:val="BayerTableRowHeadings"/>
    <w:rsid w:val="00FF37D2"/>
    <w:rPr>
      <w:rFonts w:ascii="Arial" w:eastAsia="Times New Roman" w:hAnsi="Arial" w:cs="Times New Roman"/>
      <w:sz w:val="20"/>
      <w:szCs w:val="20"/>
      <w:lang w:val="en-US"/>
    </w:rPr>
  </w:style>
  <w:style w:type="paragraph" w:styleId="EndnoteText">
    <w:name w:val="endnote text"/>
    <w:basedOn w:val="Normal"/>
    <w:link w:val="EndnoteTextChar"/>
    <w:unhideWhenUsed/>
    <w:rsid w:val="00914930"/>
    <w:rPr>
      <w:sz w:val="20"/>
      <w:szCs w:val="20"/>
    </w:rPr>
  </w:style>
  <w:style w:type="character" w:customStyle="1" w:styleId="EndnoteTextChar">
    <w:name w:val="Endnote Text Char"/>
    <w:basedOn w:val="DefaultParagraphFont"/>
    <w:link w:val="EndnoteText"/>
    <w:rsid w:val="00914930"/>
    <w:rPr>
      <w:rFonts w:ascii="Times New Roman" w:hAnsi="Times New Roman"/>
      <w:sz w:val="20"/>
      <w:szCs w:val="20"/>
    </w:rPr>
  </w:style>
  <w:style w:type="character" w:styleId="EndnoteReference">
    <w:name w:val="endnote reference"/>
    <w:semiHidden/>
    <w:rsid w:val="00914930"/>
    <w:rPr>
      <w:bdr w:val="none" w:sz="0" w:space="0" w:color="auto"/>
      <w:shd w:val="clear" w:color="auto" w:fill="BFBFBF"/>
      <w:vertAlign w:val="superscript"/>
    </w:rPr>
  </w:style>
  <w:style w:type="paragraph" w:customStyle="1" w:styleId="BayerFootnote">
    <w:name w:val="Bayer Footnote"/>
    <w:basedOn w:val="Normal"/>
    <w:rsid w:val="007D3B50"/>
    <w:pPr>
      <w:tabs>
        <w:tab w:val="left" w:pos="907"/>
      </w:tabs>
      <w:spacing w:after="60"/>
      <w:ind w:left="907"/>
      <w:jc w:val="left"/>
    </w:pPr>
    <w:rPr>
      <w:rFonts w:ascii="Times New Roman" w:eastAsia="Times New Roman" w:hAnsi="Times New Roman" w:cs="Times New Roman"/>
      <w:sz w:val="20"/>
      <w:szCs w:val="20"/>
      <w:lang w:val="en-US"/>
    </w:rPr>
  </w:style>
  <w:style w:type="paragraph" w:customStyle="1" w:styleId="Bullet2BayerBodyText">
    <w:name w:val="Bullet_2 Bayer Body Text"/>
    <w:basedOn w:val="Normal"/>
    <w:next w:val="BayerBodyTextFull"/>
    <w:qFormat/>
    <w:rsid w:val="00FA6FDD"/>
    <w:pPr>
      <w:numPr>
        <w:numId w:val="37"/>
      </w:numPr>
      <w:tabs>
        <w:tab w:val="clear" w:pos="1778"/>
      </w:tabs>
      <w:spacing w:after="120"/>
      <w:ind w:left="1440" w:hanging="720"/>
      <w:jc w:val="left"/>
    </w:pPr>
    <w:rPr>
      <w:rFonts w:ascii="Times New Roman" w:eastAsia="Times New Roman" w:hAnsi="Times New Roman" w:cs="Times New Roman"/>
      <w:sz w:val="24"/>
      <w:szCs w:val="20"/>
      <w:lang w:val="en-US"/>
    </w:rPr>
  </w:style>
  <w:style w:type="paragraph" w:customStyle="1" w:styleId="HeadingOther">
    <w:name w:val="HeadingOther"/>
    <w:basedOn w:val="Normal"/>
    <w:rsid w:val="00B25AC9"/>
    <w:pPr>
      <w:keepNext/>
      <w:suppressAutoHyphens/>
      <w:spacing w:before="85" w:line="253" w:lineRule="atLeast"/>
      <w:jc w:val="left"/>
    </w:pPr>
    <w:rPr>
      <w:rFonts w:ascii="Times New Roman" w:eastAsia="Times New Roman" w:hAnsi="Times New Roman" w:cs="Times New Roman"/>
      <w:b/>
      <w:bCs/>
      <w:color w:val="000000"/>
      <w:lang w:val="en-US"/>
    </w:rPr>
  </w:style>
  <w:style w:type="character" w:customStyle="1" w:styleId="InlineCrossReference">
    <w:name w:val="InlineCrossReference"/>
    <w:rsid w:val="00D56DDE"/>
    <w:rPr>
      <w:rFonts w:ascii="Arial" w:hAnsi="Arial"/>
      <w:caps/>
      <w:smallCaps w:val="0"/>
      <w:sz w:val="22"/>
    </w:rPr>
  </w:style>
  <w:style w:type="character" w:customStyle="1" w:styleId="Italic">
    <w:name w:val="Italic"/>
    <w:rsid w:val="00B25AC9"/>
    <w:rPr>
      <w:i/>
      <w:iCs/>
    </w:rPr>
  </w:style>
  <w:style w:type="character" w:customStyle="1" w:styleId="Superscript">
    <w:name w:val="Superscript"/>
    <w:rsid w:val="00B25AC9"/>
    <w:rPr>
      <w:vertAlign w:val="superscript"/>
    </w:rPr>
  </w:style>
  <w:style w:type="character" w:customStyle="1" w:styleId="optionaltextsubscript">
    <w:name w:val="optionaltextsubscript"/>
    <w:basedOn w:val="DefaultParagraphFont"/>
    <w:rsid w:val="00B25AC9"/>
    <w:rPr>
      <w:shd w:val="clear" w:color="auto" w:fill="CCCCCC"/>
      <w:vertAlign w:val="subscript"/>
    </w:rPr>
  </w:style>
  <w:style w:type="character" w:customStyle="1" w:styleId="optionaltext">
    <w:name w:val="optionaltext"/>
    <w:rsid w:val="009A30A6"/>
    <w:rPr>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408">
      <w:bodyDiv w:val="1"/>
      <w:marLeft w:val="0"/>
      <w:marRight w:val="0"/>
      <w:marTop w:val="0"/>
      <w:marBottom w:val="0"/>
      <w:divBdr>
        <w:top w:val="none" w:sz="0" w:space="0" w:color="auto"/>
        <w:left w:val="none" w:sz="0" w:space="0" w:color="auto"/>
        <w:bottom w:val="none" w:sz="0" w:space="0" w:color="auto"/>
        <w:right w:val="none" w:sz="0" w:space="0" w:color="auto"/>
      </w:divBdr>
    </w:div>
    <w:div w:id="56633682">
      <w:bodyDiv w:val="1"/>
      <w:marLeft w:val="0"/>
      <w:marRight w:val="0"/>
      <w:marTop w:val="0"/>
      <w:marBottom w:val="0"/>
      <w:divBdr>
        <w:top w:val="none" w:sz="0" w:space="0" w:color="auto"/>
        <w:left w:val="none" w:sz="0" w:space="0" w:color="auto"/>
        <w:bottom w:val="none" w:sz="0" w:space="0" w:color="auto"/>
        <w:right w:val="none" w:sz="0" w:space="0" w:color="auto"/>
      </w:divBdr>
    </w:div>
    <w:div w:id="240794441">
      <w:bodyDiv w:val="1"/>
      <w:marLeft w:val="0"/>
      <w:marRight w:val="0"/>
      <w:marTop w:val="0"/>
      <w:marBottom w:val="0"/>
      <w:divBdr>
        <w:top w:val="none" w:sz="0" w:space="0" w:color="auto"/>
        <w:left w:val="none" w:sz="0" w:space="0" w:color="auto"/>
        <w:bottom w:val="none" w:sz="0" w:space="0" w:color="auto"/>
        <w:right w:val="none" w:sz="0" w:space="0" w:color="auto"/>
      </w:divBdr>
    </w:div>
    <w:div w:id="463086542">
      <w:bodyDiv w:val="1"/>
      <w:marLeft w:val="0"/>
      <w:marRight w:val="0"/>
      <w:marTop w:val="0"/>
      <w:marBottom w:val="0"/>
      <w:divBdr>
        <w:top w:val="none" w:sz="0" w:space="0" w:color="auto"/>
        <w:left w:val="none" w:sz="0" w:space="0" w:color="auto"/>
        <w:bottom w:val="none" w:sz="0" w:space="0" w:color="auto"/>
        <w:right w:val="none" w:sz="0" w:space="0" w:color="auto"/>
      </w:divBdr>
    </w:div>
    <w:div w:id="490098886">
      <w:bodyDiv w:val="1"/>
      <w:marLeft w:val="0"/>
      <w:marRight w:val="0"/>
      <w:marTop w:val="0"/>
      <w:marBottom w:val="0"/>
      <w:divBdr>
        <w:top w:val="none" w:sz="0" w:space="0" w:color="auto"/>
        <w:left w:val="none" w:sz="0" w:space="0" w:color="auto"/>
        <w:bottom w:val="none" w:sz="0" w:space="0" w:color="auto"/>
        <w:right w:val="none" w:sz="0" w:space="0" w:color="auto"/>
      </w:divBdr>
    </w:div>
    <w:div w:id="536552012">
      <w:bodyDiv w:val="1"/>
      <w:marLeft w:val="0"/>
      <w:marRight w:val="0"/>
      <w:marTop w:val="0"/>
      <w:marBottom w:val="0"/>
      <w:divBdr>
        <w:top w:val="none" w:sz="0" w:space="0" w:color="auto"/>
        <w:left w:val="none" w:sz="0" w:space="0" w:color="auto"/>
        <w:bottom w:val="none" w:sz="0" w:space="0" w:color="auto"/>
        <w:right w:val="none" w:sz="0" w:space="0" w:color="auto"/>
      </w:divBdr>
    </w:div>
    <w:div w:id="629673797">
      <w:bodyDiv w:val="1"/>
      <w:marLeft w:val="0"/>
      <w:marRight w:val="0"/>
      <w:marTop w:val="0"/>
      <w:marBottom w:val="0"/>
      <w:divBdr>
        <w:top w:val="none" w:sz="0" w:space="0" w:color="auto"/>
        <w:left w:val="none" w:sz="0" w:space="0" w:color="auto"/>
        <w:bottom w:val="none" w:sz="0" w:space="0" w:color="auto"/>
        <w:right w:val="none" w:sz="0" w:space="0" w:color="auto"/>
      </w:divBdr>
    </w:div>
    <w:div w:id="856576012">
      <w:bodyDiv w:val="1"/>
      <w:marLeft w:val="0"/>
      <w:marRight w:val="0"/>
      <w:marTop w:val="0"/>
      <w:marBottom w:val="0"/>
      <w:divBdr>
        <w:top w:val="none" w:sz="0" w:space="0" w:color="auto"/>
        <w:left w:val="none" w:sz="0" w:space="0" w:color="auto"/>
        <w:bottom w:val="none" w:sz="0" w:space="0" w:color="auto"/>
        <w:right w:val="none" w:sz="0" w:space="0" w:color="auto"/>
      </w:divBdr>
    </w:div>
    <w:div w:id="1244531585">
      <w:bodyDiv w:val="1"/>
      <w:marLeft w:val="0"/>
      <w:marRight w:val="0"/>
      <w:marTop w:val="0"/>
      <w:marBottom w:val="0"/>
      <w:divBdr>
        <w:top w:val="none" w:sz="0" w:space="0" w:color="auto"/>
        <w:left w:val="none" w:sz="0" w:space="0" w:color="auto"/>
        <w:bottom w:val="none" w:sz="0" w:space="0" w:color="auto"/>
        <w:right w:val="none" w:sz="0" w:space="0" w:color="auto"/>
      </w:divBdr>
    </w:div>
    <w:div w:id="1422334457">
      <w:bodyDiv w:val="1"/>
      <w:marLeft w:val="0"/>
      <w:marRight w:val="0"/>
      <w:marTop w:val="0"/>
      <w:marBottom w:val="0"/>
      <w:divBdr>
        <w:top w:val="none" w:sz="0" w:space="0" w:color="auto"/>
        <w:left w:val="none" w:sz="0" w:space="0" w:color="auto"/>
        <w:bottom w:val="none" w:sz="0" w:space="0" w:color="auto"/>
        <w:right w:val="none" w:sz="0" w:space="0" w:color="auto"/>
      </w:divBdr>
    </w:div>
    <w:div w:id="1462576699">
      <w:bodyDiv w:val="1"/>
      <w:marLeft w:val="0"/>
      <w:marRight w:val="0"/>
      <w:marTop w:val="0"/>
      <w:marBottom w:val="0"/>
      <w:divBdr>
        <w:top w:val="none" w:sz="0" w:space="0" w:color="auto"/>
        <w:left w:val="none" w:sz="0" w:space="0" w:color="auto"/>
        <w:bottom w:val="none" w:sz="0" w:space="0" w:color="auto"/>
        <w:right w:val="none" w:sz="0" w:space="0" w:color="auto"/>
      </w:divBdr>
    </w:div>
    <w:div w:id="1552424125">
      <w:bodyDiv w:val="1"/>
      <w:marLeft w:val="0"/>
      <w:marRight w:val="0"/>
      <w:marTop w:val="0"/>
      <w:marBottom w:val="0"/>
      <w:divBdr>
        <w:top w:val="none" w:sz="0" w:space="0" w:color="auto"/>
        <w:left w:val="none" w:sz="0" w:space="0" w:color="auto"/>
        <w:bottom w:val="none" w:sz="0" w:space="0" w:color="auto"/>
        <w:right w:val="none" w:sz="0" w:space="0" w:color="auto"/>
      </w:divBdr>
    </w:div>
    <w:div w:id="1739283712">
      <w:bodyDiv w:val="1"/>
      <w:marLeft w:val="0"/>
      <w:marRight w:val="0"/>
      <w:marTop w:val="0"/>
      <w:marBottom w:val="0"/>
      <w:divBdr>
        <w:top w:val="none" w:sz="0" w:space="0" w:color="auto"/>
        <w:left w:val="none" w:sz="0" w:space="0" w:color="auto"/>
        <w:bottom w:val="none" w:sz="0" w:space="0" w:color="auto"/>
        <w:right w:val="none" w:sz="0" w:space="0" w:color="auto"/>
      </w:divBdr>
    </w:div>
    <w:div w:id="1990094454">
      <w:bodyDiv w:val="1"/>
      <w:marLeft w:val="0"/>
      <w:marRight w:val="0"/>
      <w:marTop w:val="0"/>
      <w:marBottom w:val="0"/>
      <w:divBdr>
        <w:top w:val="none" w:sz="0" w:space="0" w:color="auto"/>
        <w:left w:val="none" w:sz="0" w:space="0" w:color="auto"/>
        <w:bottom w:val="none" w:sz="0" w:space="0" w:color="auto"/>
        <w:right w:val="none" w:sz="0" w:space="0" w:color="auto"/>
      </w:divBdr>
    </w:div>
    <w:div w:id="20776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bayer.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tga.gov.au/reporting-problems" TargetMode="External"/><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4044779FB9440987B73B8778D321D" ma:contentTypeVersion="10" ma:contentTypeDescription="Create a new document." ma:contentTypeScope="" ma:versionID="d6722ef88b84d5fec98b00dce1a00217">
  <xsd:schema xmlns:xsd="http://www.w3.org/2001/XMLSchema" xmlns:xs="http://www.w3.org/2001/XMLSchema" xmlns:p="http://schemas.microsoft.com/office/2006/metadata/properties" xmlns:ns3="0ecbc1e0-ecf2-482f-8042-272554868ed9" targetNamespace="http://schemas.microsoft.com/office/2006/metadata/properties" ma:root="true" ma:fieldsID="9829acc6e8a2795a3b04b67c491d98e4" ns3:_="">
    <xsd:import namespace="0ecbc1e0-ecf2-482f-8042-272554868e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bc1e0-ecf2-482f-8042-272554868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DECC-5E4E-462C-97E6-85D0083A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bc1e0-ecf2-482f-8042-272554868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82A24-B5D1-410C-A0C5-D5417E87E610}">
  <ds:schemaRefs>
    <ds:schemaRef ds:uri="http://schemas.microsoft.com/sharepoint/v3/contenttype/forms"/>
  </ds:schemaRefs>
</ds:datastoreItem>
</file>

<file path=customXml/itemProps3.xml><?xml version="1.0" encoding="utf-8"?>
<ds:datastoreItem xmlns:ds="http://schemas.openxmlformats.org/officeDocument/2006/customXml" ds:itemID="{DC441B98-FD40-4710-910D-1DEA240F9F81}">
  <ds:schemaRefs>
    <ds:schemaRef ds:uri="http://purl.org/dc/elements/1.1/"/>
    <ds:schemaRef ds:uri="http://schemas.openxmlformats.org/package/2006/metadata/core-properties"/>
    <ds:schemaRef ds:uri="http://purl.org/dc/dcmitype/"/>
    <ds:schemaRef ds:uri="http://schemas.microsoft.com/office/infopath/2007/PartnerControls"/>
    <ds:schemaRef ds:uri="0ecbc1e0-ecf2-482f-8042-272554868ed9"/>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542A6D60-9D7B-48F1-8268-9775E049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6499</Words>
  <Characters>37894</Characters>
  <Application>Microsoft Office Word</Application>
  <DocSecurity>0</DocSecurity>
  <Lines>1222</Lines>
  <Paragraphs>662</Paragraphs>
  <ScaleCrop>false</ScaleCrop>
  <HeadingPairs>
    <vt:vector size="2" baseType="variant">
      <vt:variant>
        <vt:lpstr>Title</vt:lpstr>
      </vt:variant>
      <vt:variant>
        <vt:i4>1</vt:i4>
      </vt:variant>
    </vt:vector>
  </HeadingPairs>
  <TitlesOfParts>
    <vt:vector size="1" baseType="lpstr">
      <vt:lpstr>Attachment: Product Information for Finerenone</vt:lpstr>
    </vt:vector>
  </TitlesOfParts>
  <Company>Bayer Australia Limited</Company>
  <LinksUpToDate>false</LinksUpToDate>
  <CharactersWithSpaces>43731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Finerenone</dc:title>
  <dc:subject>prescription medicines</dc:subject>
  <dc:creator>Bayer Australia Limited</dc:creator>
  <cp:keywords/>
  <dc:description/>
  <cp:lastPrinted>2021-11-10T04:24:00Z</cp:lastPrinted>
  <dcterms:created xsi:type="dcterms:W3CDTF">2022-05-31T04:37:00Z</dcterms:created>
  <dcterms:modified xsi:type="dcterms:W3CDTF">2022-05-31T05:19:00Z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0x0101004464044779FB9440987B73B8778D321D</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jasmin.chu@bayer.com</vt:lpwstr>
  </property>
  <property fmtid="{D5CDD505-2E9C-101B-9397-08002B2CF9AE}" pid="6" name="MSIP_Label_7f850223-87a8-40c3-9eb2-432606efca2a_SetDate">
    <vt:lpwstr>2021-11-21T04:39:54.3601344Z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