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6DBC1874" w14:textId="77777777" w:rsidTr="00BF1190">
        <w:trPr>
          <w:trHeight w:val="1863"/>
        </w:trPr>
        <w:tc>
          <w:tcPr>
            <w:tcW w:w="3652" w:type="dxa"/>
            <w:tcBorders>
              <w:top w:val="nil"/>
              <w:left w:val="nil"/>
              <w:bottom w:val="nil"/>
              <w:right w:val="nil"/>
            </w:tcBorders>
          </w:tcPr>
          <w:p w14:paraId="38D8BC49" w14:textId="60C889EC" w:rsidR="008E7846" w:rsidRPr="00096AA7" w:rsidRDefault="00810FF4" w:rsidP="00096AA7">
            <w:pPr>
              <w:rPr>
                <w:rFonts w:ascii="Arial" w:hAnsi="Arial" w:cs="Arial"/>
                <w:b/>
                <w:color w:val="002C47"/>
                <w:sz w:val="36"/>
                <w:szCs w:val="36"/>
              </w:rPr>
            </w:pPr>
            <w:r>
              <w:rPr>
                <w:rFonts w:ascii="Arial" w:hAnsi="Arial" w:cs="Arial"/>
                <w:b/>
                <w:color w:val="002C47"/>
                <w:sz w:val="36"/>
                <w:szCs w:val="36"/>
              </w:rPr>
              <w:t>Ju</w:t>
            </w:r>
            <w:r w:rsidR="00BD4DE9">
              <w:rPr>
                <w:rFonts w:ascii="Arial" w:hAnsi="Arial" w:cs="Arial"/>
                <w:b/>
                <w:color w:val="002C47"/>
                <w:sz w:val="36"/>
                <w:szCs w:val="36"/>
              </w:rPr>
              <w:t>ly</w:t>
            </w:r>
            <w:r w:rsidR="00C346AB">
              <w:rPr>
                <w:rFonts w:ascii="Arial" w:hAnsi="Arial" w:cs="Arial"/>
                <w:b/>
                <w:color w:val="002C47"/>
                <w:sz w:val="36"/>
                <w:szCs w:val="36"/>
              </w:rPr>
              <w:t xml:space="preserve"> </w:t>
            </w:r>
            <w:r w:rsidR="0086567D">
              <w:rPr>
                <w:rFonts w:ascii="Arial" w:hAnsi="Arial" w:cs="Arial"/>
                <w:b/>
                <w:color w:val="002C47"/>
                <w:sz w:val="36"/>
                <w:szCs w:val="36"/>
              </w:rPr>
              <w:t>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655B9C32" w14:textId="77777777" w:rsidTr="0032583B">
        <w:trPr>
          <w:trHeight w:val="868"/>
        </w:trPr>
        <w:tc>
          <w:tcPr>
            <w:tcW w:w="9079" w:type="dxa"/>
          </w:tcPr>
          <w:p w14:paraId="64031579" w14:textId="14B3D54A" w:rsidR="0032583B" w:rsidRPr="00A964D1" w:rsidRDefault="0032583B" w:rsidP="00460036">
            <w:pPr>
              <w:pStyle w:val="Title"/>
              <w:rPr>
                <w:color w:val="FFFFFF" w:themeColor="background1"/>
              </w:rPr>
            </w:pPr>
            <w:r w:rsidRPr="00A964D1">
              <w:rPr>
                <w:color w:val="FFFFFF" w:themeColor="background1"/>
              </w:rPr>
              <w:t xml:space="preserve">Australian Public Assessment Report for </w:t>
            </w:r>
            <w:proofErr w:type="spellStart"/>
            <w:r w:rsidR="00CE651C">
              <w:rPr>
                <w:color w:val="FFFFFF" w:themeColor="background1"/>
              </w:rPr>
              <w:t>Crysvita</w:t>
            </w:r>
            <w:proofErr w:type="spellEnd"/>
          </w:p>
        </w:tc>
      </w:tr>
      <w:tr w:rsidR="0032583B" w:rsidRPr="00B64760" w14:paraId="1385F5EC" w14:textId="77777777" w:rsidTr="0032583B">
        <w:tc>
          <w:tcPr>
            <w:tcW w:w="9079" w:type="dxa"/>
          </w:tcPr>
          <w:p w14:paraId="068410D2" w14:textId="6D228EF0" w:rsidR="0032583B" w:rsidRPr="008E7846" w:rsidRDefault="00CE651C" w:rsidP="00460036">
            <w:pPr>
              <w:pStyle w:val="Subtitle"/>
              <w:rPr>
                <w:color w:val="FFFFFF" w:themeColor="background1"/>
              </w:rPr>
            </w:pPr>
            <w:r w:rsidRPr="00CE651C">
              <w:rPr>
                <w:color w:val="FFFFFF" w:themeColor="background1"/>
              </w:rPr>
              <w:t xml:space="preserve">Active ingredient: </w:t>
            </w:r>
            <w:proofErr w:type="spellStart"/>
            <w:r w:rsidRPr="00CE651C">
              <w:rPr>
                <w:color w:val="FFFFFF" w:themeColor="background1"/>
              </w:rPr>
              <w:t>Burosumab</w:t>
            </w:r>
            <w:proofErr w:type="spellEnd"/>
          </w:p>
        </w:tc>
      </w:tr>
      <w:tr w:rsidR="0032583B" w:rsidRPr="00B64760" w14:paraId="26AEAA4B" w14:textId="77777777" w:rsidTr="0032583B">
        <w:trPr>
          <w:trHeight w:val="486"/>
        </w:trPr>
        <w:tc>
          <w:tcPr>
            <w:tcW w:w="9079" w:type="dxa"/>
          </w:tcPr>
          <w:p w14:paraId="153829F7" w14:textId="379FBEBE" w:rsidR="0032583B" w:rsidRPr="008E7846" w:rsidRDefault="00460036" w:rsidP="0032583B">
            <w:pPr>
              <w:pStyle w:val="Subtitle"/>
              <w:rPr>
                <w:color w:val="FFFFFF" w:themeColor="background1"/>
              </w:rPr>
            </w:pPr>
            <w:r>
              <w:rPr>
                <w:color w:val="FFFFFF" w:themeColor="background1"/>
              </w:rPr>
              <w:t xml:space="preserve">Sponsor: </w:t>
            </w:r>
            <w:r w:rsidR="0000452F">
              <w:rPr>
                <w:color w:val="FFFFFF" w:themeColor="background1"/>
              </w:rPr>
              <w:t>Kyowa Kirin Australia Pty Ltd</w:t>
            </w:r>
          </w:p>
        </w:tc>
      </w:tr>
    </w:tbl>
    <w:p w14:paraId="15C7D69E" w14:textId="77777777" w:rsidR="008E7846" w:rsidRPr="0085156D" w:rsidRDefault="008E7846" w:rsidP="0085156D">
      <w:r w:rsidRPr="0085156D">
        <w:br w:type="page"/>
      </w:r>
    </w:p>
    <w:p w14:paraId="2E8116EF" w14:textId="77777777" w:rsidR="008E7846" w:rsidRPr="001F6CBA" w:rsidRDefault="008E7846" w:rsidP="008E7846">
      <w:pPr>
        <w:pStyle w:val="NonTOCHeading2"/>
      </w:pPr>
      <w:r w:rsidRPr="001F6CBA">
        <w:lastRenderedPageBreak/>
        <w:t>About the Therapeutic Goods Administration (TGA)</w:t>
      </w:r>
    </w:p>
    <w:p w14:paraId="295996C2"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6CF95256"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w:t>
      </w:r>
      <w:proofErr w:type="gramStart"/>
      <w:r w:rsidR="008E7846">
        <w:t>safety</w:t>
      </w:r>
      <w:proofErr w:type="gramEnd"/>
      <w:r w:rsidR="008E7846">
        <w:t xml:space="preserve"> and efficacy (performance) when necessary.</w:t>
      </w:r>
    </w:p>
    <w:p w14:paraId="33D8A07C"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1891769D"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1F80160A" w14:textId="65763912"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0FDA4F88" w14:textId="77777777" w:rsidR="008E7846" w:rsidRDefault="008E7846" w:rsidP="00875A6B">
      <w:pPr>
        <w:pStyle w:val="NonTOCHeading2"/>
      </w:pPr>
      <w:r>
        <w:t>About AusPARs</w:t>
      </w:r>
    </w:p>
    <w:p w14:paraId="4529DC56"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71F6B777" w14:textId="77777777" w:rsidR="008E7846" w:rsidRDefault="008E7846" w:rsidP="008E7846">
      <w:pPr>
        <w:pStyle w:val="ListBullet"/>
        <w:numPr>
          <w:ilvl w:val="0"/>
          <w:numId w:val="3"/>
        </w:numPr>
        <w:ind w:left="357" w:hanging="357"/>
      </w:pPr>
      <w:r>
        <w:t>AusPARs are prepared and published by the TGA.</w:t>
      </w:r>
    </w:p>
    <w:p w14:paraId="20E94379" w14:textId="77777777" w:rsidR="008E7846" w:rsidRDefault="008E7846" w:rsidP="008E7846">
      <w:pPr>
        <w:pStyle w:val="ListBullet"/>
        <w:numPr>
          <w:ilvl w:val="0"/>
          <w:numId w:val="3"/>
        </w:numPr>
        <w:ind w:left="357" w:hanging="357"/>
      </w:pPr>
      <w:r>
        <w:t xml:space="preserve">An AusPAR is prepared for submissions that relate to new chemical entities, generic medicines, major </w:t>
      </w:r>
      <w:proofErr w:type="gramStart"/>
      <w:r>
        <w:t>variations</w:t>
      </w:r>
      <w:proofErr w:type="gramEnd"/>
      <w:r>
        <w:t xml:space="preserve"> and extensions of indications.</w:t>
      </w:r>
    </w:p>
    <w:p w14:paraId="2FCE3A85"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15A7D7B0"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630A2678" w14:textId="77777777" w:rsidR="00924482" w:rsidRPr="00DF1D7F" w:rsidRDefault="00924482" w:rsidP="00F54B65">
      <w:pPr>
        <w:pStyle w:val="LegalSubheading"/>
        <w:spacing w:before="3120"/>
      </w:pPr>
      <w:r w:rsidRPr="00DF1D7F">
        <w:t>Copyright</w:t>
      </w:r>
    </w:p>
    <w:p w14:paraId="1772B7E4" w14:textId="0378589C"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796061">
        <w:rPr>
          <w:rFonts w:cs="Arial"/>
          <w:lang w:val="en-GB"/>
        </w:rPr>
        <w:t>2</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proofErr w:type="gramStart"/>
      <w:r w:rsidRPr="00191B3B">
        <w:rPr>
          <w:rFonts w:cs="Arial"/>
          <w:lang w:val="en-GB"/>
        </w:rPr>
        <w:t>reserved</w:t>
      </w:r>
      <w:proofErr w:type="gramEnd"/>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270567B1" w14:textId="77777777"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1567BE2E" w14:textId="77777777" w:rsidR="0089635C" w:rsidRPr="0089635C" w:rsidRDefault="0089635C" w:rsidP="0010788A">
          <w:pPr>
            <w:pStyle w:val="Contents"/>
          </w:pPr>
          <w:r w:rsidRPr="0010788A">
            <w:t>Contents</w:t>
          </w:r>
        </w:p>
        <w:p w14:paraId="6781B92F" w14:textId="274C9F1B" w:rsidR="00604074"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107402928" w:history="1">
            <w:r w:rsidR="00604074" w:rsidRPr="00CD5706">
              <w:rPr>
                <w:rStyle w:val="Hyperlink"/>
                <w:noProof/>
              </w:rPr>
              <w:t>List of abbreviations</w:t>
            </w:r>
            <w:r w:rsidR="00604074">
              <w:rPr>
                <w:noProof/>
                <w:webHidden/>
              </w:rPr>
              <w:tab/>
            </w:r>
            <w:r w:rsidR="00604074">
              <w:rPr>
                <w:noProof/>
                <w:webHidden/>
              </w:rPr>
              <w:fldChar w:fldCharType="begin"/>
            </w:r>
            <w:r w:rsidR="00604074">
              <w:rPr>
                <w:noProof/>
                <w:webHidden/>
              </w:rPr>
              <w:instrText xml:space="preserve"> PAGEREF _Toc107402928 \h </w:instrText>
            </w:r>
            <w:r w:rsidR="00604074">
              <w:rPr>
                <w:noProof/>
                <w:webHidden/>
              </w:rPr>
            </w:r>
            <w:r w:rsidR="00604074">
              <w:rPr>
                <w:noProof/>
                <w:webHidden/>
              </w:rPr>
              <w:fldChar w:fldCharType="separate"/>
            </w:r>
            <w:r w:rsidR="00604074">
              <w:rPr>
                <w:noProof/>
                <w:webHidden/>
              </w:rPr>
              <w:t>4</w:t>
            </w:r>
            <w:r w:rsidR="00604074">
              <w:rPr>
                <w:noProof/>
                <w:webHidden/>
              </w:rPr>
              <w:fldChar w:fldCharType="end"/>
            </w:r>
          </w:hyperlink>
        </w:p>
        <w:p w14:paraId="76AA28E5" w14:textId="29EFBF03" w:rsidR="00604074" w:rsidRDefault="00CE651C">
          <w:pPr>
            <w:pStyle w:val="TOC1"/>
            <w:rPr>
              <w:rFonts w:asciiTheme="minorHAnsi" w:eastAsiaTheme="minorEastAsia" w:hAnsiTheme="minorHAnsi" w:cstheme="minorBidi"/>
              <w:b w:val="0"/>
              <w:noProof/>
              <w:sz w:val="22"/>
              <w:lang w:eastAsia="en-AU"/>
            </w:rPr>
          </w:pPr>
          <w:hyperlink w:anchor="_Toc107402929" w:history="1">
            <w:r w:rsidR="00604074" w:rsidRPr="00CD5706">
              <w:rPr>
                <w:rStyle w:val="Hyperlink"/>
                <w:noProof/>
              </w:rPr>
              <w:t>I. Introduction to product submission</w:t>
            </w:r>
            <w:r w:rsidR="00604074">
              <w:rPr>
                <w:noProof/>
                <w:webHidden/>
              </w:rPr>
              <w:tab/>
            </w:r>
            <w:r w:rsidR="00604074">
              <w:rPr>
                <w:noProof/>
                <w:webHidden/>
              </w:rPr>
              <w:fldChar w:fldCharType="begin"/>
            </w:r>
            <w:r w:rsidR="00604074">
              <w:rPr>
                <w:noProof/>
                <w:webHidden/>
              </w:rPr>
              <w:instrText xml:space="preserve"> PAGEREF _Toc107402929 \h </w:instrText>
            </w:r>
            <w:r w:rsidR="00604074">
              <w:rPr>
                <w:noProof/>
                <w:webHidden/>
              </w:rPr>
            </w:r>
            <w:r w:rsidR="00604074">
              <w:rPr>
                <w:noProof/>
                <w:webHidden/>
              </w:rPr>
              <w:fldChar w:fldCharType="separate"/>
            </w:r>
            <w:r w:rsidR="00604074">
              <w:rPr>
                <w:noProof/>
                <w:webHidden/>
              </w:rPr>
              <w:t>6</w:t>
            </w:r>
            <w:r w:rsidR="00604074">
              <w:rPr>
                <w:noProof/>
                <w:webHidden/>
              </w:rPr>
              <w:fldChar w:fldCharType="end"/>
            </w:r>
          </w:hyperlink>
        </w:p>
        <w:p w14:paraId="78EFDDD0" w14:textId="2B630B33" w:rsidR="00604074" w:rsidRDefault="00CE651C">
          <w:pPr>
            <w:pStyle w:val="TOC2"/>
            <w:rPr>
              <w:rFonts w:asciiTheme="minorHAnsi" w:eastAsiaTheme="minorEastAsia" w:hAnsiTheme="minorHAnsi" w:cstheme="minorBidi"/>
              <w:b w:val="0"/>
              <w:noProof/>
              <w:sz w:val="22"/>
              <w:lang w:eastAsia="en-AU"/>
            </w:rPr>
          </w:pPr>
          <w:hyperlink w:anchor="_Toc107402930" w:history="1">
            <w:r w:rsidR="00604074" w:rsidRPr="00CD5706">
              <w:rPr>
                <w:rStyle w:val="Hyperlink"/>
                <w:noProof/>
                <w:lang w:eastAsia="en-AU"/>
              </w:rPr>
              <w:t>Submission details</w:t>
            </w:r>
            <w:r w:rsidR="00604074">
              <w:rPr>
                <w:noProof/>
                <w:webHidden/>
              </w:rPr>
              <w:tab/>
            </w:r>
            <w:r w:rsidR="00604074">
              <w:rPr>
                <w:noProof/>
                <w:webHidden/>
              </w:rPr>
              <w:fldChar w:fldCharType="begin"/>
            </w:r>
            <w:r w:rsidR="00604074">
              <w:rPr>
                <w:noProof/>
                <w:webHidden/>
              </w:rPr>
              <w:instrText xml:space="preserve"> PAGEREF _Toc107402930 \h </w:instrText>
            </w:r>
            <w:r w:rsidR="00604074">
              <w:rPr>
                <w:noProof/>
                <w:webHidden/>
              </w:rPr>
            </w:r>
            <w:r w:rsidR="00604074">
              <w:rPr>
                <w:noProof/>
                <w:webHidden/>
              </w:rPr>
              <w:fldChar w:fldCharType="separate"/>
            </w:r>
            <w:r w:rsidR="00604074">
              <w:rPr>
                <w:noProof/>
                <w:webHidden/>
              </w:rPr>
              <w:t>6</w:t>
            </w:r>
            <w:r w:rsidR="00604074">
              <w:rPr>
                <w:noProof/>
                <w:webHidden/>
              </w:rPr>
              <w:fldChar w:fldCharType="end"/>
            </w:r>
          </w:hyperlink>
        </w:p>
        <w:p w14:paraId="251D61E3" w14:textId="7351CE74" w:rsidR="00604074" w:rsidRDefault="00CE651C">
          <w:pPr>
            <w:pStyle w:val="TOC2"/>
            <w:rPr>
              <w:rFonts w:asciiTheme="minorHAnsi" w:eastAsiaTheme="minorEastAsia" w:hAnsiTheme="minorHAnsi" w:cstheme="minorBidi"/>
              <w:b w:val="0"/>
              <w:noProof/>
              <w:sz w:val="22"/>
              <w:lang w:eastAsia="en-AU"/>
            </w:rPr>
          </w:pPr>
          <w:hyperlink w:anchor="_Toc107402931" w:history="1">
            <w:r w:rsidR="00604074" w:rsidRPr="00CD5706">
              <w:rPr>
                <w:rStyle w:val="Hyperlink"/>
                <w:noProof/>
              </w:rPr>
              <w:t>Product background</w:t>
            </w:r>
            <w:r w:rsidR="00604074">
              <w:rPr>
                <w:noProof/>
                <w:webHidden/>
              </w:rPr>
              <w:tab/>
            </w:r>
            <w:r w:rsidR="00604074">
              <w:rPr>
                <w:noProof/>
                <w:webHidden/>
              </w:rPr>
              <w:fldChar w:fldCharType="begin"/>
            </w:r>
            <w:r w:rsidR="00604074">
              <w:rPr>
                <w:noProof/>
                <w:webHidden/>
              </w:rPr>
              <w:instrText xml:space="preserve"> PAGEREF _Toc107402931 \h </w:instrText>
            </w:r>
            <w:r w:rsidR="00604074">
              <w:rPr>
                <w:noProof/>
                <w:webHidden/>
              </w:rPr>
            </w:r>
            <w:r w:rsidR="00604074">
              <w:rPr>
                <w:noProof/>
                <w:webHidden/>
              </w:rPr>
              <w:fldChar w:fldCharType="separate"/>
            </w:r>
            <w:r w:rsidR="00604074">
              <w:rPr>
                <w:noProof/>
                <w:webHidden/>
              </w:rPr>
              <w:t>7</w:t>
            </w:r>
            <w:r w:rsidR="00604074">
              <w:rPr>
                <w:noProof/>
                <w:webHidden/>
              </w:rPr>
              <w:fldChar w:fldCharType="end"/>
            </w:r>
          </w:hyperlink>
        </w:p>
        <w:p w14:paraId="7340F58A" w14:textId="01DE9C3F" w:rsidR="00604074" w:rsidRDefault="00CE651C">
          <w:pPr>
            <w:pStyle w:val="TOC2"/>
            <w:rPr>
              <w:rFonts w:asciiTheme="minorHAnsi" w:eastAsiaTheme="minorEastAsia" w:hAnsiTheme="minorHAnsi" w:cstheme="minorBidi"/>
              <w:b w:val="0"/>
              <w:noProof/>
              <w:sz w:val="22"/>
              <w:lang w:eastAsia="en-AU"/>
            </w:rPr>
          </w:pPr>
          <w:hyperlink w:anchor="_Toc107402932" w:history="1">
            <w:r w:rsidR="00604074" w:rsidRPr="00CD5706">
              <w:rPr>
                <w:rStyle w:val="Hyperlink"/>
                <w:noProof/>
              </w:rPr>
              <w:t>Regulatory status</w:t>
            </w:r>
            <w:r w:rsidR="00604074">
              <w:rPr>
                <w:noProof/>
                <w:webHidden/>
              </w:rPr>
              <w:tab/>
            </w:r>
            <w:r w:rsidR="00604074">
              <w:rPr>
                <w:noProof/>
                <w:webHidden/>
              </w:rPr>
              <w:fldChar w:fldCharType="begin"/>
            </w:r>
            <w:r w:rsidR="00604074">
              <w:rPr>
                <w:noProof/>
                <w:webHidden/>
              </w:rPr>
              <w:instrText xml:space="preserve"> PAGEREF _Toc107402932 \h </w:instrText>
            </w:r>
            <w:r w:rsidR="00604074">
              <w:rPr>
                <w:noProof/>
                <w:webHidden/>
              </w:rPr>
            </w:r>
            <w:r w:rsidR="00604074">
              <w:rPr>
                <w:noProof/>
                <w:webHidden/>
              </w:rPr>
              <w:fldChar w:fldCharType="separate"/>
            </w:r>
            <w:r w:rsidR="00604074">
              <w:rPr>
                <w:noProof/>
                <w:webHidden/>
              </w:rPr>
              <w:t>8</w:t>
            </w:r>
            <w:r w:rsidR="00604074">
              <w:rPr>
                <w:noProof/>
                <w:webHidden/>
              </w:rPr>
              <w:fldChar w:fldCharType="end"/>
            </w:r>
          </w:hyperlink>
        </w:p>
        <w:p w14:paraId="1E189231" w14:textId="709BCDE5" w:rsidR="00604074" w:rsidRDefault="00CE651C">
          <w:pPr>
            <w:pStyle w:val="TOC1"/>
            <w:rPr>
              <w:rFonts w:asciiTheme="minorHAnsi" w:eastAsiaTheme="minorEastAsia" w:hAnsiTheme="minorHAnsi" w:cstheme="minorBidi"/>
              <w:b w:val="0"/>
              <w:noProof/>
              <w:sz w:val="22"/>
              <w:lang w:eastAsia="en-AU"/>
            </w:rPr>
          </w:pPr>
          <w:hyperlink w:anchor="_Toc107402933" w:history="1">
            <w:r w:rsidR="00604074" w:rsidRPr="00CD5706">
              <w:rPr>
                <w:rStyle w:val="Hyperlink"/>
                <w:noProof/>
              </w:rPr>
              <w:t>II. Registration timeline</w:t>
            </w:r>
            <w:r w:rsidR="00604074">
              <w:rPr>
                <w:noProof/>
                <w:webHidden/>
              </w:rPr>
              <w:tab/>
            </w:r>
            <w:r w:rsidR="00604074">
              <w:rPr>
                <w:noProof/>
                <w:webHidden/>
              </w:rPr>
              <w:fldChar w:fldCharType="begin"/>
            </w:r>
            <w:r w:rsidR="00604074">
              <w:rPr>
                <w:noProof/>
                <w:webHidden/>
              </w:rPr>
              <w:instrText xml:space="preserve"> PAGEREF _Toc107402933 \h </w:instrText>
            </w:r>
            <w:r w:rsidR="00604074">
              <w:rPr>
                <w:noProof/>
                <w:webHidden/>
              </w:rPr>
            </w:r>
            <w:r w:rsidR="00604074">
              <w:rPr>
                <w:noProof/>
                <w:webHidden/>
              </w:rPr>
              <w:fldChar w:fldCharType="separate"/>
            </w:r>
            <w:r w:rsidR="00604074">
              <w:rPr>
                <w:noProof/>
                <w:webHidden/>
              </w:rPr>
              <w:t>10</w:t>
            </w:r>
            <w:r w:rsidR="00604074">
              <w:rPr>
                <w:noProof/>
                <w:webHidden/>
              </w:rPr>
              <w:fldChar w:fldCharType="end"/>
            </w:r>
          </w:hyperlink>
        </w:p>
        <w:p w14:paraId="2FAD1A5F" w14:textId="73AA67DF" w:rsidR="00604074" w:rsidRDefault="00CE651C">
          <w:pPr>
            <w:pStyle w:val="TOC2"/>
            <w:rPr>
              <w:rFonts w:asciiTheme="minorHAnsi" w:eastAsiaTheme="minorEastAsia" w:hAnsiTheme="minorHAnsi" w:cstheme="minorBidi"/>
              <w:b w:val="0"/>
              <w:noProof/>
              <w:sz w:val="22"/>
              <w:lang w:eastAsia="en-AU"/>
            </w:rPr>
          </w:pPr>
          <w:hyperlink w:anchor="_Toc107402934" w:history="1">
            <w:r w:rsidR="00604074" w:rsidRPr="00CD5706">
              <w:rPr>
                <w:rStyle w:val="Hyperlink"/>
                <w:noProof/>
              </w:rPr>
              <w:t>Product Information</w:t>
            </w:r>
            <w:r w:rsidR="00604074">
              <w:rPr>
                <w:noProof/>
                <w:webHidden/>
              </w:rPr>
              <w:tab/>
            </w:r>
            <w:r w:rsidR="00604074">
              <w:rPr>
                <w:noProof/>
                <w:webHidden/>
              </w:rPr>
              <w:fldChar w:fldCharType="begin"/>
            </w:r>
            <w:r w:rsidR="00604074">
              <w:rPr>
                <w:noProof/>
                <w:webHidden/>
              </w:rPr>
              <w:instrText xml:space="preserve"> PAGEREF _Toc107402934 \h </w:instrText>
            </w:r>
            <w:r w:rsidR="00604074">
              <w:rPr>
                <w:noProof/>
                <w:webHidden/>
              </w:rPr>
            </w:r>
            <w:r w:rsidR="00604074">
              <w:rPr>
                <w:noProof/>
                <w:webHidden/>
              </w:rPr>
              <w:fldChar w:fldCharType="separate"/>
            </w:r>
            <w:r w:rsidR="00604074">
              <w:rPr>
                <w:noProof/>
                <w:webHidden/>
              </w:rPr>
              <w:t>11</w:t>
            </w:r>
            <w:r w:rsidR="00604074">
              <w:rPr>
                <w:noProof/>
                <w:webHidden/>
              </w:rPr>
              <w:fldChar w:fldCharType="end"/>
            </w:r>
          </w:hyperlink>
        </w:p>
        <w:p w14:paraId="1ED98DAC" w14:textId="262B3418" w:rsidR="00604074" w:rsidRDefault="00CE651C">
          <w:pPr>
            <w:pStyle w:val="TOC1"/>
            <w:rPr>
              <w:rFonts w:asciiTheme="minorHAnsi" w:eastAsiaTheme="minorEastAsia" w:hAnsiTheme="minorHAnsi" w:cstheme="minorBidi"/>
              <w:b w:val="0"/>
              <w:noProof/>
              <w:sz w:val="22"/>
              <w:lang w:eastAsia="en-AU"/>
            </w:rPr>
          </w:pPr>
          <w:hyperlink w:anchor="_Toc107402935" w:history="1">
            <w:r w:rsidR="00604074" w:rsidRPr="00CD5706">
              <w:rPr>
                <w:rStyle w:val="Hyperlink"/>
                <w:noProof/>
              </w:rPr>
              <w:t>III. Submission overview and risk/benefit assessment</w:t>
            </w:r>
            <w:r w:rsidR="00604074">
              <w:rPr>
                <w:noProof/>
                <w:webHidden/>
              </w:rPr>
              <w:tab/>
            </w:r>
            <w:r w:rsidR="00604074">
              <w:rPr>
                <w:noProof/>
                <w:webHidden/>
              </w:rPr>
              <w:fldChar w:fldCharType="begin"/>
            </w:r>
            <w:r w:rsidR="00604074">
              <w:rPr>
                <w:noProof/>
                <w:webHidden/>
              </w:rPr>
              <w:instrText xml:space="preserve"> PAGEREF _Toc107402935 \h </w:instrText>
            </w:r>
            <w:r w:rsidR="00604074">
              <w:rPr>
                <w:noProof/>
                <w:webHidden/>
              </w:rPr>
            </w:r>
            <w:r w:rsidR="00604074">
              <w:rPr>
                <w:noProof/>
                <w:webHidden/>
              </w:rPr>
              <w:fldChar w:fldCharType="separate"/>
            </w:r>
            <w:r w:rsidR="00604074">
              <w:rPr>
                <w:noProof/>
                <w:webHidden/>
              </w:rPr>
              <w:t>12</w:t>
            </w:r>
            <w:r w:rsidR="00604074">
              <w:rPr>
                <w:noProof/>
                <w:webHidden/>
              </w:rPr>
              <w:fldChar w:fldCharType="end"/>
            </w:r>
          </w:hyperlink>
        </w:p>
        <w:p w14:paraId="1B1CCD30" w14:textId="3FD3C206" w:rsidR="00604074" w:rsidRDefault="00CE651C">
          <w:pPr>
            <w:pStyle w:val="TOC2"/>
            <w:rPr>
              <w:rFonts w:asciiTheme="minorHAnsi" w:eastAsiaTheme="minorEastAsia" w:hAnsiTheme="minorHAnsi" w:cstheme="minorBidi"/>
              <w:b w:val="0"/>
              <w:noProof/>
              <w:sz w:val="22"/>
              <w:lang w:eastAsia="en-AU"/>
            </w:rPr>
          </w:pPr>
          <w:hyperlink w:anchor="_Toc107402936" w:history="1">
            <w:r w:rsidR="00604074" w:rsidRPr="00CD5706">
              <w:rPr>
                <w:rStyle w:val="Hyperlink"/>
                <w:noProof/>
              </w:rPr>
              <w:t>Quality</w:t>
            </w:r>
            <w:r w:rsidR="00604074">
              <w:rPr>
                <w:noProof/>
                <w:webHidden/>
              </w:rPr>
              <w:tab/>
            </w:r>
            <w:r w:rsidR="00604074">
              <w:rPr>
                <w:noProof/>
                <w:webHidden/>
              </w:rPr>
              <w:fldChar w:fldCharType="begin"/>
            </w:r>
            <w:r w:rsidR="00604074">
              <w:rPr>
                <w:noProof/>
                <w:webHidden/>
              </w:rPr>
              <w:instrText xml:space="preserve"> PAGEREF _Toc107402936 \h </w:instrText>
            </w:r>
            <w:r w:rsidR="00604074">
              <w:rPr>
                <w:noProof/>
                <w:webHidden/>
              </w:rPr>
            </w:r>
            <w:r w:rsidR="00604074">
              <w:rPr>
                <w:noProof/>
                <w:webHidden/>
              </w:rPr>
              <w:fldChar w:fldCharType="separate"/>
            </w:r>
            <w:r w:rsidR="00604074">
              <w:rPr>
                <w:noProof/>
                <w:webHidden/>
              </w:rPr>
              <w:t>12</w:t>
            </w:r>
            <w:r w:rsidR="00604074">
              <w:rPr>
                <w:noProof/>
                <w:webHidden/>
              </w:rPr>
              <w:fldChar w:fldCharType="end"/>
            </w:r>
          </w:hyperlink>
        </w:p>
        <w:p w14:paraId="3AF86BC7" w14:textId="798A5E05" w:rsidR="00604074" w:rsidRDefault="00CE651C">
          <w:pPr>
            <w:pStyle w:val="TOC2"/>
            <w:rPr>
              <w:rFonts w:asciiTheme="minorHAnsi" w:eastAsiaTheme="minorEastAsia" w:hAnsiTheme="minorHAnsi" w:cstheme="minorBidi"/>
              <w:b w:val="0"/>
              <w:noProof/>
              <w:sz w:val="22"/>
              <w:lang w:eastAsia="en-AU"/>
            </w:rPr>
          </w:pPr>
          <w:hyperlink w:anchor="_Toc107402937" w:history="1">
            <w:r w:rsidR="00604074" w:rsidRPr="00CD5706">
              <w:rPr>
                <w:rStyle w:val="Hyperlink"/>
                <w:noProof/>
              </w:rPr>
              <w:t>Nonclinical</w:t>
            </w:r>
            <w:r w:rsidR="00604074">
              <w:rPr>
                <w:noProof/>
                <w:webHidden/>
              </w:rPr>
              <w:tab/>
            </w:r>
            <w:r w:rsidR="00604074">
              <w:rPr>
                <w:noProof/>
                <w:webHidden/>
              </w:rPr>
              <w:fldChar w:fldCharType="begin"/>
            </w:r>
            <w:r w:rsidR="00604074">
              <w:rPr>
                <w:noProof/>
                <w:webHidden/>
              </w:rPr>
              <w:instrText xml:space="preserve"> PAGEREF _Toc107402937 \h </w:instrText>
            </w:r>
            <w:r w:rsidR="00604074">
              <w:rPr>
                <w:noProof/>
                <w:webHidden/>
              </w:rPr>
            </w:r>
            <w:r w:rsidR="00604074">
              <w:rPr>
                <w:noProof/>
                <w:webHidden/>
              </w:rPr>
              <w:fldChar w:fldCharType="separate"/>
            </w:r>
            <w:r w:rsidR="00604074">
              <w:rPr>
                <w:noProof/>
                <w:webHidden/>
              </w:rPr>
              <w:t>13</w:t>
            </w:r>
            <w:r w:rsidR="00604074">
              <w:rPr>
                <w:noProof/>
                <w:webHidden/>
              </w:rPr>
              <w:fldChar w:fldCharType="end"/>
            </w:r>
          </w:hyperlink>
        </w:p>
        <w:p w14:paraId="674B73C1" w14:textId="75F13692" w:rsidR="00604074" w:rsidRDefault="00CE651C">
          <w:pPr>
            <w:pStyle w:val="TOC2"/>
            <w:rPr>
              <w:rFonts w:asciiTheme="minorHAnsi" w:eastAsiaTheme="minorEastAsia" w:hAnsiTheme="minorHAnsi" w:cstheme="minorBidi"/>
              <w:b w:val="0"/>
              <w:noProof/>
              <w:sz w:val="22"/>
              <w:lang w:eastAsia="en-AU"/>
            </w:rPr>
          </w:pPr>
          <w:hyperlink w:anchor="_Toc107402938" w:history="1">
            <w:r w:rsidR="00604074" w:rsidRPr="00CD5706">
              <w:rPr>
                <w:rStyle w:val="Hyperlink"/>
                <w:noProof/>
              </w:rPr>
              <w:t>Clinical</w:t>
            </w:r>
            <w:r w:rsidR="00604074">
              <w:rPr>
                <w:noProof/>
                <w:webHidden/>
              </w:rPr>
              <w:tab/>
            </w:r>
            <w:r w:rsidR="00604074">
              <w:rPr>
                <w:noProof/>
                <w:webHidden/>
              </w:rPr>
              <w:fldChar w:fldCharType="begin"/>
            </w:r>
            <w:r w:rsidR="00604074">
              <w:rPr>
                <w:noProof/>
                <w:webHidden/>
              </w:rPr>
              <w:instrText xml:space="preserve"> PAGEREF _Toc107402938 \h </w:instrText>
            </w:r>
            <w:r w:rsidR="00604074">
              <w:rPr>
                <w:noProof/>
                <w:webHidden/>
              </w:rPr>
            </w:r>
            <w:r w:rsidR="00604074">
              <w:rPr>
                <w:noProof/>
                <w:webHidden/>
              </w:rPr>
              <w:fldChar w:fldCharType="separate"/>
            </w:r>
            <w:r w:rsidR="00604074">
              <w:rPr>
                <w:noProof/>
                <w:webHidden/>
              </w:rPr>
              <w:t>14</w:t>
            </w:r>
            <w:r w:rsidR="00604074">
              <w:rPr>
                <w:noProof/>
                <w:webHidden/>
              </w:rPr>
              <w:fldChar w:fldCharType="end"/>
            </w:r>
          </w:hyperlink>
        </w:p>
        <w:p w14:paraId="54A4915F" w14:textId="5E6AF764" w:rsidR="00604074" w:rsidRDefault="00CE651C">
          <w:pPr>
            <w:pStyle w:val="TOC2"/>
            <w:rPr>
              <w:rFonts w:asciiTheme="minorHAnsi" w:eastAsiaTheme="minorEastAsia" w:hAnsiTheme="minorHAnsi" w:cstheme="minorBidi"/>
              <w:b w:val="0"/>
              <w:noProof/>
              <w:sz w:val="22"/>
              <w:lang w:eastAsia="en-AU"/>
            </w:rPr>
          </w:pPr>
          <w:hyperlink w:anchor="_Toc107402939" w:history="1">
            <w:r w:rsidR="00604074" w:rsidRPr="00CD5706">
              <w:rPr>
                <w:rStyle w:val="Hyperlink"/>
                <w:noProof/>
                <w:lang w:eastAsia="en-AU"/>
              </w:rPr>
              <w:t>Risk management plan</w:t>
            </w:r>
            <w:r w:rsidR="00604074">
              <w:rPr>
                <w:noProof/>
                <w:webHidden/>
              </w:rPr>
              <w:tab/>
            </w:r>
            <w:r w:rsidR="00604074">
              <w:rPr>
                <w:noProof/>
                <w:webHidden/>
              </w:rPr>
              <w:fldChar w:fldCharType="begin"/>
            </w:r>
            <w:r w:rsidR="00604074">
              <w:rPr>
                <w:noProof/>
                <w:webHidden/>
              </w:rPr>
              <w:instrText xml:space="preserve"> PAGEREF _Toc107402939 \h </w:instrText>
            </w:r>
            <w:r w:rsidR="00604074">
              <w:rPr>
                <w:noProof/>
                <w:webHidden/>
              </w:rPr>
            </w:r>
            <w:r w:rsidR="00604074">
              <w:rPr>
                <w:noProof/>
                <w:webHidden/>
              </w:rPr>
              <w:fldChar w:fldCharType="separate"/>
            </w:r>
            <w:r w:rsidR="00604074">
              <w:rPr>
                <w:noProof/>
                <w:webHidden/>
              </w:rPr>
              <w:t>31</w:t>
            </w:r>
            <w:r w:rsidR="00604074">
              <w:rPr>
                <w:noProof/>
                <w:webHidden/>
              </w:rPr>
              <w:fldChar w:fldCharType="end"/>
            </w:r>
          </w:hyperlink>
        </w:p>
        <w:p w14:paraId="4869D6AF" w14:textId="58BCD74A" w:rsidR="00604074" w:rsidRDefault="00CE651C">
          <w:pPr>
            <w:pStyle w:val="TOC2"/>
            <w:rPr>
              <w:rFonts w:asciiTheme="minorHAnsi" w:eastAsiaTheme="minorEastAsia" w:hAnsiTheme="minorHAnsi" w:cstheme="minorBidi"/>
              <w:b w:val="0"/>
              <w:noProof/>
              <w:sz w:val="22"/>
              <w:lang w:eastAsia="en-AU"/>
            </w:rPr>
          </w:pPr>
          <w:hyperlink w:anchor="_Toc107402940" w:history="1">
            <w:r w:rsidR="00604074" w:rsidRPr="00CD5706">
              <w:rPr>
                <w:rStyle w:val="Hyperlink"/>
                <w:noProof/>
              </w:rPr>
              <w:t>Risk-benefit analysis</w:t>
            </w:r>
            <w:r w:rsidR="00604074">
              <w:rPr>
                <w:noProof/>
                <w:webHidden/>
              </w:rPr>
              <w:tab/>
            </w:r>
            <w:r w:rsidR="00604074">
              <w:rPr>
                <w:noProof/>
                <w:webHidden/>
              </w:rPr>
              <w:fldChar w:fldCharType="begin"/>
            </w:r>
            <w:r w:rsidR="00604074">
              <w:rPr>
                <w:noProof/>
                <w:webHidden/>
              </w:rPr>
              <w:instrText xml:space="preserve"> PAGEREF _Toc107402940 \h </w:instrText>
            </w:r>
            <w:r w:rsidR="00604074">
              <w:rPr>
                <w:noProof/>
                <w:webHidden/>
              </w:rPr>
            </w:r>
            <w:r w:rsidR="00604074">
              <w:rPr>
                <w:noProof/>
                <w:webHidden/>
              </w:rPr>
              <w:fldChar w:fldCharType="separate"/>
            </w:r>
            <w:r w:rsidR="00604074">
              <w:rPr>
                <w:noProof/>
                <w:webHidden/>
              </w:rPr>
              <w:t>32</w:t>
            </w:r>
            <w:r w:rsidR="00604074">
              <w:rPr>
                <w:noProof/>
                <w:webHidden/>
              </w:rPr>
              <w:fldChar w:fldCharType="end"/>
            </w:r>
          </w:hyperlink>
        </w:p>
        <w:p w14:paraId="1F5DC401" w14:textId="3554A8CB" w:rsidR="00604074" w:rsidRDefault="00CE651C">
          <w:pPr>
            <w:pStyle w:val="TOC2"/>
            <w:rPr>
              <w:rFonts w:asciiTheme="minorHAnsi" w:eastAsiaTheme="minorEastAsia" w:hAnsiTheme="minorHAnsi" w:cstheme="minorBidi"/>
              <w:b w:val="0"/>
              <w:noProof/>
              <w:sz w:val="22"/>
              <w:lang w:eastAsia="en-AU"/>
            </w:rPr>
          </w:pPr>
          <w:hyperlink w:anchor="_Toc107402941" w:history="1">
            <w:r w:rsidR="00604074" w:rsidRPr="00CD5706">
              <w:rPr>
                <w:rStyle w:val="Hyperlink"/>
                <w:noProof/>
              </w:rPr>
              <w:t>Outcome</w:t>
            </w:r>
            <w:r w:rsidR="00604074">
              <w:rPr>
                <w:noProof/>
                <w:webHidden/>
              </w:rPr>
              <w:tab/>
            </w:r>
            <w:r w:rsidR="00604074">
              <w:rPr>
                <w:noProof/>
                <w:webHidden/>
              </w:rPr>
              <w:fldChar w:fldCharType="begin"/>
            </w:r>
            <w:r w:rsidR="00604074">
              <w:rPr>
                <w:noProof/>
                <w:webHidden/>
              </w:rPr>
              <w:instrText xml:space="preserve"> PAGEREF _Toc107402941 \h </w:instrText>
            </w:r>
            <w:r w:rsidR="00604074">
              <w:rPr>
                <w:noProof/>
                <w:webHidden/>
              </w:rPr>
            </w:r>
            <w:r w:rsidR="00604074">
              <w:rPr>
                <w:noProof/>
                <w:webHidden/>
              </w:rPr>
              <w:fldChar w:fldCharType="separate"/>
            </w:r>
            <w:r w:rsidR="00604074">
              <w:rPr>
                <w:noProof/>
                <w:webHidden/>
              </w:rPr>
              <w:t>40</w:t>
            </w:r>
            <w:r w:rsidR="00604074">
              <w:rPr>
                <w:noProof/>
                <w:webHidden/>
              </w:rPr>
              <w:fldChar w:fldCharType="end"/>
            </w:r>
          </w:hyperlink>
        </w:p>
        <w:p w14:paraId="6B351854" w14:textId="49CDE300" w:rsidR="00604074" w:rsidRDefault="00CE651C">
          <w:pPr>
            <w:pStyle w:val="TOC1"/>
            <w:rPr>
              <w:rFonts w:asciiTheme="minorHAnsi" w:eastAsiaTheme="minorEastAsia" w:hAnsiTheme="minorHAnsi" w:cstheme="minorBidi"/>
              <w:b w:val="0"/>
              <w:noProof/>
              <w:sz w:val="22"/>
              <w:lang w:eastAsia="en-AU"/>
            </w:rPr>
          </w:pPr>
          <w:hyperlink w:anchor="_Toc107402942" w:history="1">
            <w:r w:rsidR="00604074" w:rsidRPr="00CD5706">
              <w:rPr>
                <w:rStyle w:val="Hyperlink"/>
                <w:noProof/>
              </w:rPr>
              <w:t>Attachment 1. Product Information</w:t>
            </w:r>
            <w:r w:rsidR="00604074">
              <w:rPr>
                <w:noProof/>
                <w:webHidden/>
              </w:rPr>
              <w:tab/>
            </w:r>
            <w:r w:rsidR="00604074">
              <w:rPr>
                <w:noProof/>
                <w:webHidden/>
              </w:rPr>
              <w:fldChar w:fldCharType="begin"/>
            </w:r>
            <w:r w:rsidR="00604074">
              <w:rPr>
                <w:noProof/>
                <w:webHidden/>
              </w:rPr>
              <w:instrText xml:space="preserve"> PAGEREF _Toc107402942 \h </w:instrText>
            </w:r>
            <w:r w:rsidR="00604074">
              <w:rPr>
                <w:noProof/>
                <w:webHidden/>
              </w:rPr>
            </w:r>
            <w:r w:rsidR="00604074">
              <w:rPr>
                <w:noProof/>
                <w:webHidden/>
              </w:rPr>
              <w:fldChar w:fldCharType="separate"/>
            </w:r>
            <w:r w:rsidR="00604074">
              <w:rPr>
                <w:noProof/>
                <w:webHidden/>
              </w:rPr>
              <w:t>41</w:t>
            </w:r>
            <w:r w:rsidR="00604074">
              <w:rPr>
                <w:noProof/>
                <w:webHidden/>
              </w:rPr>
              <w:fldChar w:fldCharType="end"/>
            </w:r>
          </w:hyperlink>
        </w:p>
        <w:p w14:paraId="1FA492E8" w14:textId="6EF330AB" w:rsidR="003A7F6C" w:rsidRPr="00B811C6" w:rsidRDefault="00C525A2" w:rsidP="00B811C6">
          <w:pPr>
            <w:pStyle w:val="TOC2"/>
          </w:pPr>
          <w:r>
            <w:fldChar w:fldCharType="end"/>
          </w:r>
        </w:p>
      </w:sdtContent>
    </w:sdt>
    <w:bookmarkStart w:id="2" w:name="_Toc314842482" w:displacedByCustomXml="prev"/>
    <w:p w14:paraId="07A49145" w14:textId="77777777" w:rsidR="00FD119B" w:rsidRDefault="00FD119B">
      <w:pPr>
        <w:spacing w:before="0" w:after="200" w:line="0" w:lineRule="auto"/>
      </w:pPr>
      <w:r>
        <w:br w:type="page"/>
      </w:r>
    </w:p>
    <w:p w14:paraId="0E784791" w14:textId="1A0B5336" w:rsidR="00C52E24" w:rsidRPr="00C52E24" w:rsidRDefault="00324E45" w:rsidP="00C91B94">
      <w:pPr>
        <w:pStyle w:val="Heading2"/>
      </w:pPr>
      <w:bookmarkStart w:id="3" w:name="_Toc351716269"/>
      <w:bookmarkStart w:id="4" w:name="_Toc351718881"/>
      <w:bookmarkStart w:id="5" w:name="_Toc355338616"/>
      <w:bookmarkStart w:id="6" w:name="_Toc356306144"/>
      <w:bookmarkStart w:id="7" w:name="_Toc107402928"/>
      <w:r>
        <w:lastRenderedPageBreak/>
        <w:t>List of</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890"/>
        <w:gridCol w:w="6604"/>
      </w:tblGrid>
      <w:tr w:rsidR="00FD119B" w:rsidRPr="00FD119B" w14:paraId="3E7EA73D" w14:textId="77777777" w:rsidTr="00C91B94">
        <w:trPr>
          <w:cnfStyle w:val="100000000000" w:firstRow="1" w:lastRow="0" w:firstColumn="0" w:lastColumn="0" w:oddVBand="0" w:evenVBand="0" w:oddHBand="0" w:evenHBand="0" w:firstRowFirstColumn="0" w:firstRowLastColumn="0" w:lastRowFirstColumn="0" w:lastRowLastColumn="0"/>
        </w:trPr>
        <w:tc>
          <w:tcPr>
            <w:tcW w:w="1799" w:type="dxa"/>
            <w:tcBorders>
              <w:top w:val="single" w:sz="4" w:space="0" w:color="auto"/>
              <w:left w:val="single" w:sz="4" w:space="0" w:color="auto"/>
              <w:bottom w:val="single" w:sz="4" w:space="0" w:color="auto"/>
              <w:right w:val="single" w:sz="4" w:space="0" w:color="auto"/>
            </w:tcBorders>
          </w:tcPr>
          <w:p w14:paraId="375E2E5D" w14:textId="77777777" w:rsidR="00FD119B" w:rsidRPr="00810FF4" w:rsidRDefault="00FD119B" w:rsidP="00810FF4">
            <w:r w:rsidRPr="00DA686E">
              <w:t>Abbreviation</w:t>
            </w:r>
          </w:p>
        </w:tc>
        <w:tc>
          <w:tcPr>
            <w:tcW w:w="6695" w:type="dxa"/>
            <w:tcBorders>
              <w:top w:val="single" w:sz="4" w:space="0" w:color="auto"/>
              <w:left w:val="single" w:sz="4" w:space="0" w:color="auto"/>
              <w:bottom w:val="single" w:sz="4" w:space="0" w:color="auto"/>
              <w:right w:val="single" w:sz="4" w:space="0" w:color="auto"/>
            </w:tcBorders>
          </w:tcPr>
          <w:p w14:paraId="33257177" w14:textId="77777777" w:rsidR="00FD119B" w:rsidRPr="00810FF4" w:rsidRDefault="00FD119B" w:rsidP="00810FF4">
            <w:r w:rsidRPr="00DA686E">
              <w:t>Meaning</w:t>
            </w:r>
          </w:p>
        </w:tc>
      </w:tr>
      <w:tr w:rsidR="00460036" w:rsidRPr="00FD119B" w14:paraId="578BDF95" w14:textId="77777777" w:rsidTr="00C91B94">
        <w:tc>
          <w:tcPr>
            <w:tcW w:w="1799" w:type="dxa"/>
            <w:tcBorders>
              <w:top w:val="single" w:sz="4" w:space="0" w:color="auto"/>
            </w:tcBorders>
          </w:tcPr>
          <w:p w14:paraId="1BE2B42B" w14:textId="77777777" w:rsidR="00460036" w:rsidRPr="00DA686E" w:rsidRDefault="00460036" w:rsidP="00810FF4">
            <w:r w:rsidRPr="00DA686E">
              <w:t>ACM</w:t>
            </w:r>
          </w:p>
        </w:tc>
        <w:tc>
          <w:tcPr>
            <w:tcW w:w="6695" w:type="dxa"/>
            <w:tcBorders>
              <w:top w:val="single" w:sz="4" w:space="0" w:color="auto"/>
            </w:tcBorders>
          </w:tcPr>
          <w:p w14:paraId="63268367" w14:textId="77777777" w:rsidR="00460036" w:rsidRPr="000831F2" w:rsidRDefault="00460036" w:rsidP="00810FF4">
            <w:r w:rsidRPr="000831F2">
              <w:t>Advisory Committee on Medicines</w:t>
            </w:r>
          </w:p>
        </w:tc>
      </w:tr>
      <w:tr w:rsidR="00460036" w:rsidRPr="00FD119B" w14:paraId="23D35B11" w14:textId="77777777" w:rsidTr="00C91B94">
        <w:tc>
          <w:tcPr>
            <w:tcW w:w="1799" w:type="dxa"/>
          </w:tcPr>
          <w:p w14:paraId="2C0D36D0" w14:textId="77777777" w:rsidR="00460036" w:rsidRPr="00DA686E" w:rsidRDefault="00460036" w:rsidP="00810FF4">
            <w:r w:rsidRPr="00DA686E">
              <w:t>ARTG</w:t>
            </w:r>
          </w:p>
        </w:tc>
        <w:tc>
          <w:tcPr>
            <w:tcW w:w="6695" w:type="dxa"/>
          </w:tcPr>
          <w:p w14:paraId="11FCA1AE" w14:textId="77777777" w:rsidR="00460036" w:rsidRPr="000831F2" w:rsidRDefault="00460036" w:rsidP="00810FF4">
            <w:r w:rsidRPr="000831F2">
              <w:t>Australian Register of Therapeutic Goods</w:t>
            </w:r>
          </w:p>
        </w:tc>
      </w:tr>
      <w:tr w:rsidR="00C91B94" w:rsidRPr="00C91B94" w14:paraId="3C09D13B" w14:textId="77777777" w:rsidTr="00C91B94">
        <w:tc>
          <w:tcPr>
            <w:tcW w:w="1799" w:type="dxa"/>
          </w:tcPr>
          <w:p w14:paraId="26605216" w14:textId="74E2945C" w:rsidR="00C91B94" w:rsidRPr="00DA686E" w:rsidRDefault="00C91B94" w:rsidP="00810FF4">
            <w:r w:rsidRPr="00DA686E">
              <w:t>ADA</w:t>
            </w:r>
          </w:p>
        </w:tc>
        <w:tc>
          <w:tcPr>
            <w:tcW w:w="6695" w:type="dxa"/>
          </w:tcPr>
          <w:p w14:paraId="5839CA11" w14:textId="7D4B7525" w:rsidR="00C91B94" w:rsidRPr="000831F2" w:rsidRDefault="00796061" w:rsidP="00810FF4">
            <w:r w:rsidRPr="000831F2">
              <w:t>A</w:t>
            </w:r>
            <w:r w:rsidR="00C91B94" w:rsidRPr="000831F2">
              <w:t>nti-drug antibodies</w:t>
            </w:r>
          </w:p>
        </w:tc>
      </w:tr>
      <w:tr w:rsidR="00C91B94" w:rsidRPr="00C91B94" w14:paraId="5370E234" w14:textId="77777777" w:rsidTr="00C91B94">
        <w:tc>
          <w:tcPr>
            <w:tcW w:w="1799" w:type="dxa"/>
          </w:tcPr>
          <w:p w14:paraId="34A2A463" w14:textId="33628742" w:rsidR="00C91B94" w:rsidRPr="00DA686E" w:rsidRDefault="00C91B94" w:rsidP="00810FF4">
            <w:r w:rsidRPr="00DA686E">
              <w:t>ALP</w:t>
            </w:r>
          </w:p>
        </w:tc>
        <w:tc>
          <w:tcPr>
            <w:tcW w:w="6695" w:type="dxa"/>
          </w:tcPr>
          <w:p w14:paraId="5E8946E0" w14:textId="6651F481" w:rsidR="00C91B94" w:rsidRPr="000831F2" w:rsidRDefault="00796061" w:rsidP="00810FF4">
            <w:r w:rsidRPr="000831F2">
              <w:t>A</w:t>
            </w:r>
            <w:r w:rsidR="00C91B94" w:rsidRPr="000831F2">
              <w:t>lkaline phosphatase</w:t>
            </w:r>
          </w:p>
        </w:tc>
      </w:tr>
      <w:tr w:rsidR="00C91B94" w:rsidRPr="00C91B94" w14:paraId="492F0A02" w14:textId="77777777" w:rsidTr="00C91B94">
        <w:tc>
          <w:tcPr>
            <w:tcW w:w="1799" w:type="dxa"/>
          </w:tcPr>
          <w:p w14:paraId="2CA2D522" w14:textId="77777777" w:rsidR="00C91B94" w:rsidRPr="00DA686E" w:rsidRDefault="00C91B94" w:rsidP="00810FF4">
            <w:r w:rsidRPr="00DA686E">
              <w:t>ALT</w:t>
            </w:r>
          </w:p>
        </w:tc>
        <w:tc>
          <w:tcPr>
            <w:tcW w:w="6695" w:type="dxa"/>
          </w:tcPr>
          <w:p w14:paraId="7DD756EF" w14:textId="22035FBA" w:rsidR="00C91B94" w:rsidRPr="000831F2" w:rsidRDefault="00796061" w:rsidP="00810FF4">
            <w:r w:rsidRPr="000831F2">
              <w:t>A</w:t>
            </w:r>
            <w:r w:rsidR="00C91B94" w:rsidRPr="000831F2">
              <w:t>lanine transaminase</w:t>
            </w:r>
          </w:p>
        </w:tc>
      </w:tr>
      <w:tr w:rsidR="00C91B94" w:rsidRPr="00C91B94" w14:paraId="61A20126" w14:textId="77777777" w:rsidTr="00C91B94">
        <w:tc>
          <w:tcPr>
            <w:tcW w:w="1799" w:type="dxa"/>
          </w:tcPr>
          <w:p w14:paraId="2C9FB9E2" w14:textId="65EBAFF0" w:rsidR="00C91B94" w:rsidRPr="00DA686E" w:rsidRDefault="00C91B94" w:rsidP="00810FF4">
            <w:r w:rsidRPr="00DA686E">
              <w:t>ANCOVA</w:t>
            </w:r>
          </w:p>
        </w:tc>
        <w:tc>
          <w:tcPr>
            <w:tcW w:w="6695" w:type="dxa"/>
          </w:tcPr>
          <w:p w14:paraId="06AACDB3" w14:textId="12ED8A72" w:rsidR="00C91B94" w:rsidRPr="000831F2" w:rsidRDefault="00796061" w:rsidP="00810FF4">
            <w:r w:rsidRPr="000831F2">
              <w:t>A</w:t>
            </w:r>
            <w:r w:rsidR="00C91B94" w:rsidRPr="000831F2">
              <w:t>nalysis of covariance</w:t>
            </w:r>
          </w:p>
        </w:tc>
      </w:tr>
      <w:tr w:rsidR="00C91B94" w:rsidRPr="00C91B94" w14:paraId="28AC24BB" w14:textId="77777777" w:rsidTr="00C91B94">
        <w:tc>
          <w:tcPr>
            <w:tcW w:w="1799" w:type="dxa"/>
          </w:tcPr>
          <w:p w14:paraId="1EBE9430" w14:textId="1DC97689" w:rsidR="00C91B94" w:rsidRPr="00DA686E" w:rsidRDefault="00C91B94" w:rsidP="00810FF4">
            <w:r w:rsidRPr="00DA686E">
              <w:t>BPI</w:t>
            </w:r>
          </w:p>
        </w:tc>
        <w:tc>
          <w:tcPr>
            <w:tcW w:w="6695" w:type="dxa"/>
          </w:tcPr>
          <w:p w14:paraId="1047AC5D" w14:textId="09468288" w:rsidR="00C91B94" w:rsidRPr="00DA686E" w:rsidRDefault="00C91B94" w:rsidP="00810FF4">
            <w:r w:rsidRPr="00DA686E">
              <w:t xml:space="preserve">Brief </w:t>
            </w:r>
            <w:r w:rsidR="00DA686E">
              <w:t>P</w:t>
            </w:r>
            <w:r w:rsidRPr="00DA686E">
              <w:t xml:space="preserve">ain </w:t>
            </w:r>
            <w:r w:rsidR="00DA686E">
              <w:t>I</w:t>
            </w:r>
            <w:r w:rsidRPr="00DA686E">
              <w:t>nventory</w:t>
            </w:r>
          </w:p>
        </w:tc>
      </w:tr>
      <w:tr w:rsidR="00C91B94" w:rsidRPr="00C91B94" w14:paraId="70B849AD" w14:textId="77777777" w:rsidTr="00C91B94">
        <w:tc>
          <w:tcPr>
            <w:tcW w:w="1799" w:type="dxa"/>
          </w:tcPr>
          <w:p w14:paraId="10812320" w14:textId="114977EA" w:rsidR="00C91B94" w:rsidRPr="00810FF4" w:rsidRDefault="00C91B94" w:rsidP="00810FF4">
            <w:proofErr w:type="spellStart"/>
            <w:proofErr w:type="gramStart"/>
            <w:r w:rsidRPr="00DA686E">
              <w:t>C</w:t>
            </w:r>
            <w:r w:rsidRPr="00DA686E">
              <w:rPr>
                <w:vertAlign w:val="subscript"/>
              </w:rPr>
              <w:t>avg</w:t>
            </w:r>
            <w:r w:rsidR="00DA686E">
              <w:rPr>
                <w:vertAlign w:val="subscript"/>
              </w:rPr>
              <w:t>,ss</w:t>
            </w:r>
            <w:proofErr w:type="spellEnd"/>
            <w:proofErr w:type="gramEnd"/>
            <w:r w:rsidRPr="00DA686E">
              <w:rPr>
                <w:vertAlign w:val="subscript"/>
              </w:rPr>
              <w:t xml:space="preserve"> </w:t>
            </w:r>
          </w:p>
        </w:tc>
        <w:tc>
          <w:tcPr>
            <w:tcW w:w="6695" w:type="dxa"/>
          </w:tcPr>
          <w:p w14:paraId="452D2A30" w14:textId="710A4450" w:rsidR="00C91B94" w:rsidRPr="00DA686E" w:rsidRDefault="00796061" w:rsidP="00810FF4">
            <w:r w:rsidRPr="00DA686E">
              <w:t>A</w:t>
            </w:r>
            <w:r w:rsidR="00C91B94" w:rsidRPr="00DA686E">
              <w:t xml:space="preserve">verage concentration at </w:t>
            </w:r>
            <w:proofErr w:type="gramStart"/>
            <w:r w:rsidR="00C91B94" w:rsidRPr="00DA686E">
              <w:t>steady-state</w:t>
            </w:r>
            <w:proofErr w:type="gramEnd"/>
          </w:p>
        </w:tc>
      </w:tr>
      <w:tr w:rsidR="00C91B94" w:rsidRPr="00C91B94" w14:paraId="6D61EBFE" w14:textId="77777777" w:rsidTr="00C91B94">
        <w:tc>
          <w:tcPr>
            <w:tcW w:w="1799" w:type="dxa"/>
          </w:tcPr>
          <w:p w14:paraId="68EF74AC" w14:textId="77777777" w:rsidR="00C91B94" w:rsidRPr="00DA686E" w:rsidRDefault="00C91B94" w:rsidP="00810FF4">
            <w:r w:rsidRPr="00DA686E">
              <w:t>C</w:t>
            </w:r>
            <w:r w:rsidRPr="00DA686E">
              <w:rPr>
                <w:vertAlign w:val="subscript"/>
              </w:rPr>
              <w:t>max</w:t>
            </w:r>
            <w:r w:rsidRPr="00810FF4">
              <w:rPr>
                <w:vertAlign w:val="subscript"/>
              </w:rPr>
              <w:t xml:space="preserve"> </w:t>
            </w:r>
          </w:p>
        </w:tc>
        <w:tc>
          <w:tcPr>
            <w:tcW w:w="6695" w:type="dxa"/>
          </w:tcPr>
          <w:p w14:paraId="455BCA05" w14:textId="0A0EAA30" w:rsidR="00C91B94" w:rsidRPr="000831F2" w:rsidRDefault="00796061" w:rsidP="00810FF4">
            <w:r w:rsidRPr="000831F2">
              <w:t>M</w:t>
            </w:r>
            <w:r w:rsidR="00C91B94" w:rsidRPr="000831F2">
              <w:t>aximum observed concentration</w:t>
            </w:r>
          </w:p>
        </w:tc>
      </w:tr>
      <w:tr w:rsidR="00C91B94" w:rsidRPr="00C91B94" w14:paraId="1FDFCB60" w14:textId="77777777" w:rsidTr="00C91B94">
        <w:tc>
          <w:tcPr>
            <w:tcW w:w="1799" w:type="dxa"/>
          </w:tcPr>
          <w:p w14:paraId="60A768BB" w14:textId="77777777" w:rsidR="00C91B94" w:rsidRPr="00DA686E" w:rsidRDefault="00C91B94" w:rsidP="00810FF4">
            <w:proofErr w:type="spellStart"/>
            <w:r w:rsidRPr="00DA686E">
              <w:t>C</w:t>
            </w:r>
            <w:r w:rsidRPr="00DA686E">
              <w:rPr>
                <w:vertAlign w:val="subscript"/>
              </w:rPr>
              <w:t>min</w:t>
            </w:r>
            <w:proofErr w:type="spellEnd"/>
          </w:p>
        </w:tc>
        <w:tc>
          <w:tcPr>
            <w:tcW w:w="6695" w:type="dxa"/>
          </w:tcPr>
          <w:p w14:paraId="1169B8B6" w14:textId="73D9F597" w:rsidR="00C91B94" w:rsidRPr="000831F2" w:rsidRDefault="00796061" w:rsidP="00810FF4">
            <w:r w:rsidRPr="000831F2">
              <w:t>M</w:t>
            </w:r>
            <w:r w:rsidR="00C91B94" w:rsidRPr="000831F2">
              <w:t>inimum observed concentration</w:t>
            </w:r>
          </w:p>
        </w:tc>
      </w:tr>
      <w:tr w:rsidR="00C91B94" w:rsidRPr="00C91B94" w14:paraId="128922E8" w14:textId="77777777" w:rsidTr="00C91B94">
        <w:tc>
          <w:tcPr>
            <w:tcW w:w="1799" w:type="dxa"/>
          </w:tcPr>
          <w:p w14:paraId="1D50CE80" w14:textId="35A809D2" w:rsidR="00C91B94" w:rsidRPr="00DA686E" w:rsidRDefault="00C91B94" w:rsidP="00810FF4">
            <w:r w:rsidRPr="00DA686E">
              <w:t>CL/F</w:t>
            </w:r>
          </w:p>
        </w:tc>
        <w:tc>
          <w:tcPr>
            <w:tcW w:w="6695" w:type="dxa"/>
          </w:tcPr>
          <w:p w14:paraId="400ECADC" w14:textId="63F58D69" w:rsidR="00C91B94" w:rsidRPr="000831F2" w:rsidRDefault="00796061" w:rsidP="00810FF4">
            <w:r w:rsidRPr="000831F2">
              <w:t>A</w:t>
            </w:r>
            <w:r w:rsidR="00C91B94" w:rsidRPr="000831F2">
              <w:t>pparent clearance</w:t>
            </w:r>
          </w:p>
        </w:tc>
      </w:tr>
      <w:tr w:rsidR="00F3302E" w:rsidRPr="00C91B94" w14:paraId="5D826326" w14:textId="77777777" w:rsidTr="00C91B94">
        <w:tc>
          <w:tcPr>
            <w:tcW w:w="1799" w:type="dxa"/>
          </w:tcPr>
          <w:p w14:paraId="0C3FA2E2" w14:textId="110618A2" w:rsidR="00F3302E" w:rsidRPr="00DA686E" w:rsidRDefault="00F3302E" w:rsidP="00810FF4">
            <w:r w:rsidRPr="00DA686E">
              <w:t>DMP</w:t>
            </w:r>
          </w:p>
        </w:tc>
        <w:tc>
          <w:tcPr>
            <w:tcW w:w="6695" w:type="dxa"/>
          </w:tcPr>
          <w:p w14:paraId="00587B64" w14:textId="74AF4160" w:rsidR="00F3302E" w:rsidRPr="000831F2" w:rsidRDefault="00F3302E" w:rsidP="00810FF4">
            <w:r w:rsidRPr="000831F2">
              <w:t xml:space="preserve">Disease </w:t>
            </w:r>
            <w:r w:rsidR="0044010F" w:rsidRPr="000831F2">
              <w:t>m</w:t>
            </w:r>
            <w:r w:rsidRPr="000831F2">
              <w:t xml:space="preserve">onitoring </w:t>
            </w:r>
            <w:r w:rsidR="0044010F" w:rsidRPr="000831F2">
              <w:t>p</w:t>
            </w:r>
            <w:r w:rsidRPr="000831F2">
              <w:t>rogram</w:t>
            </w:r>
          </w:p>
        </w:tc>
      </w:tr>
      <w:tr w:rsidR="00A6572E" w:rsidRPr="00EB5EF0" w14:paraId="147FD732" w14:textId="77777777" w:rsidTr="00A6572E">
        <w:tc>
          <w:tcPr>
            <w:tcW w:w="1799" w:type="dxa"/>
          </w:tcPr>
          <w:p w14:paraId="184EB5F6" w14:textId="026BE316" w:rsidR="00A6572E" w:rsidRPr="00DA686E" w:rsidRDefault="00A6572E" w:rsidP="00810FF4">
            <w:r w:rsidRPr="00DA686E">
              <w:t>eGFR</w:t>
            </w:r>
          </w:p>
        </w:tc>
        <w:tc>
          <w:tcPr>
            <w:tcW w:w="6695" w:type="dxa"/>
          </w:tcPr>
          <w:p w14:paraId="1EA7554B" w14:textId="441B69E0" w:rsidR="00A6572E" w:rsidRPr="000831F2" w:rsidRDefault="00796061" w:rsidP="00810FF4">
            <w:r w:rsidRPr="000831F2">
              <w:t>E</w:t>
            </w:r>
            <w:r w:rsidR="00A6572E" w:rsidRPr="000831F2">
              <w:t>stimated glomerular filtration rate</w:t>
            </w:r>
          </w:p>
        </w:tc>
      </w:tr>
      <w:tr w:rsidR="00A6572E" w:rsidRPr="00EB5EF0" w14:paraId="28A38854" w14:textId="77777777" w:rsidTr="00A6572E">
        <w:tc>
          <w:tcPr>
            <w:tcW w:w="1799" w:type="dxa"/>
          </w:tcPr>
          <w:p w14:paraId="40A51C65" w14:textId="3AFF03D0" w:rsidR="00A6572E" w:rsidRPr="00DA686E" w:rsidRDefault="00A6572E" w:rsidP="00810FF4">
            <w:r w:rsidRPr="00DA686E">
              <w:t>FGF23</w:t>
            </w:r>
          </w:p>
        </w:tc>
        <w:tc>
          <w:tcPr>
            <w:tcW w:w="6695" w:type="dxa"/>
          </w:tcPr>
          <w:p w14:paraId="193F3366" w14:textId="6442094B" w:rsidR="00A6572E" w:rsidRPr="00DA686E" w:rsidRDefault="002D42CE" w:rsidP="00810FF4">
            <w:r w:rsidRPr="00DA686E">
              <w:t>F</w:t>
            </w:r>
            <w:r w:rsidR="00A6572E" w:rsidRPr="00DA686E">
              <w:t>ibroblast growth factor</w:t>
            </w:r>
            <w:r w:rsidR="00DA686E">
              <w:softHyphen/>
            </w:r>
            <w:r w:rsidR="00DA686E">
              <w:noBreakHyphen/>
            </w:r>
            <w:r w:rsidR="00A6572E" w:rsidRPr="00DA686E">
              <w:t>23</w:t>
            </w:r>
          </w:p>
        </w:tc>
      </w:tr>
      <w:tr w:rsidR="001A0170" w:rsidRPr="00EB5EF0" w14:paraId="042E2074" w14:textId="77777777" w:rsidTr="00A6572E">
        <w:tc>
          <w:tcPr>
            <w:tcW w:w="1799" w:type="dxa"/>
          </w:tcPr>
          <w:p w14:paraId="2C50291C" w14:textId="48769304" w:rsidR="001A0170" w:rsidRPr="00DA686E" w:rsidRDefault="001A0170" w:rsidP="00810FF4">
            <w:r w:rsidRPr="00DA686E">
              <w:t>FEP</w:t>
            </w:r>
          </w:p>
        </w:tc>
        <w:tc>
          <w:tcPr>
            <w:tcW w:w="6695" w:type="dxa"/>
          </w:tcPr>
          <w:p w14:paraId="1A45D5F7" w14:textId="31F5B231" w:rsidR="001A0170" w:rsidRPr="000831F2" w:rsidRDefault="001A0170" w:rsidP="00810FF4">
            <w:r w:rsidRPr="000831F2">
              <w:t>Fractional excretion of phosphorus</w:t>
            </w:r>
          </w:p>
        </w:tc>
      </w:tr>
      <w:tr w:rsidR="00A6572E" w:rsidRPr="00EB5EF0" w14:paraId="79844A48" w14:textId="77777777" w:rsidTr="00A6572E">
        <w:tc>
          <w:tcPr>
            <w:tcW w:w="1799" w:type="dxa"/>
          </w:tcPr>
          <w:p w14:paraId="34F44059" w14:textId="37294CE5" w:rsidR="00A6572E" w:rsidRPr="00DA686E" w:rsidRDefault="00A6572E" w:rsidP="00810FF4">
            <w:r w:rsidRPr="00DA686E">
              <w:t>GEE</w:t>
            </w:r>
          </w:p>
        </w:tc>
        <w:tc>
          <w:tcPr>
            <w:tcW w:w="6695" w:type="dxa"/>
          </w:tcPr>
          <w:p w14:paraId="19555400" w14:textId="60D53BDA" w:rsidR="00A6572E" w:rsidRPr="000831F2" w:rsidRDefault="002D42CE" w:rsidP="00810FF4">
            <w:r w:rsidRPr="000831F2">
              <w:t>G</w:t>
            </w:r>
            <w:r w:rsidR="00A6572E" w:rsidRPr="000831F2">
              <w:t>eneralised estimating equation</w:t>
            </w:r>
          </w:p>
        </w:tc>
      </w:tr>
      <w:tr w:rsidR="00A6572E" w:rsidRPr="00EB5EF0" w14:paraId="2E7D23C0" w14:textId="77777777" w:rsidTr="00A6572E">
        <w:tc>
          <w:tcPr>
            <w:tcW w:w="1799" w:type="dxa"/>
          </w:tcPr>
          <w:p w14:paraId="63229488" w14:textId="4677B499" w:rsidR="00A6572E" w:rsidRPr="00DA686E" w:rsidRDefault="00A6572E" w:rsidP="00810FF4">
            <w:r w:rsidRPr="00DA686E">
              <w:t>GFR</w:t>
            </w:r>
          </w:p>
        </w:tc>
        <w:tc>
          <w:tcPr>
            <w:tcW w:w="6695" w:type="dxa"/>
          </w:tcPr>
          <w:p w14:paraId="40A9004B" w14:textId="35E82817" w:rsidR="00A6572E" w:rsidRPr="000831F2" w:rsidRDefault="002D42CE" w:rsidP="00810FF4">
            <w:r w:rsidRPr="000831F2">
              <w:t>G</w:t>
            </w:r>
            <w:r w:rsidR="00A6572E" w:rsidRPr="000831F2">
              <w:t>lomerular filtration rate</w:t>
            </w:r>
          </w:p>
        </w:tc>
      </w:tr>
      <w:tr w:rsidR="00A6572E" w:rsidRPr="00EB5EF0" w14:paraId="4A739978" w14:textId="77777777" w:rsidTr="00A6572E">
        <w:tc>
          <w:tcPr>
            <w:tcW w:w="1799" w:type="dxa"/>
          </w:tcPr>
          <w:p w14:paraId="5ED59411" w14:textId="79582F64" w:rsidR="00A6572E" w:rsidRPr="00DA686E" w:rsidRDefault="00A6572E" w:rsidP="00810FF4">
            <w:r w:rsidRPr="00DA686E">
              <w:t>ISR</w:t>
            </w:r>
          </w:p>
        </w:tc>
        <w:tc>
          <w:tcPr>
            <w:tcW w:w="6695" w:type="dxa"/>
          </w:tcPr>
          <w:p w14:paraId="429E3567" w14:textId="6DB3BA6F" w:rsidR="00A6572E" w:rsidRPr="000831F2" w:rsidRDefault="002D42CE" w:rsidP="00810FF4">
            <w:r w:rsidRPr="000831F2">
              <w:t>I</w:t>
            </w:r>
            <w:r w:rsidR="00A6572E" w:rsidRPr="000831F2">
              <w:t>njection site reaction</w:t>
            </w:r>
          </w:p>
        </w:tc>
      </w:tr>
      <w:tr w:rsidR="00A6572E" w:rsidRPr="00EB5EF0" w14:paraId="2EA76E52" w14:textId="77777777" w:rsidTr="00A6572E">
        <w:tc>
          <w:tcPr>
            <w:tcW w:w="1799" w:type="dxa"/>
          </w:tcPr>
          <w:p w14:paraId="58CF5269" w14:textId="471EF90D" w:rsidR="00A6572E" w:rsidRPr="00DA686E" w:rsidRDefault="00A6572E" w:rsidP="00810FF4">
            <w:r w:rsidRPr="00DA686E">
              <w:t>KRN23</w:t>
            </w:r>
          </w:p>
        </w:tc>
        <w:tc>
          <w:tcPr>
            <w:tcW w:w="6695" w:type="dxa"/>
          </w:tcPr>
          <w:p w14:paraId="24997843" w14:textId="0A454CF4" w:rsidR="00A6572E" w:rsidRPr="000831F2" w:rsidRDefault="0044010F" w:rsidP="00810FF4">
            <w:r w:rsidRPr="000831F2">
              <w:t xml:space="preserve">Drug development code for </w:t>
            </w:r>
            <w:proofErr w:type="spellStart"/>
            <w:r w:rsidRPr="000831F2">
              <w:t>b</w:t>
            </w:r>
            <w:r w:rsidR="00A6572E" w:rsidRPr="000831F2">
              <w:t>urosumab</w:t>
            </w:r>
            <w:proofErr w:type="spellEnd"/>
          </w:p>
        </w:tc>
      </w:tr>
      <w:tr w:rsidR="00A6572E" w:rsidRPr="00EB5EF0" w14:paraId="7741160D" w14:textId="77777777" w:rsidTr="00A6572E">
        <w:tc>
          <w:tcPr>
            <w:tcW w:w="1799" w:type="dxa"/>
          </w:tcPr>
          <w:p w14:paraId="3C8B8F10" w14:textId="1FA5EF54" w:rsidR="00A6572E" w:rsidRPr="00DA686E" w:rsidRDefault="00A6572E" w:rsidP="00810FF4">
            <w:r w:rsidRPr="00DA686E">
              <w:t>LLN</w:t>
            </w:r>
          </w:p>
        </w:tc>
        <w:tc>
          <w:tcPr>
            <w:tcW w:w="6695" w:type="dxa"/>
          </w:tcPr>
          <w:p w14:paraId="50FC39C5" w14:textId="30A294D4" w:rsidR="00A6572E" w:rsidRPr="000831F2" w:rsidRDefault="002D42CE" w:rsidP="00810FF4">
            <w:r w:rsidRPr="000831F2">
              <w:t>L</w:t>
            </w:r>
            <w:r w:rsidR="00A6572E" w:rsidRPr="000831F2">
              <w:t>ower limit of normal</w:t>
            </w:r>
          </w:p>
        </w:tc>
      </w:tr>
      <w:tr w:rsidR="00A6572E" w:rsidRPr="00EB5EF0" w14:paraId="7EFF756E" w14:textId="77777777" w:rsidTr="00A6572E">
        <w:tc>
          <w:tcPr>
            <w:tcW w:w="1799" w:type="dxa"/>
          </w:tcPr>
          <w:p w14:paraId="75323822" w14:textId="77777777" w:rsidR="00A6572E" w:rsidRPr="00DA686E" w:rsidRDefault="00A6572E" w:rsidP="00810FF4">
            <w:r w:rsidRPr="00DA686E">
              <w:t>LSM</w:t>
            </w:r>
          </w:p>
        </w:tc>
        <w:tc>
          <w:tcPr>
            <w:tcW w:w="6695" w:type="dxa"/>
          </w:tcPr>
          <w:p w14:paraId="22A06996" w14:textId="26D1C84E" w:rsidR="00A6572E" w:rsidRPr="000831F2" w:rsidRDefault="002D42CE" w:rsidP="00810FF4">
            <w:r w:rsidRPr="000831F2">
              <w:t>L</w:t>
            </w:r>
            <w:r w:rsidR="00A6572E" w:rsidRPr="000831F2">
              <w:t>east square means</w:t>
            </w:r>
          </w:p>
        </w:tc>
      </w:tr>
      <w:tr w:rsidR="00F337C9" w:rsidRPr="00EB5EF0" w14:paraId="74C1D77F" w14:textId="77777777" w:rsidTr="00A6572E">
        <w:tc>
          <w:tcPr>
            <w:tcW w:w="1799" w:type="dxa"/>
          </w:tcPr>
          <w:p w14:paraId="6AC24D97" w14:textId="766E163A" w:rsidR="00F337C9" w:rsidRPr="00DA686E" w:rsidRDefault="00F337C9" w:rsidP="00810FF4">
            <w:r w:rsidRPr="00DA686E">
              <w:t>N</w:t>
            </w:r>
            <w:r w:rsidR="00DA686E" w:rsidRPr="00DA686E">
              <w:t>a</w:t>
            </w:r>
            <w:r w:rsidRPr="00DA686E">
              <w:t>b</w:t>
            </w:r>
          </w:p>
        </w:tc>
        <w:tc>
          <w:tcPr>
            <w:tcW w:w="6695" w:type="dxa"/>
          </w:tcPr>
          <w:p w14:paraId="3B277BB6" w14:textId="65988A42" w:rsidR="00F337C9" w:rsidRPr="000831F2" w:rsidRDefault="00F337C9" w:rsidP="00810FF4">
            <w:r w:rsidRPr="000831F2">
              <w:t>Neutralising antibody</w:t>
            </w:r>
          </w:p>
        </w:tc>
      </w:tr>
      <w:tr w:rsidR="00A6572E" w:rsidRPr="00EB5EF0" w14:paraId="0A158F0C" w14:textId="77777777" w:rsidTr="00A6572E">
        <w:tc>
          <w:tcPr>
            <w:tcW w:w="1799" w:type="dxa"/>
          </w:tcPr>
          <w:p w14:paraId="7935BBAA" w14:textId="3BDB3651" w:rsidR="00A6572E" w:rsidRPr="00DA686E" w:rsidRDefault="00A6572E" w:rsidP="00810FF4">
            <w:r w:rsidRPr="00DA686E">
              <w:t>P1NP</w:t>
            </w:r>
          </w:p>
        </w:tc>
        <w:tc>
          <w:tcPr>
            <w:tcW w:w="6695" w:type="dxa"/>
          </w:tcPr>
          <w:p w14:paraId="1D6D6DAF" w14:textId="37E4059B" w:rsidR="00A6572E" w:rsidRPr="00DA686E" w:rsidRDefault="00A6572E" w:rsidP="00810FF4">
            <w:r w:rsidRPr="00DA686E">
              <w:t xml:space="preserve">Procollagen type </w:t>
            </w:r>
            <w:r w:rsidR="00DA686E">
              <w:t xml:space="preserve">1 </w:t>
            </w:r>
            <w:r w:rsidRPr="00DA686E">
              <w:t>N-</w:t>
            </w:r>
            <w:proofErr w:type="spellStart"/>
            <w:r w:rsidRPr="00DA686E">
              <w:t>propeptide</w:t>
            </w:r>
            <w:proofErr w:type="spellEnd"/>
          </w:p>
        </w:tc>
      </w:tr>
      <w:tr w:rsidR="00F3302E" w:rsidRPr="00EB5EF0" w14:paraId="7563142D" w14:textId="77777777" w:rsidTr="00A6572E">
        <w:tc>
          <w:tcPr>
            <w:tcW w:w="1799" w:type="dxa"/>
          </w:tcPr>
          <w:p w14:paraId="4DB99B29" w14:textId="0C9496B3" w:rsidR="00F3302E" w:rsidRPr="00DA686E" w:rsidRDefault="00F3302E" w:rsidP="00810FF4">
            <w:r w:rsidRPr="00DA686E">
              <w:t>PASS</w:t>
            </w:r>
          </w:p>
        </w:tc>
        <w:tc>
          <w:tcPr>
            <w:tcW w:w="6695" w:type="dxa"/>
          </w:tcPr>
          <w:p w14:paraId="64824A23" w14:textId="31EBB802" w:rsidR="00F3302E" w:rsidRPr="00DA686E" w:rsidRDefault="00F3302E" w:rsidP="00810FF4">
            <w:r w:rsidRPr="00DA686E">
              <w:t xml:space="preserve">Post </w:t>
            </w:r>
            <w:r w:rsidR="0044010F" w:rsidRPr="00DA686E">
              <w:t>a</w:t>
            </w:r>
            <w:r w:rsidRPr="00DA686E">
              <w:t xml:space="preserve">uthorisation </w:t>
            </w:r>
            <w:r w:rsidR="0044010F" w:rsidRPr="00DA686E">
              <w:t>s</w:t>
            </w:r>
            <w:r w:rsidRPr="00DA686E">
              <w:t xml:space="preserve">afety </w:t>
            </w:r>
            <w:r w:rsidR="0044010F" w:rsidRPr="00DA686E">
              <w:t>s</w:t>
            </w:r>
            <w:r w:rsidRPr="00DA686E">
              <w:t>tudy</w:t>
            </w:r>
            <w:r w:rsidR="00DA686E">
              <w:t xml:space="preserve"> (</w:t>
            </w:r>
            <w:r w:rsidRPr="00DA686E">
              <w:t>European Union</w:t>
            </w:r>
            <w:r w:rsidR="00DA686E">
              <w:t>)</w:t>
            </w:r>
          </w:p>
        </w:tc>
      </w:tr>
      <w:tr w:rsidR="00A6572E" w:rsidRPr="00EB5EF0" w14:paraId="5A9F1240" w14:textId="77777777" w:rsidTr="00A6572E">
        <w:tc>
          <w:tcPr>
            <w:tcW w:w="1799" w:type="dxa"/>
          </w:tcPr>
          <w:p w14:paraId="205DCE77" w14:textId="55FD86C9" w:rsidR="00A6572E" w:rsidRPr="00DA686E" w:rsidRDefault="00A6572E" w:rsidP="00810FF4">
            <w:r w:rsidRPr="00DA686E">
              <w:t>PD</w:t>
            </w:r>
          </w:p>
        </w:tc>
        <w:tc>
          <w:tcPr>
            <w:tcW w:w="6695" w:type="dxa"/>
          </w:tcPr>
          <w:p w14:paraId="49C661B4" w14:textId="7A28AA87" w:rsidR="00A6572E" w:rsidRPr="000831F2" w:rsidRDefault="002D42CE" w:rsidP="00810FF4">
            <w:r w:rsidRPr="000831F2">
              <w:t>P</w:t>
            </w:r>
            <w:r w:rsidR="00A6572E" w:rsidRPr="000831F2">
              <w:t>harmacodynamic(s)</w:t>
            </w:r>
          </w:p>
        </w:tc>
      </w:tr>
      <w:tr w:rsidR="00A6572E" w:rsidRPr="00EB5EF0" w14:paraId="54793317" w14:textId="77777777" w:rsidTr="00A6572E">
        <w:tc>
          <w:tcPr>
            <w:tcW w:w="1799" w:type="dxa"/>
          </w:tcPr>
          <w:p w14:paraId="6B5B67F6" w14:textId="288E4054" w:rsidR="00A6572E" w:rsidRPr="00DA686E" w:rsidRDefault="00A6572E" w:rsidP="00810FF4">
            <w:r w:rsidRPr="00810FF4">
              <w:lastRenderedPageBreak/>
              <w:t>PHEX</w:t>
            </w:r>
          </w:p>
        </w:tc>
        <w:tc>
          <w:tcPr>
            <w:tcW w:w="6695" w:type="dxa"/>
          </w:tcPr>
          <w:p w14:paraId="7D5C2EB8" w14:textId="546B6E11" w:rsidR="00A6572E" w:rsidRPr="00DA686E" w:rsidRDefault="000831F2" w:rsidP="00810FF4">
            <w:r>
              <w:t>P</w:t>
            </w:r>
            <w:r w:rsidRPr="000831F2">
              <w:t>hosphate regulating endopeptidase homolog X-linked</w:t>
            </w:r>
            <w:r>
              <w:t xml:space="preserve"> </w:t>
            </w:r>
          </w:p>
        </w:tc>
      </w:tr>
      <w:tr w:rsidR="00A6572E" w:rsidRPr="00EB5EF0" w14:paraId="2C4D82FA" w14:textId="77777777" w:rsidTr="00A6572E">
        <w:tc>
          <w:tcPr>
            <w:tcW w:w="1799" w:type="dxa"/>
          </w:tcPr>
          <w:p w14:paraId="1BBEE6C9" w14:textId="724115AF" w:rsidR="00A6572E" w:rsidRPr="000831F2" w:rsidRDefault="00A6572E" w:rsidP="00810FF4">
            <w:r w:rsidRPr="00DA686E">
              <w:t>PK</w:t>
            </w:r>
          </w:p>
        </w:tc>
        <w:tc>
          <w:tcPr>
            <w:tcW w:w="6695" w:type="dxa"/>
          </w:tcPr>
          <w:p w14:paraId="05A88045" w14:textId="45E9C113" w:rsidR="00A6572E" w:rsidRPr="000831F2" w:rsidRDefault="002D42CE" w:rsidP="00810FF4">
            <w:r w:rsidRPr="000831F2">
              <w:t>P</w:t>
            </w:r>
            <w:r w:rsidR="00A6572E" w:rsidRPr="000831F2">
              <w:t>harmacokinetic(s)</w:t>
            </w:r>
          </w:p>
        </w:tc>
      </w:tr>
      <w:tr w:rsidR="00A6572E" w:rsidRPr="00EB5EF0" w14:paraId="2F62E3D6" w14:textId="77777777" w:rsidTr="00A6572E">
        <w:tc>
          <w:tcPr>
            <w:tcW w:w="1799" w:type="dxa"/>
          </w:tcPr>
          <w:p w14:paraId="34A6753B" w14:textId="77777777" w:rsidR="00A6572E" w:rsidRPr="000831F2" w:rsidRDefault="00A6572E" w:rsidP="00810FF4">
            <w:proofErr w:type="spellStart"/>
            <w:r w:rsidRPr="00DA686E">
              <w:t>popPK</w:t>
            </w:r>
            <w:proofErr w:type="spellEnd"/>
          </w:p>
        </w:tc>
        <w:tc>
          <w:tcPr>
            <w:tcW w:w="6695" w:type="dxa"/>
          </w:tcPr>
          <w:p w14:paraId="70EC2C0D" w14:textId="386A6AA0" w:rsidR="00A6572E" w:rsidRPr="000831F2" w:rsidRDefault="002D42CE" w:rsidP="00810FF4">
            <w:r w:rsidRPr="000831F2">
              <w:t>P</w:t>
            </w:r>
            <w:r w:rsidR="00A6572E" w:rsidRPr="000831F2">
              <w:t xml:space="preserve">opulation </w:t>
            </w:r>
            <w:r w:rsidR="000831F2">
              <w:t>pharmacokinetic</w:t>
            </w:r>
          </w:p>
        </w:tc>
      </w:tr>
      <w:tr w:rsidR="00A6572E" w:rsidRPr="00EB5EF0" w14:paraId="4DBB966B" w14:textId="77777777" w:rsidTr="00A6572E">
        <w:tc>
          <w:tcPr>
            <w:tcW w:w="1799" w:type="dxa"/>
          </w:tcPr>
          <w:p w14:paraId="7A1F1599" w14:textId="3E175D9F" w:rsidR="00A6572E" w:rsidRPr="000831F2" w:rsidRDefault="00A6572E" w:rsidP="00810FF4">
            <w:r w:rsidRPr="00DA686E">
              <w:t>QTc</w:t>
            </w:r>
          </w:p>
        </w:tc>
        <w:tc>
          <w:tcPr>
            <w:tcW w:w="6695" w:type="dxa"/>
          </w:tcPr>
          <w:p w14:paraId="158C984E" w14:textId="77777777" w:rsidR="00A6572E" w:rsidRPr="000831F2" w:rsidRDefault="00A6572E" w:rsidP="00810FF4">
            <w:r w:rsidRPr="000831F2">
              <w:t>QT interval corrected</w:t>
            </w:r>
          </w:p>
        </w:tc>
      </w:tr>
      <w:tr w:rsidR="00A6572E" w:rsidRPr="00EB5EF0" w14:paraId="3DA1D0E6" w14:textId="77777777" w:rsidTr="00A6572E">
        <w:tc>
          <w:tcPr>
            <w:tcW w:w="1799" w:type="dxa"/>
          </w:tcPr>
          <w:p w14:paraId="3B008315" w14:textId="216F83F1" w:rsidR="00A6572E" w:rsidRPr="000831F2" w:rsidRDefault="00A6572E" w:rsidP="00810FF4">
            <w:r w:rsidRPr="00DA686E">
              <w:t>RLS</w:t>
            </w:r>
          </w:p>
        </w:tc>
        <w:tc>
          <w:tcPr>
            <w:tcW w:w="6695" w:type="dxa"/>
          </w:tcPr>
          <w:p w14:paraId="1DB180AB" w14:textId="26E13D23" w:rsidR="00A6572E" w:rsidRPr="000831F2" w:rsidRDefault="002D42CE" w:rsidP="00810FF4">
            <w:r w:rsidRPr="000831F2">
              <w:t>R</w:t>
            </w:r>
            <w:r w:rsidR="00A6572E" w:rsidRPr="000831F2">
              <w:t>estless legs syndrome</w:t>
            </w:r>
          </w:p>
        </w:tc>
      </w:tr>
      <w:tr w:rsidR="001A0170" w:rsidRPr="00EB5EF0" w14:paraId="5D49D118" w14:textId="77777777" w:rsidTr="00A6572E">
        <w:tc>
          <w:tcPr>
            <w:tcW w:w="1799" w:type="dxa"/>
          </w:tcPr>
          <w:p w14:paraId="5BF1EFDA" w14:textId="6DD6E61D" w:rsidR="001A0170" w:rsidRPr="000831F2" w:rsidRDefault="001A0170" w:rsidP="00810FF4">
            <w:r w:rsidRPr="00DA686E">
              <w:t>RMP</w:t>
            </w:r>
          </w:p>
        </w:tc>
        <w:tc>
          <w:tcPr>
            <w:tcW w:w="6695" w:type="dxa"/>
          </w:tcPr>
          <w:p w14:paraId="6B8B625F" w14:textId="39A323B0" w:rsidR="001A0170" w:rsidRPr="000831F2" w:rsidRDefault="001A0170" w:rsidP="00810FF4">
            <w:r w:rsidRPr="000831F2">
              <w:t>Risk management plan</w:t>
            </w:r>
          </w:p>
        </w:tc>
      </w:tr>
      <w:tr w:rsidR="00A6572E" w:rsidRPr="00EB5EF0" w14:paraId="117BEA56" w14:textId="77777777" w:rsidTr="00A6572E">
        <w:tc>
          <w:tcPr>
            <w:tcW w:w="1799" w:type="dxa"/>
          </w:tcPr>
          <w:p w14:paraId="18DD86BB" w14:textId="4E256C99" w:rsidR="00A6572E" w:rsidRPr="000831F2" w:rsidRDefault="00A6572E" w:rsidP="00810FF4">
            <w:r w:rsidRPr="00DA686E">
              <w:t>SD</w:t>
            </w:r>
          </w:p>
        </w:tc>
        <w:tc>
          <w:tcPr>
            <w:tcW w:w="6695" w:type="dxa"/>
          </w:tcPr>
          <w:p w14:paraId="05866FCE" w14:textId="661B3E4D" w:rsidR="00A6572E" w:rsidRPr="000831F2" w:rsidRDefault="002D42CE" w:rsidP="00810FF4">
            <w:r w:rsidRPr="000831F2">
              <w:t>S</w:t>
            </w:r>
            <w:r w:rsidR="00A6572E" w:rsidRPr="000831F2">
              <w:t>tandard deviation</w:t>
            </w:r>
          </w:p>
        </w:tc>
      </w:tr>
      <w:tr w:rsidR="00A6572E" w:rsidRPr="00EB5EF0" w14:paraId="6CA49C3E" w14:textId="77777777" w:rsidTr="00A6572E">
        <w:tc>
          <w:tcPr>
            <w:tcW w:w="1799" w:type="dxa"/>
          </w:tcPr>
          <w:p w14:paraId="0B6FEBFC" w14:textId="65895DE8" w:rsidR="00A6572E" w:rsidRPr="000831F2" w:rsidRDefault="00A6572E" w:rsidP="00810FF4">
            <w:r w:rsidRPr="00DA686E">
              <w:t>TEAE</w:t>
            </w:r>
          </w:p>
        </w:tc>
        <w:tc>
          <w:tcPr>
            <w:tcW w:w="6695" w:type="dxa"/>
          </w:tcPr>
          <w:p w14:paraId="5FBCE4DB" w14:textId="61E468B1" w:rsidR="00A6572E" w:rsidRPr="000831F2" w:rsidRDefault="002D42CE" w:rsidP="00810FF4">
            <w:r w:rsidRPr="000831F2">
              <w:t>T</w:t>
            </w:r>
            <w:r w:rsidR="00A6572E" w:rsidRPr="000831F2">
              <w:t>reatment-emergent adverse event</w:t>
            </w:r>
          </w:p>
        </w:tc>
      </w:tr>
      <w:tr w:rsidR="00A6572E" w:rsidRPr="00EB5EF0" w14:paraId="34F1925E" w14:textId="77777777" w:rsidTr="00A6572E">
        <w:tc>
          <w:tcPr>
            <w:tcW w:w="1799" w:type="dxa"/>
          </w:tcPr>
          <w:p w14:paraId="17CCC102" w14:textId="5600A0B3" w:rsidR="00A6572E" w:rsidRPr="000831F2" w:rsidRDefault="0044010F" w:rsidP="00810FF4">
            <w:proofErr w:type="spellStart"/>
            <w:r w:rsidRPr="00DA686E">
              <w:t>T</w:t>
            </w:r>
            <w:r w:rsidR="00A6572E" w:rsidRPr="000831F2">
              <w:rPr>
                <w:vertAlign w:val="subscript"/>
              </w:rPr>
              <w:t>max</w:t>
            </w:r>
            <w:proofErr w:type="spellEnd"/>
            <w:r w:rsidR="00A6572E" w:rsidRPr="00DA686E">
              <w:t xml:space="preserve"> </w:t>
            </w:r>
          </w:p>
        </w:tc>
        <w:tc>
          <w:tcPr>
            <w:tcW w:w="6695" w:type="dxa"/>
          </w:tcPr>
          <w:p w14:paraId="251515C9" w14:textId="649DD1FE" w:rsidR="00A6572E" w:rsidRPr="000831F2" w:rsidRDefault="002D42CE" w:rsidP="00810FF4">
            <w:r w:rsidRPr="000831F2">
              <w:t>T</w:t>
            </w:r>
            <w:r w:rsidR="00A6572E" w:rsidRPr="000831F2">
              <w:t>ime of maximum concentration</w:t>
            </w:r>
          </w:p>
        </w:tc>
      </w:tr>
      <w:tr w:rsidR="00A6572E" w:rsidRPr="00EB5EF0" w14:paraId="759DC89E" w14:textId="77777777" w:rsidTr="00A6572E">
        <w:tc>
          <w:tcPr>
            <w:tcW w:w="1799" w:type="dxa"/>
          </w:tcPr>
          <w:p w14:paraId="3288EB87" w14:textId="7121D81A" w:rsidR="00A6572E" w:rsidRPr="000831F2" w:rsidRDefault="00A6572E" w:rsidP="00810FF4">
            <w:proofErr w:type="spellStart"/>
            <w:r w:rsidRPr="00DA686E">
              <w:t>TmP</w:t>
            </w:r>
            <w:proofErr w:type="spellEnd"/>
            <w:r w:rsidRPr="00DA686E">
              <w:t>/GFR</w:t>
            </w:r>
          </w:p>
        </w:tc>
        <w:tc>
          <w:tcPr>
            <w:tcW w:w="6695" w:type="dxa"/>
          </w:tcPr>
          <w:p w14:paraId="49C0698B" w14:textId="006DA396" w:rsidR="00A6572E" w:rsidRPr="000831F2" w:rsidRDefault="002D42CE" w:rsidP="00810FF4">
            <w:r w:rsidRPr="000831F2">
              <w:t>R</w:t>
            </w:r>
            <w:r w:rsidR="00A6572E" w:rsidRPr="000831F2">
              <w:t>atio of renal tubular maximum phosphate reabsorption rate to glomerular filtration rate</w:t>
            </w:r>
          </w:p>
        </w:tc>
      </w:tr>
      <w:tr w:rsidR="00A6572E" w:rsidRPr="00EB5EF0" w14:paraId="4FA19F27" w14:textId="77777777" w:rsidTr="00A6572E">
        <w:tc>
          <w:tcPr>
            <w:tcW w:w="1799" w:type="dxa"/>
          </w:tcPr>
          <w:p w14:paraId="41264E68" w14:textId="77777777" w:rsidR="00A6572E" w:rsidRPr="000831F2" w:rsidRDefault="00A6572E" w:rsidP="00810FF4">
            <w:r w:rsidRPr="00DA686E">
              <w:t>TRP</w:t>
            </w:r>
          </w:p>
        </w:tc>
        <w:tc>
          <w:tcPr>
            <w:tcW w:w="6695" w:type="dxa"/>
          </w:tcPr>
          <w:p w14:paraId="759AD31B" w14:textId="14698BE4" w:rsidR="00A6572E" w:rsidRPr="000831F2" w:rsidRDefault="002D42CE" w:rsidP="00810FF4">
            <w:r w:rsidRPr="000831F2">
              <w:t>T</w:t>
            </w:r>
            <w:r w:rsidR="00A6572E" w:rsidRPr="000831F2">
              <w:t>ubular reabsorption of phosphate</w:t>
            </w:r>
          </w:p>
        </w:tc>
      </w:tr>
      <w:tr w:rsidR="00A6572E" w:rsidRPr="00EB5EF0" w14:paraId="212557E1" w14:textId="77777777" w:rsidTr="00A6572E">
        <w:tc>
          <w:tcPr>
            <w:tcW w:w="1799" w:type="dxa"/>
          </w:tcPr>
          <w:p w14:paraId="46D31EDC" w14:textId="3A6C5EEC" w:rsidR="00A6572E" w:rsidRPr="000831F2" w:rsidRDefault="00A6572E" w:rsidP="00810FF4">
            <w:r w:rsidRPr="00DA686E">
              <w:t>WOMAC</w:t>
            </w:r>
          </w:p>
        </w:tc>
        <w:tc>
          <w:tcPr>
            <w:tcW w:w="6695" w:type="dxa"/>
          </w:tcPr>
          <w:p w14:paraId="2C53AD1F" w14:textId="693316EA" w:rsidR="00A6572E" w:rsidRPr="000831F2" w:rsidRDefault="00A6572E" w:rsidP="00810FF4">
            <w:r w:rsidRPr="000831F2">
              <w:t xml:space="preserve">Western Ontario and McMaster Universities </w:t>
            </w:r>
            <w:r w:rsidR="000831F2">
              <w:t>O</w:t>
            </w:r>
            <w:r w:rsidRPr="000831F2">
              <w:t xml:space="preserve">steoarthritis </w:t>
            </w:r>
            <w:r w:rsidR="000831F2">
              <w:t>I</w:t>
            </w:r>
            <w:r w:rsidRPr="000831F2">
              <w:t>ndex</w:t>
            </w:r>
          </w:p>
        </w:tc>
      </w:tr>
      <w:tr w:rsidR="00A6572E" w:rsidRPr="00EB5EF0" w14:paraId="7445537F" w14:textId="77777777" w:rsidTr="00A6572E">
        <w:tc>
          <w:tcPr>
            <w:tcW w:w="1799" w:type="dxa"/>
          </w:tcPr>
          <w:p w14:paraId="30A90F82" w14:textId="6A8258C7" w:rsidR="00A6572E" w:rsidRPr="000831F2" w:rsidRDefault="00A6572E" w:rsidP="00810FF4">
            <w:r w:rsidRPr="00DA686E">
              <w:t>XLH</w:t>
            </w:r>
          </w:p>
        </w:tc>
        <w:tc>
          <w:tcPr>
            <w:tcW w:w="6695" w:type="dxa"/>
          </w:tcPr>
          <w:p w14:paraId="60C4AD9D" w14:textId="77777777" w:rsidR="00A6572E" w:rsidRPr="000831F2" w:rsidRDefault="00A6572E" w:rsidP="00810FF4">
            <w:r w:rsidRPr="000831F2">
              <w:t xml:space="preserve">X-linked </w:t>
            </w:r>
            <w:proofErr w:type="spellStart"/>
            <w:r w:rsidRPr="000831F2">
              <w:t>hypophosphataemia</w:t>
            </w:r>
            <w:proofErr w:type="spellEnd"/>
          </w:p>
        </w:tc>
      </w:tr>
    </w:tbl>
    <w:p w14:paraId="05E3A239" w14:textId="77777777" w:rsidR="00FD119B" w:rsidRPr="00C91B94" w:rsidRDefault="00FD119B" w:rsidP="00C91B94">
      <w:pPr>
        <w:ind w:right="170"/>
        <w:rPr>
          <w:color w:val="000000" w:themeColor="text1"/>
          <w:szCs w:val="21"/>
          <w:lang w:eastAsia="en-AU"/>
        </w:rPr>
      </w:pPr>
    </w:p>
    <w:p w14:paraId="08D329F2" w14:textId="77777777" w:rsidR="00FD119B" w:rsidRPr="00FD119B" w:rsidRDefault="00FD119B" w:rsidP="00FD119B">
      <w:pPr>
        <w:spacing w:before="0" w:after="200" w:line="0" w:lineRule="auto"/>
        <w:rPr>
          <w:b/>
          <w:i/>
          <w:sz w:val="24"/>
          <w:szCs w:val="24"/>
        </w:rPr>
      </w:pPr>
      <w:r w:rsidRPr="00FD119B">
        <w:rPr>
          <w:b/>
          <w:i/>
          <w:sz w:val="24"/>
          <w:szCs w:val="24"/>
        </w:rPr>
        <w:br w:type="page"/>
      </w:r>
    </w:p>
    <w:p w14:paraId="29AE44DD" w14:textId="31FB846C" w:rsidR="008E7846" w:rsidRDefault="008E7846" w:rsidP="00C232F5">
      <w:pPr>
        <w:pStyle w:val="Heading2"/>
      </w:pPr>
      <w:bookmarkStart w:id="8" w:name="_Toc107402929"/>
      <w:r>
        <w:lastRenderedPageBreak/>
        <w:t>Introduction to product submission</w:t>
      </w:r>
      <w:bookmarkEnd w:id="8"/>
      <w:bookmarkEnd w:id="2"/>
      <w:bookmarkEnd w:id="0"/>
    </w:p>
    <w:p w14:paraId="1D94AC94" w14:textId="77777777" w:rsidR="008E7846" w:rsidRDefault="008E7846" w:rsidP="008E7846">
      <w:pPr>
        <w:pStyle w:val="Heading3"/>
        <w:rPr>
          <w:lang w:eastAsia="en-AU"/>
        </w:rPr>
      </w:pPr>
      <w:bookmarkStart w:id="9" w:name="_Toc247691502"/>
      <w:bookmarkStart w:id="10" w:name="_Toc314842483"/>
      <w:bookmarkStart w:id="11" w:name="_Toc107402930"/>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3D1E62" w14:paraId="02B77985" w14:textId="77777777" w:rsidTr="003735BC">
        <w:tc>
          <w:tcPr>
            <w:tcW w:w="2907" w:type="dxa"/>
          </w:tcPr>
          <w:p w14:paraId="6BAD5885"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7429CD57" w14:textId="058732B1" w:rsidR="008E7846" w:rsidRPr="003D1E62" w:rsidRDefault="0039201B" w:rsidP="001B5C90">
            <w:bookmarkStart w:id="12" w:name="_Hlk109652575"/>
            <w:r>
              <w:t>New biological entity</w:t>
            </w:r>
            <w:bookmarkEnd w:id="12"/>
          </w:p>
        </w:tc>
      </w:tr>
      <w:tr w:rsidR="00460036" w:rsidRPr="003D1E62" w14:paraId="1BE12965" w14:textId="77777777" w:rsidTr="003735BC">
        <w:tc>
          <w:tcPr>
            <w:tcW w:w="2907" w:type="dxa"/>
          </w:tcPr>
          <w:p w14:paraId="53BDA0FB" w14:textId="0A53A909" w:rsidR="00460036" w:rsidRPr="003D1E62" w:rsidRDefault="00460036" w:rsidP="003D1E62">
            <w:pPr>
              <w:rPr>
                <w:i/>
              </w:rPr>
            </w:pPr>
            <w:r w:rsidRPr="00460036">
              <w:rPr>
                <w:i/>
              </w:rPr>
              <w:t>Product name:</w:t>
            </w:r>
          </w:p>
        </w:tc>
        <w:tc>
          <w:tcPr>
            <w:tcW w:w="6307" w:type="dxa"/>
          </w:tcPr>
          <w:p w14:paraId="2CD5A9D5" w14:textId="599216AA" w:rsidR="00460036" w:rsidRPr="003D1E62" w:rsidRDefault="0039201B" w:rsidP="001B5C90">
            <w:r>
              <w:t>Crysvita</w:t>
            </w:r>
          </w:p>
        </w:tc>
      </w:tr>
      <w:tr w:rsidR="00460036" w:rsidRPr="003D1E62" w14:paraId="126F5C77" w14:textId="77777777" w:rsidTr="003735BC">
        <w:tc>
          <w:tcPr>
            <w:tcW w:w="2907" w:type="dxa"/>
          </w:tcPr>
          <w:p w14:paraId="27FDD971" w14:textId="121D130B" w:rsidR="00460036" w:rsidRPr="003D1E62" w:rsidRDefault="00460036" w:rsidP="003D1E62">
            <w:pPr>
              <w:rPr>
                <w:i/>
              </w:rPr>
            </w:pPr>
            <w:r w:rsidRPr="00460036">
              <w:rPr>
                <w:i/>
              </w:rPr>
              <w:t>Active ingredient:</w:t>
            </w:r>
          </w:p>
        </w:tc>
        <w:tc>
          <w:tcPr>
            <w:tcW w:w="6307" w:type="dxa"/>
          </w:tcPr>
          <w:p w14:paraId="508B7E0B" w14:textId="25160139" w:rsidR="00460036" w:rsidRPr="003D1E62" w:rsidRDefault="0039201B" w:rsidP="001B5C90">
            <w:r>
              <w:t>Burosumab</w:t>
            </w:r>
          </w:p>
        </w:tc>
      </w:tr>
      <w:tr w:rsidR="008E7846" w:rsidRPr="003D1E62" w14:paraId="1C516605" w14:textId="77777777" w:rsidTr="003735BC">
        <w:tc>
          <w:tcPr>
            <w:tcW w:w="2907" w:type="dxa"/>
          </w:tcPr>
          <w:p w14:paraId="553B0D5B" w14:textId="77777777" w:rsidR="008E7846" w:rsidRPr="003D1E62" w:rsidRDefault="008E7846" w:rsidP="003D1E62">
            <w:r w:rsidRPr="003D1E62">
              <w:rPr>
                <w:i/>
              </w:rPr>
              <w:t>Decision</w:t>
            </w:r>
            <w:r w:rsidRPr="003D1E62">
              <w:t>:</w:t>
            </w:r>
          </w:p>
        </w:tc>
        <w:tc>
          <w:tcPr>
            <w:tcW w:w="6307" w:type="dxa"/>
          </w:tcPr>
          <w:p w14:paraId="557C4AE0" w14:textId="0974F581" w:rsidR="008E7846" w:rsidRPr="003D1E62" w:rsidRDefault="00460036" w:rsidP="001B5C90">
            <w:r w:rsidRPr="00460036">
              <w:t>Approved</w:t>
            </w:r>
          </w:p>
        </w:tc>
      </w:tr>
      <w:tr w:rsidR="008E7846" w:rsidRPr="003D1E62" w14:paraId="641768CA" w14:textId="77777777" w:rsidTr="003735BC">
        <w:tc>
          <w:tcPr>
            <w:tcW w:w="2907" w:type="dxa"/>
          </w:tcPr>
          <w:p w14:paraId="79C37DD8"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5BBFB1DE" w14:textId="137990A9" w:rsidR="008E7846" w:rsidRPr="003D1E62" w:rsidRDefault="0039201B" w:rsidP="001B5C90">
            <w:r>
              <w:t>3 September 2021</w:t>
            </w:r>
          </w:p>
        </w:tc>
      </w:tr>
      <w:tr w:rsidR="00ED2922" w:rsidRPr="003D1E62" w14:paraId="13E7B5D2" w14:textId="77777777" w:rsidTr="003735BC">
        <w:tc>
          <w:tcPr>
            <w:tcW w:w="2907" w:type="dxa"/>
          </w:tcPr>
          <w:p w14:paraId="711BF0BC" w14:textId="77777777" w:rsidR="00ED2922" w:rsidRPr="00441C3F" w:rsidRDefault="00ED2922" w:rsidP="001B5C90">
            <w:pPr>
              <w:rPr>
                <w:i/>
              </w:rPr>
            </w:pPr>
            <w:r w:rsidRPr="00441C3F">
              <w:rPr>
                <w:i/>
              </w:rPr>
              <w:t>Date of entry onto ARTG</w:t>
            </w:r>
            <w:r w:rsidR="00500337">
              <w:rPr>
                <w:i/>
              </w:rPr>
              <w:t>:</w:t>
            </w:r>
          </w:p>
        </w:tc>
        <w:tc>
          <w:tcPr>
            <w:tcW w:w="6307" w:type="dxa"/>
          </w:tcPr>
          <w:p w14:paraId="57EF56F4" w14:textId="5573874C" w:rsidR="00ED2922" w:rsidRPr="0039201B" w:rsidRDefault="0039201B" w:rsidP="00D153D8">
            <w:pPr>
              <w:rPr>
                <w:iCs/>
              </w:rPr>
            </w:pPr>
            <w:r>
              <w:rPr>
                <w:iCs/>
              </w:rPr>
              <w:t>10 September 2021</w:t>
            </w:r>
          </w:p>
        </w:tc>
      </w:tr>
      <w:tr w:rsidR="00500337" w:rsidRPr="003D1E62" w14:paraId="21C46219" w14:textId="77777777" w:rsidTr="003735BC">
        <w:tc>
          <w:tcPr>
            <w:tcW w:w="2907" w:type="dxa"/>
          </w:tcPr>
          <w:p w14:paraId="3B36F156" w14:textId="5358134A" w:rsidR="00500337" w:rsidRPr="00441C3F" w:rsidRDefault="00500337" w:rsidP="001B5C90">
            <w:pPr>
              <w:rPr>
                <w:i/>
              </w:rPr>
            </w:pPr>
            <w:r>
              <w:rPr>
                <w:i/>
              </w:rPr>
              <w:t>ARTG numbers:</w:t>
            </w:r>
          </w:p>
        </w:tc>
        <w:tc>
          <w:tcPr>
            <w:tcW w:w="6307" w:type="dxa"/>
          </w:tcPr>
          <w:p w14:paraId="45D544FC" w14:textId="677B5942" w:rsidR="00500337" w:rsidRPr="00441C3F" w:rsidRDefault="0039201B" w:rsidP="00EC463D">
            <w:r>
              <w:t>340793, 340796 and 340797</w:t>
            </w:r>
          </w:p>
        </w:tc>
      </w:tr>
      <w:tr w:rsidR="003735BC" w:rsidRPr="003D1E62" w14:paraId="5FC9B486" w14:textId="77777777" w:rsidTr="003735BC">
        <w:tc>
          <w:tcPr>
            <w:tcW w:w="2907" w:type="dxa"/>
          </w:tcPr>
          <w:p w14:paraId="05F417CD"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2"/>
            </w:r>
          </w:p>
        </w:tc>
        <w:tc>
          <w:tcPr>
            <w:tcW w:w="6307" w:type="dxa"/>
          </w:tcPr>
          <w:p w14:paraId="0041C83A" w14:textId="14A18D24" w:rsidR="003735BC" w:rsidRDefault="003735BC" w:rsidP="003735BC">
            <w:r>
              <w:t xml:space="preserve">Yes </w:t>
            </w:r>
          </w:p>
          <w:p w14:paraId="513E582E" w14:textId="71FC29C6" w:rsidR="003735BC" w:rsidRPr="00487162" w:rsidRDefault="003735BC" w:rsidP="003735BC">
            <w:r>
              <w:t xml:space="preserve">This product will remain in the scheme for 5 years, starting on the date the product is first supplied in </w:t>
            </w:r>
            <w:r w:rsidRPr="00D453FA">
              <w:t>Australia</w:t>
            </w:r>
          </w:p>
        </w:tc>
      </w:tr>
      <w:tr w:rsidR="008E7846" w:rsidRPr="00487162" w14:paraId="199E5BDA" w14:textId="77777777" w:rsidTr="00BF1190">
        <w:tc>
          <w:tcPr>
            <w:tcW w:w="2907" w:type="dxa"/>
          </w:tcPr>
          <w:p w14:paraId="49C0CF88"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04E67EE2" w14:textId="6F6A2580" w:rsidR="008E7846" w:rsidRPr="00487162" w:rsidRDefault="0039201B" w:rsidP="00E45619">
            <w:r>
              <w:t>Kyowa Kirin Australia Pty Ltd, 68 York Street, NSW 2000</w:t>
            </w:r>
          </w:p>
        </w:tc>
      </w:tr>
      <w:tr w:rsidR="008E7846" w:rsidRPr="00487162" w14:paraId="65AA6D32" w14:textId="77777777" w:rsidTr="00BF1190">
        <w:tc>
          <w:tcPr>
            <w:tcW w:w="2907" w:type="dxa"/>
          </w:tcPr>
          <w:p w14:paraId="6B367310" w14:textId="6D88A5C4" w:rsidR="008E7846" w:rsidRPr="00487162" w:rsidRDefault="001B5C90" w:rsidP="00E45619">
            <w:pPr>
              <w:rPr>
                <w:i/>
              </w:rPr>
            </w:pPr>
            <w:r>
              <w:rPr>
                <w:i/>
              </w:rPr>
              <w:t>Dose form:</w:t>
            </w:r>
          </w:p>
        </w:tc>
        <w:tc>
          <w:tcPr>
            <w:tcW w:w="6307" w:type="dxa"/>
          </w:tcPr>
          <w:p w14:paraId="22E927D9" w14:textId="3C81FDCA" w:rsidR="008E7846" w:rsidRPr="00487162" w:rsidRDefault="0039201B" w:rsidP="00E45619">
            <w:r>
              <w:t>Solution for injection</w:t>
            </w:r>
          </w:p>
        </w:tc>
      </w:tr>
      <w:tr w:rsidR="008E7846" w:rsidRPr="00487162" w14:paraId="318D3EE9" w14:textId="77777777" w:rsidTr="00BF1190">
        <w:tc>
          <w:tcPr>
            <w:tcW w:w="2907" w:type="dxa"/>
          </w:tcPr>
          <w:p w14:paraId="562C0E4D" w14:textId="78F3C781" w:rsidR="008E7846" w:rsidRPr="00487162" w:rsidRDefault="00324E45" w:rsidP="00E45619">
            <w:pPr>
              <w:rPr>
                <w:i/>
              </w:rPr>
            </w:pPr>
            <w:r>
              <w:rPr>
                <w:i/>
              </w:rPr>
              <w:t>Strength:</w:t>
            </w:r>
          </w:p>
        </w:tc>
        <w:tc>
          <w:tcPr>
            <w:tcW w:w="6307" w:type="dxa"/>
          </w:tcPr>
          <w:p w14:paraId="732D7277" w14:textId="50EA5219" w:rsidR="008E7846" w:rsidRPr="00487162" w:rsidRDefault="0039201B" w:rsidP="00E45619">
            <w:r>
              <w:t>10 mg/mL, 20 mg/</w:t>
            </w:r>
            <w:proofErr w:type="gramStart"/>
            <w:r>
              <w:t>mL</w:t>
            </w:r>
            <w:proofErr w:type="gramEnd"/>
            <w:r>
              <w:t xml:space="preserve"> and 30 mg/mL</w:t>
            </w:r>
          </w:p>
        </w:tc>
      </w:tr>
      <w:tr w:rsidR="008E7846" w:rsidRPr="00487162" w14:paraId="0CE4FF5A" w14:textId="77777777" w:rsidTr="00BF1190">
        <w:tc>
          <w:tcPr>
            <w:tcW w:w="2907" w:type="dxa"/>
          </w:tcPr>
          <w:p w14:paraId="12B337E8" w14:textId="306676B0" w:rsidR="008E7846" w:rsidRPr="00487162" w:rsidRDefault="008E7846" w:rsidP="00E45619">
            <w:pPr>
              <w:rPr>
                <w:i/>
              </w:rPr>
            </w:pPr>
            <w:r w:rsidRPr="00487162">
              <w:rPr>
                <w:i/>
              </w:rPr>
              <w:t>Container:</w:t>
            </w:r>
          </w:p>
        </w:tc>
        <w:tc>
          <w:tcPr>
            <w:tcW w:w="6307" w:type="dxa"/>
          </w:tcPr>
          <w:p w14:paraId="007468CC" w14:textId="2C16EE95" w:rsidR="008E7846" w:rsidRPr="00487162" w:rsidRDefault="0039201B" w:rsidP="00E45619">
            <w:r>
              <w:t>Vial</w:t>
            </w:r>
          </w:p>
        </w:tc>
      </w:tr>
      <w:tr w:rsidR="008E7846" w:rsidRPr="00487162" w14:paraId="52FB6530" w14:textId="77777777" w:rsidTr="00BF1190">
        <w:tc>
          <w:tcPr>
            <w:tcW w:w="2907" w:type="dxa"/>
          </w:tcPr>
          <w:p w14:paraId="4824DDBD" w14:textId="0B07A32F" w:rsidR="008E7846" w:rsidRPr="00487162" w:rsidRDefault="008E7846" w:rsidP="00E45619">
            <w:pPr>
              <w:rPr>
                <w:i/>
              </w:rPr>
            </w:pPr>
            <w:r w:rsidRPr="00487162">
              <w:rPr>
                <w:i/>
              </w:rPr>
              <w:t>Pack size:</w:t>
            </w:r>
          </w:p>
        </w:tc>
        <w:tc>
          <w:tcPr>
            <w:tcW w:w="6307" w:type="dxa"/>
          </w:tcPr>
          <w:p w14:paraId="495B69EC" w14:textId="215D1B6F" w:rsidR="008E7846" w:rsidRPr="00487162" w:rsidRDefault="0039201B" w:rsidP="00E45619">
            <w:r>
              <w:t>One</w:t>
            </w:r>
          </w:p>
        </w:tc>
      </w:tr>
      <w:tr w:rsidR="008E7846" w:rsidRPr="00487162" w14:paraId="01D9E9CB" w14:textId="77777777" w:rsidTr="00BF1190">
        <w:tc>
          <w:tcPr>
            <w:tcW w:w="2907" w:type="dxa"/>
          </w:tcPr>
          <w:p w14:paraId="1165D634"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0AD754B9" w14:textId="68030B76" w:rsidR="008E7846" w:rsidRPr="006D4981" w:rsidRDefault="0039201B" w:rsidP="0039201B">
            <w:pPr>
              <w:rPr>
                <w:i/>
                <w:iCs/>
                <w:lang w:eastAsia="ja-JP"/>
              </w:rPr>
            </w:pPr>
            <w:proofErr w:type="spellStart"/>
            <w:r w:rsidRPr="006D4981">
              <w:rPr>
                <w:i/>
                <w:iCs/>
                <w:lang w:eastAsia="ja-JP"/>
              </w:rPr>
              <w:t>Crysvita</w:t>
            </w:r>
            <w:proofErr w:type="spellEnd"/>
            <w:r w:rsidRPr="006D4981">
              <w:rPr>
                <w:i/>
                <w:iCs/>
                <w:lang w:eastAsia="ja-JP"/>
              </w:rPr>
              <w:t xml:space="preserve"> (</w:t>
            </w:r>
            <w:proofErr w:type="spellStart"/>
            <w:r w:rsidRPr="006D4981">
              <w:rPr>
                <w:i/>
                <w:iCs/>
                <w:lang w:eastAsia="ja-JP"/>
              </w:rPr>
              <w:t>burosumab</w:t>
            </w:r>
            <w:proofErr w:type="spellEnd"/>
            <w:r w:rsidRPr="006D4981">
              <w:rPr>
                <w:i/>
                <w:iCs/>
                <w:lang w:eastAsia="ja-JP"/>
              </w:rPr>
              <w:t xml:space="preserve">) is indicated for the treatment of X-linked </w:t>
            </w:r>
            <w:proofErr w:type="spellStart"/>
            <w:r w:rsidRPr="006D4981">
              <w:rPr>
                <w:i/>
                <w:iCs/>
                <w:lang w:eastAsia="ja-JP"/>
              </w:rPr>
              <w:t>hypophosphataemia</w:t>
            </w:r>
            <w:proofErr w:type="spellEnd"/>
            <w:r w:rsidRPr="006D4981">
              <w:rPr>
                <w:i/>
                <w:iCs/>
                <w:lang w:eastAsia="ja-JP"/>
              </w:rPr>
              <w:t xml:space="preserve"> (XLH) in adults, </w:t>
            </w:r>
            <w:proofErr w:type="gramStart"/>
            <w:r w:rsidRPr="006D4981">
              <w:rPr>
                <w:i/>
                <w:iCs/>
                <w:lang w:eastAsia="ja-JP"/>
              </w:rPr>
              <w:t>adolescents</w:t>
            </w:r>
            <w:proofErr w:type="gramEnd"/>
            <w:r w:rsidRPr="006D4981">
              <w:rPr>
                <w:i/>
                <w:iCs/>
                <w:lang w:eastAsia="ja-JP"/>
              </w:rPr>
              <w:t xml:space="preserve"> and children 1</w:t>
            </w:r>
            <w:r w:rsidR="000831F2">
              <w:rPr>
                <w:i/>
                <w:iCs/>
                <w:lang w:eastAsia="ja-JP"/>
              </w:rPr>
              <w:t> </w:t>
            </w:r>
            <w:r w:rsidRPr="006D4981">
              <w:rPr>
                <w:i/>
                <w:iCs/>
                <w:lang w:eastAsia="ja-JP"/>
              </w:rPr>
              <w:t>year of age or older.</w:t>
            </w:r>
          </w:p>
        </w:tc>
      </w:tr>
      <w:tr w:rsidR="008E7846" w:rsidRPr="00487162" w14:paraId="0847EB5F" w14:textId="77777777" w:rsidTr="00BF1190">
        <w:tc>
          <w:tcPr>
            <w:tcW w:w="2907" w:type="dxa"/>
          </w:tcPr>
          <w:p w14:paraId="1FEAC725" w14:textId="682F55AD" w:rsidR="008E7846" w:rsidRPr="00487162" w:rsidRDefault="008E7846" w:rsidP="00E45619">
            <w:pPr>
              <w:rPr>
                <w:i/>
              </w:rPr>
            </w:pPr>
            <w:r w:rsidRPr="00487162">
              <w:rPr>
                <w:i/>
              </w:rPr>
              <w:t>Route of administration:</w:t>
            </w:r>
          </w:p>
        </w:tc>
        <w:tc>
          <w:tcPr>
            <w:tcW w:w="6307" w:type="dxa"/>
          </w:tcPr>
          <w:p w14:paraId="0CE6AB57" w14:textId="6EADB8C2" w:rsidR="008E7846" w:rsidRPr="00487162" w:rsidRDefault="0039201B" w:rsidP="00E45619">
            <w:r>
              <w:t>Subcutaneous injection</w:t>
            </w:r>
          </w:p>
        </w:tc>
      </w:tr>
      <w:tr w:rsidR="008E7846" w:rsidRPr="00487162" w14:paraId="19D70E1F" w14:textId="77777777" w:rsidTr="00BF1190">
        <w:tc>
          <w:tcPr>
            <w:tcW w:w="2907" w:type="dxa"/>
          </w:tcPr>
          <w:p w14:paraId="4A1D48EB" w14:textId="77777777" w:rsidR="008E7846" w:rsidRPr="00487162" w:rsidRDefault="008E7846" w:rsidP="00E45619">
            <w:pPr>
              <w:rPr>
                <w:i/>
              </w:rPr>
            </w:pPr>
            <w:r w:rsidRPr="00487162">
              <w:rPr>
                <w:i/>
              </w:rPr>
              <w:t>Dosage:</w:t>
            </w:r>
          </w:p>
        </w:tc>
        <w:tc>
          <w:tcPr>
            <w:tcW w:w="6307" w:type="dxa"/>
          </w:tcPr>
          <w:p w14:paraId="60833C0E" w14:textId="6AD4E95F" w:rsidR="008E7846" w:rsidRPr="0044010F" w:rsidRDefault="0039201B" w:rsidP="0044010F">
            <w:r w:rsidRPr="0044010F">
              <w:t>Treatment should be initiated and monitored by specialist medical practitioners experienced in the management of patients with metabolic bone disease.</w:t>
            </w:r>
          </w:p>
          <w:p w14:paraId="0509CA44" w14:textId="5DDD83A3" w:rsidR="0039201B" w:rsidRPr="00B47F8D" w:rsidRDefault="0039201B" w:rsidP="00610182">
            <w:r w:rsidRPr="00610182">
              <w:t xml:space="preserve">Dosage of Crysvita is based on multiple factors, including the age, the body </w:t>
            </w:r>
            <w:proofErr w:type="gramStart"/>
            <w:r w:rsidRPr="00610182">
              <w:t>w</w:t>
            </w:r>
            <w:r w:rsidRPr="00B47F8D">
              <w:t>eight</w:t>
            </w:r>
            <w:proofErr w:type="gramEnd"/>
            <w:r w:rsidRPr="00B47F8D">
              <w:t xml:space="preserve"> and the serum phosphate concentration of the patient.</w:t>
            </w:r>
          </w:p>
          <w:p w14:paraId="25A3D960" w14:textId="77777777" w:rsidR="00460036" w:rsidRPr="00487162" w:rsidRDefault="00460036" w:rsidP="00B47F8D">
            <w:r w:rsidRPr="00460036">
              <w:t>For further information regarding dosage, refer to the Product Information.</w:t>
            </w:r>
          </w:p>
        </w:tc>
      </w:tr>
      <w:tr w:rsidR="00460036" w:rsidRPr="00487162" w14:paraId="5CE217FF" w14:textId="77777777" w:rsidTr="00BF1190">
        <w:tc>
          <w:tcPr>
            <w:tcW w:w="2907" w:type="dxa"/>
          </w:tcPr>
          <w:p w14:paraId="6A45715C" w14:textId="77777777" w:rsidR="00460036" w:rsidRPr="00487162" w:rsidRDefault="00460036" w:rsidP="00E45619">
            <w:pPr>
              <w:rPr>
                <w:i/>
              </w:rPr>
            </w:pPr>
            <w:r w:rsidRPr="00460036">
              <w:rPr>
                <w:i/>
              </w:rPr>
              <w:lastRenderedPageBreak/>
              <w:t>Pregnancy category</w:t>
            </w:r>
            <w:r>
              <w:rPr>
                <w:i/>
              </w:rPr>
              <w:t>:</w:t>
            </w:r>
          </w:p>
        </w:tc>
        <w:tc>
          <w:tcPr>
            <w:tcW w:w="6307" w:type="dxa"/>
          </w:tcPr>
          <w:p w14:paraId="29BD6239" w14:textId="616DFFBE" w:rsidR="004A4DE5" w:rsidRDefault="004A4DE5" w:rsidP="00460036">
            <w:r>
              <w:t>B3</w:t>
            </w:r>
          </w:p>
          <w:p w14:paraId="3F3659AB" w14:textId="77777777" w:rsidR="004A4DE5" w:rsidRDefault="004A4DE5" w:rsidP="004A4DE5">
            <w:r>
              <w:t xml:space="preserve">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28CF0369" w14:textId="77777777" w:rsidR="00EB273C" w:rsidRDefault="004A4DE5" w:rsidP="004A4DE5">
            <w:r>
              <w:t>Studies in animals have shown evidence of an increased occurrence of fetal damage, the significance of which is considered uncertain in humans</w:t>
            </w:r>
            <w:r w:rsidR="00EB273C">
              <w:t>.</w:t>
            </w:r>
          </w:p>
          <w:p w14:paraId="646A4B92" w14:textId="60409633"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68BF8A6B" w14:textId="77777777" w:rsidR="008E7846" w:rsidRDefault="008E7846" w:rsidP="008E7846">
      <w:pPr>
        <w:pStyle w:val="Heading3"/>
      </w:pPr>
      <w:bookmarkStart w:id="13" w:name="_Toc247691503"/>
      <w:bookmarkStart w:id="14" w:name="_Toc314842484"/>
      <w:bookmarkStart w:id="15" w:name="_Toc107402931"/>
      <w:r>
        <w:t>Product background</w:t>
      </w:r>
      <w:bookmarkEnd w:id="13"/>
      <w:bookmarkEnd w:id="14"/>
      <w:bookmarkEnd w:id="15"/>
    </w:p>
    <w:p w14:paraId="172E2395" w14:textId="37696313" w:rsidR="008E7846" w:rsidRDefault="00250271" w:rsidP="00940A89">
      <w:r w:rsidRPr="00250271">
        <w:t xml:space="preserve">This AusPAR describes the application by </w:t>
      </w:r>
      <w:r w:rsidR="004A4DE5">
        <w:t>Kyowa Kirin Australia Pty Ltd</w:t>
      </w:r>
      <w:r w:rsidRPr="00250271">
        <w:t xml:space="preserve"> (the sponsor) to register </w:t>
      </w:r>
      <w:proofErr w:type="spellStart"/>
      <w:r w:rsidR="004A4DE5">
        <w:t>Crysvita</w:t>
      </w:r>
      <w:proofErr w:type="spellEnd"/>
      <w:r w:rsidRPr="00250271">
        <w:t xml:space="preserve"> (</w:t>
      </w:r>
      <w:proofErr w:type="spellStart"/>
      <w:r w:rsidR="004A4DE5">
        <w:t>burosumab</w:t>
      </w:r>
      <w:proofErr w:type="spellEnd"/>
      <w:r w:rsidRPr="00250271">
        <w:t xml:space="preserve">) </w:t>
      </w:r>
      <w:r w:rsidR="004A4DE5">
        <w:t>10 mg/mL</w:t>
      </w:r>
      <w:r w:rsidRPr="00250271">
        <w:t>,</w:t>
      </w:r>
      <w:r w:rsidR="004A4DE5">
        <w:t xml:space="preserve"> 20 mg/mL and 30 mg/mL,</w:t>
      </w:r>
      <w:r w:rsidRPr="00250271">
        <w:t xml:space="preserve"> </w:t>
      </w:r>
      <w:r w:rsidR="004A4DE5">
        <w:t>solution for injection</w:t>
      </w:r>
      <w:r w:rsidRPr="00250271">
        <w:t xml:space="preserve"> for the following proposed indication</w:t>
      </w:r>
      <w:r w:rsidR="00CF5DAD">
        <w:t>:</w:t>
      </w:r>
    </w:p>
    <w:p w14:paraId="0D8D08BB" w14:textId="3EC84CCF" w:rsidR="00ED2922" w:rsidRPr="006D4981" w:rsidRDefault="002D42CE" w:rsidP="006D4981">
      <w:pPr>
        <w:ind w:left="720"/>
        <w:rPr>
          <w:i/>
          <w:iCs/>
        </w:rPr>
      </w:pPr>
      <w:r>
        <w:rPr>
          <w:i/>
          <w:iCs/>
        </w:rPr>
        <w:t xml:space="preserve">The </w:t>
      </w:r>
      <w:r w:rsidR="006D4981" w:rsidRPr="006D4981">
        <w:rPr>
          <w:i/>
          <w:iCs/>
        </w:rPr>
        <w:t xml:space="preserve">treatment of X-linked </w:t>
      </w:r>
      <w:proofErr w:type="spellStart"/>
      <w:r w:rsidR="006D4981" w:rsidRPr="006D4981">
        <w:rPr>
          <w:i/>
          <w:iCs/>
        </w:rPr>
        <w:t>hypophosphataemia</w:t>
      </w:r>
      <w:proofErr w:type="spellEnd"/>
      <w:r w:rsidR="006D4981" w:rsidRPr="006D4981">
        <w:rPr>
          <w:i/>
          <w:iCs/>
        </w:rPr>
        <w:t xml:space="preserve"> in paediatric patients 1 year of age and older and adults.</w:t>
      </w:r>
    </w:p>
    <w:p w14:paraId="769496B1" w14:textId="5DEED5F1" w:rsidR="00250271" w:rsidRDefault="00D24F94" w:rsidP="00476C81">
      <w:r>
        <w:t xml:space="preserve">X-linked </w:t>
      </w:r>
      <w:proofErr w:type="spellStart"/>
      <w:r>
        <w:t>hypophosphataemia</w:t>
      </w:r>
      <w:proofErr w:type="spellEnd"/>
      <w:r>
        <w:t xml:space="preserve"> (</w:t>
      </w:r>
      <w:r w:rsidR="00DB3E53" w:rsidRPr="00DB3E53">
        <w:t>XLH</w:t>
      </w:r>
      <w:r>
        <w:t>)</w:t>
      </w:r>
      <w:r w:rsidR="00DB3E53" w:rsidRPr="00DB3E53">
        <w:t xml:space="preserve"> is a rare, serious, chronically debilitating condition associated with a mutation in the </w:t>
      </w:r>
      <w:r w:rsidR="000831F2" w:rsidRPr="00810FF4">
        <w:rPr>
          <w:i/>
        </w:rPr>
        <w:t>PHEX</w:t>
      </w:r>
      <w:r w:rsidR="000831F2">
        <w:t xml:space="preserve"> (</w:t>
      </w:r>
      <w:r w:rsidR="000831F2" w:rsidRPr="000831F2">
        <w:t>phosphate reg</w:t>
      </w:r>
      <w:r w:rsidR="000831F2">
        <w:t>ulating endopeptidase homolog X</w:t>
      </w:r>
      <w:r w:rsidR="000831F2">
        <w:noBreakHyphen/>
      </w:r>
      <w:r w:rsidR="000831F2" w:rsidRPr="000831F2">
        <w:t>linked</w:t>
      </w:r>
      <w:r w:rsidR="000831F2">
        <w:t xml:space="preserve">) gene </w:t>
      </w:r>
      <w:r w:rsidR="00DB3E53" w:rsidRPr="00DB3E53">
        <w:t>on the X</w:t>
      </w:r>
      <w:r w:rsidR="000831F2">
        <w:noBreakHyphen/>
      </w:r>
      <w:r w:rsidR="00DB3E53" w:rsidRPr="00DB3E53">
        <w:t>chromosome. The mutation impairs the phosphate</w:t>
      </w:r>
      <w:r w:rsidR="0044010F">
        <w:t xml:space="preserve"> </w:t>
      </w:r>
      <w:r w:rsidR="00DB3E53" w:rsidRPr="00DB3E53">
        <w:t>sensing control system that impacts bone mineralisation and musculoskeletal function through excess production of fibroblast</w:t>
      </w:r>
      <w:r w:rsidR="00DB3E53">
        <w:t xml:space="preserve"> </w:t>
      </w:r>
      <w:r w:rsidR="00DB3E53" w:rsidRPr="00DB3E53">
        <w:t>growth factor</w:t>
      </w:r>
      <w:r w:rsidR="000831F2">
        <w:noBreakHyphen/>
      </w:r>
      <w:r w:rsidR="00DB3E53" w:rsidRPr="00DB3E53">
        <w:t xml:space="preserve">23 (FGF23) and resultant </w:t>
      </w:r>
      <w:proofErr w:type="spellStart"/>
      <w:r w:rsidR="00DB3E53" w:rsidRPr="00DB3E53">
        <w:t>hypophosphataemia</w:t>
      </w:r>
      <w:proofErr w:type="spellEnd"/>
      <w:r w:rsidR="00DB3E53" w:rsidRPr="00DB3E53">
        <w:t xml:space="preserve">. </w:t>
      </w:r>
      <w:r w:rsidR="000831F2">
        <w:t xml:space="preserve">X-linked </w:t>
      </w:r>
      <w:proofErr w:type="spellStart"/>
      <w:r w:rsidR="000831F2">
        <w:t>hypophosphataemia</w:t>
      </w:r>
      <w:proofErr w:type="spellEnd"/>
      <w:r w:rsidR="000831F2">
        <w:t xml:space="preserve"> </w:t>
      </w:r>
      <w:r w:rsidR="00DB3E53" w:rsidRPr="00DB3E53">
        <w:t>is characterised by</w:t>
      </w:r>
      <w:r w:rsidR="00DB3E53">
        <w:t xml:space="preserve"> </w:t>
      </w:r>
      <w:r w:rsidR="00DB3E53" w:rsidRPr="00DB3E53">
        <w:t>excess levels of circulating FGF23 that leads to increased urinary phosphate excretion,</w:t>
      </w:r>
      <w:r w:rsidR="00DB3E53">
        <w:t xml:space="preserve"> </w:t>
      </w:r>
      <w:r w:rsidR="00DB3E53" w:rsidRPr="00DB3E53">
        <w:t xml:space="preserve">reduced </w:t>
      </w:r>
      <w:r w:rsidR="0014758F">
        <w:t>activated vitamin D (</w:t>
      </w:r>
      <w:r w:rsidR="00DB3E53" w:rsidRPr="00DB3E53">
        <w:t>1,25</w:t>
      </w:r>
      <w:r w:rsidR="0014758F">
        <w:noBreakHyphen/>
      </w:r>
      <w:r w:rsidR="00DB3E53" w:rsidRPr="00DB3E53">
        <w:t>dihydroxyvitamin D</w:t>
      </w:r>
      <w:r w:rsidR="0014758F">
        <w:t>, calcitriol.</w:t>
      </w:r>
      <w:r w:rsidR="00DB3E53" w:rsidRPr="00DB3E53">
        <w:t xml:space="preserve"> 1,25(OH)</w:t>
      </w:r>
      <w:r w:rsidR="00DB3E53" w:rsidRPr="00810FF4">
        <w:rPr>
          <w:vertAlign w:val="subscript"/>
        </w:rPr>
        <w:t>2</w:t>
      </w:r>
      <w:r w:rsidR="00DB3E53" w:rsidRPr="00DB3E53">
        <w:t>D) synthesis, and subsequent</w:t>
      </w:r>
      <w:r w:rsidR="00DB3E53">
        <w:t xml:space="preserve"> </w:t>
      </w:r>
      <w:proofErr w:type="spellStart"/>
      <w:r w:rsidR="00DB3E53" w:rsidRPr="00DB3E53">
        <w:t>hypophosphataemia</w:t>
      </w:r>
      <w:proofErr w:type="spellEnd"/>
      <w:r w:rsidR="00DB3E53" w:rsidRPr="00DB3E53">
        <w:t xml:space="preserve"> resulting in defective bone mineralisation.</w:t>
      </w:r>
    </w:p>
    <w:p w14:paraId="4EA6FA66" w14:textId="2E9276D0" w:rsidR="00EB273C" w:rsidRDefault="00476C81" w:rsidP="00476C81">
      <w:r w:rsidRPr="00476C81">
        <w:t xml:space="preserve">In children, the skeletal components of XLH manifest primarily as </w:t>
      </w:r>
      <w:proofErr w:type="spellStart"/>
      <w:r w:rsidRPr="00476C81">
        <w:t>osteomalacia</w:t>
      </w:r>
      <w:proofErr w:type="spellEnd"/>
      <w:r w:rsidRPr="00476C81">
        <w:t xml:space="preserve"> and rickets, a disease of the growth plates characterised by deficient mineralisation and delayed endochondral ossification, that lead to reduced growth and skeletal deformities including bowing of the lower extremities. The height growth deficiency caused by the growth plate defects can lead to a permanent loss of growth potential. Rickets and the accompanying skeletal deformities burden paediatric patients with daily pain, gait abnormalities, and impaired physical functioning, such that a young child may be severely limited in </w:t>
      </w:r>
      <w:r w:rsidR="0014758F">
        <w:t xml:space="preserve">their </w:t>
      </w:r>
      <w:r w:rsidRPr="00476C81">
        <w:t>daily activities</w:t>
      </w:r>
      <w:r w:rsidR="00EB273C">
        <w:t>.</w:t>
      </w:r>
    </w:p>
    <w:p w14:paraId="32A93E20" w14:textId="3233FC46" w:rsidR="00EB273C" w:rsidRDefault="00476C81" w:rsidP="00476C81">
      <w:r w:rsidRPr="00476C81">
        <w:t>As an adolescent with XLH enters puberty</w:t>
      </w:r>
      <w:r w:rsidR="003D0869">
        <w:t>,</w:t>
      </w:r>
      <w:r w:rsidRPr="00476C81">
        <w:t xml:space="preserve"> and the growth plates close, the radiologic abnormalities that specifically define rickets are no longer apparent. However, </w:t>
      </w:r>
      <w:proofErr w:type="spellStart"/>
      <w:r w:rsidRPr="00476C81">
        <w:t>hypophosphataemia</w:t>
      </w:r>
      <w:proofErr w:type="spellEnd"/>
      <w:r w:rsidRPr="00476C81">
        <w:t xml:space="preserve">, </w:t>
      </w:r>
      <w:proofErr w:type="spellStart"/>
      <w:r w:rsidRPr="00476C81">
        <w:t>osteomalacia</w:t>
      </w:r>
      <w:proofErr w:type="spellEnd"/>
      <w:r w:rsidRPr="00476C81">
        <w:t>, short stature, and lower extremity deformities typically persist through adulthood. Many adolescents and young adults require orthopaedic surgery to correct residual lower limb defects following cessation of growth</w:t>
      </w:r>
      <w:r w:rsidR="00EB273C">
        <w:t>.</w:t>
      </w:r>
    </w:p>
    <w:p w14:paraId="260A2849" w14:textId="76E10C7E" w:rsidR="00476C81" w:rsidRDefault="00476C81" w:rsidP="00476C81">
      <w:r w:rsidRPr="00476C81">
        <w:t xml:space="preserve">Adults with XLH experience significant morbidity due to years of chronic </w:t>
      </w:r>
      <w:proofErr w:type="spellStart"/>
      <w:r w:rsidRPr="00476C81">
        <w:t>hypophosphataemia</w:t>
      </w:r>
      <w:proofErr w:type="spellEnd"/>
      <w:r w:rsidRPr="00476C81">
        <w:t xml:space="preserve">. Their bones may be particularly prone to pathologic fractures and </w:t>
      </w:r>
      <w:proofErr w:type="spellStart"/>
      <w:r w:rsidRPr="00476C81">
        <w:t>pseudofractures</w:t>
      </w:r>
      <w:proofErr w:type="spellEnd"/>
      <w:r w:rsidRPr="00476C81">
        <w:t xml:space="preserve"> due to a combination of the skeletal deformities from childhood that </w:t>
      </w:r>
      <w:r w:rsidRPr="00476C81">
        <w:lastRenderedPageBreak/>
        <w:t xml:space="preserve">expose the bone to significant stress resulting from uneven biomechanical loading, and </w:t>
      </w:r>
      <w:proofErr w:type="spellStart"/>
      <w:r w:rsidRPr="00476C81">
        <w:t>osteomalacia</w:t>
      </w:r>
      <w:proofErr w:type="spellEnd"/>
      <w:r w:rsidRPr="00476C81">
        <w:t xml:space="preserve">, which is associated with impaired bone remodelling. Adults with XLH also commonly develop early osteoarthritis </w:t>
      </w:r>
      <w:proofErr w:type="gramStart"/>
      <w:r w:rsidRPr="00476C81">
        <w:t>as a result of</w:t>
      </w:r>
      <w:proofErr w:type="gramEnd"/>
      <w:r w:rsidRPr="00476C81">
        <w:t xml:space="preserve"> the continued weight bearing on lower limbs that have mechanical axis defects from childhood.</w:t>
      </w:r>
    </w:p>
    <w:p w14:paraId="0B8D7BD2" w14:textId="0FF5AADE" w:rsidR="00EB273C" w:rsidRDefault="00DB3E53" w:rsidP="00DB3E53">
      <w:r>
        <w:t xml:space="preserve">Conventional therapy for XLH consists of oral phosphate combined with active vitamin D. The goal of therapy is to supplement the body's pool of phosphate </w:t>
      </w:r>
      <w:proofErr w:type="gramStart"/>
      <w:r>
        <w:t>in order to</w:t>
      </w:r>
      <w:proofErr w:type="gramEnd"/>
      <w:r>
        <w:t xml:space="preserve"> allow mineralisation of bone and improve skeletal outcomes and associated symptoms</w:t>
      </w:r>
      <w:r w:rsidRPr="003D0869">
        <w:t xml:space="preserve">. The </w:t>
      </w:r>
      <w:r w:rsidR="00B21B24">
        <w:t>s</w:t>
      </w:r>
      <w:r w:rsidRPr="003D0869">
        <w:t>ponsor comments that, the efficacy of conventional treatment in improving skeletal outcomes in children has not been demonstrated in prospective, randomised clinical trials.</w:t>
      </w:r>
      <w:r>
        <w:t xml:space="preserve"> Retrospective reports suggest that growth remains suboptimal in many patients and orthopaedic intervention may be required to correct leg deformities</w:t>
      </w:r>
      <w:r w:rsidR="00EB273C">
        <w:t>.</w:t>
      </w:r>
    </w:p>
    <w:p w14:paraId="513D7CBD" w14:textId="77777777" w:rsidR="00EB273C" w:rsidRDefault="00DB3E53" w:rsidP="00DB3E53">
      <w:r>
        <w:t xml:space="preserve">In adults, oral phosphate/active vitamin D therapy may be initiated (or maintained) for the treatment of </w:t>
      </w:r>
      <w:proofErr w:type="spellStart"/>
      <w:r>
        <w:t>osteomalacia</w:t>
      </w:r>
      <w:proofErr w:type="spellEnd"/>
      <w:r>
        <w:t xml:space="preserve">, bone/joint pain and other symptoms, and fractures or </w:t>
      </w:r>
      <w:proofErr w:type="spellStart"/>
      <w:r>
        <w:t>pseudofractures</w:t>
      </w:r>
      <w:proofErr w:type="spellEnd"/>
      <w:r>
        <w:t xml:space="preserve">, but evidence of efficacy to improve </w:t>
      </w:r>
      <w:proofErr w:type="spellStart"/>
      <w:r>
        <w:t>osteomalacia</w:t>
      </w:r>
      <w:proofErr w:type="spellEnd"/>
      <w:r>
        <w:t>, bone mineral density, microarchitecture or pain in adults is limited or the data shows absence of positive effect</w:t>
      </w:r>
      <w:r w:rsidR="00EB273C">
        <w:t>.</w:t>
      </w:r>
    </w:p>
    <w:p w14:paraId="2C73497C" w14:textId="4DD3CBC7" w:rsidR="00DB3E53" w:rsidRDefault="00DB3E53" w:rsidP="00667EEA">
      <w:r>
        <w:t xml:space="preserve">Following the closure of long bone growth plates and attainment of peak height in adolescents, the bone continues to grow </w:t>
      </w:r>
      <w:proofErr w:type="spellStart"/>
      <w:r>
        <w:t>periosteally</w:t>
      </w:r>
      <w:proofErr w:type="spellEnd"/>
      <w:r>
        <w:t xml:space="preserve"> and strengthen within the cortical and trabecular regions. Reaching the potential peak bone mass in the second or third decade of life carries protection against premature osteoporosis and fracture risk. However, the multiple daily doses of oral phosphate required for treatment produce a transient and intermittent increase in serum phosphorus that can exacerbate phosphate wasting because impairment of renal phosphate reabsorption is not addressed. This intermittent phosphate load triggers high urinary phosphate excretion and increases the risk and progression of </w:t>
      </w:r>
      <w:proofErr w:type="spellStart"/>
      <w:r>
        <w:t>nephrocalcinosis</w:t>
      </w:r>
      <w:proofErr w:type="spellEnd"/>
      <w:r>
        <w:t xml:space="preserve">, which has been reported to occur in as many as 33% to 100% of patients with XLH in the early of years of more aggressive therapy. Given the high rate of complications, use of lower phosphate dosing strategies to improve safety were implemented. This reduced the associated safety issues but was also a less effective regimen and led to a lower but still substantial level of </w:t>
      </w:r>
      <w:proofErr w:type="spellStart"/>
      <w:r>
        <w:t>nephrocalcinosis</w:t>
      </w:r>
      <w:proofErr w:type="spellEnd"/>
      <w:r>
        <w:t xml:space="preserve"> of 25% to 30%. In some instances, the compensatory increases in parathyroid hormone following conventional therapy may increase the risk of secondary or tertiary hyperparathyroidism, especially if treatment is episodic, variable or associated with inappropriately balanced phosphate/vitamin D therapy. Moreover, frequent daily dosing, associated adverse effects and the need for regular monitoring of patients may compromise treatment persistence/compliance and therapeutic benefit of conventional therapy.</w:t>
      </w:r>
    </w:p>
    <w:p w14:paraId="4A26F8E0" w14:textId="43E4D17E" w:rsidR="00EB273C" w:rsidRDefault="006D12EF" w:rsidP="00667EEA">
      <w:r w:rsidRPr="006D12EF">
        <w:t xml:space="preserve">Burosumab is a recombinant fully human immunoglobulin G </w:t>
      </w:r>
      <w:r w:rsidR="0014758F">
        <w:t xml:space="preserve">subclass 1 </w:t>
      </w:r>
      <w:r w:rsidRPr="006D12EF">
        <w:t>(IgG</w:t>
      </w:r>
      <w:r w:rsidR="0014758F">
        <w:t>1)</w:t>
      </w:r>
      <w:r w:rsidRPr="006D12EF">
        <w:t xml:space="preserve"> m</w:t>
      </w:r>
      <w:r w:rsidR="0044010F">
        <w:t>onoclonal antibody (</w:t>
      </w:r>
      <w:proofErr w:type="spellStart"/>
      <w:r w:rsidR="0044010F">
        <w:t>m</w:t>
      </w:r>
      <w:r w:rsidRPr="006D12EF">
        <w:t>Ab</w:t>
      </w:r>
      <w:proofErr w:type="spellEnd"/>
      <w:r w:rsidR="0044010F">
        <w:t>)</w:t>
      </w:r>
      <w:r w:rsidRPr="006D12EF">
        <w:t xml:space="preserve"> that binds to and inhibits the excessive biological activity of FGF23, thereby treating the underlying cause of XLH</w:t>
      </w:r>
      <w:r w:rsidR="00EB273C">
        <w:t>.</w:t>
      </w:r>
    </w:p>
    <w:p w14:paraId="6841394B" w14:textId="3EE74AA2" w:rsidR="008E7846" w:rsidRPr="003F31A2" w:rsidRDefault="00386150" w:rsidP="008E7846">
      <w:pPr>
        <w:pStyle w:val="Heading3"/>
      </w:pPr>
      <w:bookmarkStart w:id="16" w:name="_Toc314842485"/>
      <w:bookmarkStart w:id="17" w:name="_Toc247691504"/>
      <w:bookmarkStart w:id="18" w:name="_Toc107402932"/>
      <w:r>
        <w:t>Regulatory s</w:t>
      </w:r>
      <w:r w:rsidR="008E7846">
        <w:t>tatus</w:t>
      </w:r>
      <w:bookmarkEnd w:id="16"/>
      <w:bookmarkEnd w:id="17"/>
      <w:bookmarkEnd w:id="18"/>
    </w:p>
    <w:p w14:paraId="293FDFB8" w14:textId="7F9131DB" w:rsidR="00940A89" w:rsidRDefault="00006FAB" w:rsidP="00940A89">
      <w:bookmarkStart w:id="19" w:name="_Toc247691505"/>
      <w:bookmarkStart w:id="20" w:name="_Toc314842486"/>
      <w:r w:rsidRPr="00006FAB">
        <w:t>This product is considered a new biological entity</w:t>
      </w:r>
      <w:r w:rsidR="00BD0426">
        <w:t xml:space="preserve"> </w:t>
      </w:r>
      <w:r w:rsidRPr="00006FAB">
        <w:t>for Australian regulatory purposes.</w:t>
      </w:r>
    </w:p>
    <w:p w14:paraId="5EE33156" w14:textId="598A47E0" w:rsidR="00006FAB" w:rsidRDefault="00006FAB" w:rsidP="00006FAB">
      <w:r>
        <w:t>At the time the TGA considered this application, similar application</w:t>
      </w:r>
      <w:r w:rsidR="00667EEA">
        <w:t xml:space="preserve">s </w:t>
      </w:r>
      <w:r>
        <w:t>had been approved</w:t>
      </w:r>
      <w:r w:rsidR="00667EEA">
        <w:t xml:space="preserve"> in the European Union (EU) on 19 February 2018</w:t>
      </w:r>
      <w:r w:rsidR="004A59C0">
        <w:t xml:space="preserve"> (for children </w:t>
      </w:r>
      <w:r w:rsidR="00FC1339">
        <w:t>one</w:t>
      </w:r>
      <w:r w:rsidR="004A59C0">
        <w:t xml:space="preserve"> year of age and older and adolescents with growing skeletons) and 30 September 2020 (</w:t>
      </w:r>
      <w:r w:rsidR="00882812" w:rsidRPr="00882812">
        <w:t xml:space="preserve">children and adolescents aged </w:t>
      </w:r>
      <w:r w:rsidR="00FC1339">
        <w:t>one</w:t>
      </w:r>
      <w:r w:rsidR="00882812" w:rsidRPr="00882812">
        <w:t xml:space="preserve"> to 17 years with radiographic evidence of bone disease, and in adults</w:t>
      </w:r>
      <w:r w:rsidR="00882812">
        <w:t>)</w:t>
      </w:r>
      <w:r w:rsidR="00667EEA">
        <w:t>; in the United States of America (USA) on 17 April 2018 (</w:t>
      </w:r>
      <w:r w:rsidR="00953CF5" w:rsidRPr="00953CF5">
        <w:t xml:space="preserve">adult and paediatric patients </w:t>
      </w:r>
      <w:r w:rsidR="00FC1339">
        <w:t>one</w:t>
      </w:r>
      <w:r w:rsidR="00953CF5" w:rsidRPr="00953CF5">
        <w:t xml:space="preserve"> year of age and older</w:t>
      </w:r>
      <w:r w:rsidR="00953CF5">
        <w:t>) and 27 September 2019 (</w:t>
      </w:r>
      <w:r w:rsidR="00953CF5" w:rsidRPr="00953CF5">
        <w:t xml:space="preserve">in adult and paediatric patients </w:t>
      </w:r>
      <w:r w:rsidR="00FC1339">
        <w:t>six</w:t>
      </w:r>
      <w:r w:rsidR="00953CF5">
        <w:t xml:space="preserve"> </w:t>
      </w:r>
      <w:r w:rsidR="00953CF5" w:rsidRPr="00953CF5">
        <w:t>months of age and older</w:t>
      </w:r>
      <w:r w:rsidR="00953CF5">
        <w:t>); Canada on 5 December 2018 (</w:t>
      </w:r>
      <w:r w:rsidR="00953CF5" w:rsidRPr="00953CF5">
        <w:t xml:space="preserve">adult and paediatric patients </w:t>
      </w:r>
      <w:r w:rsidR="00FC1339">
        <w:t>one</w:t>
      </w:r>
      <w:r w:rsidR="00953CF5" w:rsidRPr="00953CF5">
        <w:t xml:space="preserve"> year of age and older</w:t>
      </w:r>
      <w:r w:rsidR="00953CF5">
        <w:t xml:space="preserve">) and 16 June 2020 ( </w:t>
      </w:r>
      <w:r w:rsidR="00953CF5" w:rsidRPr="00953CF5">
        <w:t xml:space="preserve">adult and paediatric patients </w:t>
      </w:r>
      <w:r w:rsidR="00FC1339">
        <w:t>six</w:t>
      </w:r>
      <w:r w:rsidR="00953CF5" w:rsidRPr="00953CF5">
        <w:t xml:space="preserve"> months of age and older</w:t>
      </w:r>
      <w:r w:rsidR="00953CF5">
        <w:t xml:space="preserve">); Brazil on 21 March 2019; </w:t>
      </w:r>
      <w:r w:rsidR="008C1D7A">
        <w:t xml:space="preserve">Japan on 20 September 2019; and in Switzerland on </w:t>
      </w:r>
      <w:r w:rsidR="008C1D7A">
        <w:lastRenderedPageBreak/>
        <w:t>20</w:t>
      </w:r>
      <w:r w:rsidR="0014758F">
        <w:t> </w:t>
      </w:r>
      <w:r w:rsidR="008C1D7A">
        <w:t>January</w:t>
      </w:r>
      <w:r w:rsidR="0014758F">
        <w:t> </w:t>
      </w:r>
      <w:r w:rsidR="008C1D7A">
        <w:t>2020. A similar application was under consideration in Singapore, submitted on 24 September 2019.</w:t>
      </w:r>
    </w:p>
    <w:p w14:paraId="53813684" w14:textId="27818B14" w:rsidR="0014758F" w:rsidRDefault="0014758F" w:rsidP="00006FAB">
      <w:r>
        <w:t>Table 1 provides an overview of the indications approved overseas.</w:t>
      </w:r>
    </w:p>
    <w:p w14:paraId="52A0CFB0" w14:textId="162BA06E" w:rsidR="00A7306E" w:rsidRPr="009A6538" w:rsidRDefault="009A6538" w:rsidP="009A6538">
      <w:pPr>
        <w:pStyle w:val="TableTitle"/>
      </w:pPr>
      <w:bookmarkStart w:id="21" w:name="_Ref92374033"/>
      <w:r>
        <w:t xml:space="preserve">Table </w:t>
      </w:r>
      <w:r>
        <w:fldChar w:fldCharType="begin"/>
      </w:r>
      <w:r>
        <w:instrText>SEQ Table \* ARABIC</w:instrText>
      </w:r>
      <w:r>
        <w:fldChar w:fldCharType="separate"/>
      </w:r>
      <w:r w:rsidR="00604074">
        <w:rPr>
          <w:noProof/>
        </w:rPr>
        <w:t>1</w:t>
      </w:r>
      <w:r>
        <w:fldChar w:fldCharType="end"/>
      </w:r>
      <w:bookmarkEnd w:id="21"/>
      <w:r w:rsidR="00324E45" w:rsidRPr="009A6538">
        <w:t>: International regulatory status</w:t>
      </w:r>
      <w:r w:rsidR="003D0869">
        <w:t xml:space="preserve"> of selected countries</w:t>
      </w:r>
    </w:p>
    <w:tbl>
      <w:tblPr>
        <w:tblStyle w:val="TableTGAblue"/>
        <w:tblW w:w="8900" w:type="dxa"/>
        <w:tblLayout w:type="fixed"/>
        <w:tblLook w:val="04A0" w:firstRow="1" w:lastRow="0" w:firstColumn="1" w:lastColumn="0" w:noHBand="0" w:noVBand="1"/>
      </w:tblPr>
      <w:tblGrid>
        <w:gridCol w:w="1430"/>
        <w:gridCol w:w="2250"/>
        <w:gridCol w:w="2250"/>
        <w:gridCol w:w="2970"/>
      </w:tblGrid>
      <w:tr w:rsidR="00FF4551" w14:paraId="6B264DA7" w14:textId="77777777" w:rsidTr="00810FF4">
        <w:trPr>
          <w:cnfStyle w:val="100000000000" w:firstRow="1" w:lastRow="0" w:firstColumn="0" w:lastColumn="0" w:oddVBand="0" w:evenVBand="0" w:oddHBand="0" w:evenHBand="0" w:firstRowFirstColumn="0" w:firstRowLastColumn="0" w:lastRowFirstColumn="0" w:lastRowLastColumn="0"/>
        </w:trPr>
        <w:tc>
          <w:tcPr>
            <w:tcW w:w="1430" w:type="dxa"/>
          </w:tcPr>
          <w:p w14:paraId="4F31AF10" w14:textId="77777777" w:rsidR="00006FAB" w:rsidRDefault="00006FAB" w:rsidP="0014758F">
            <w:pPr>
              <w:ind w:left="0" w:right="0"/>
            </w:pPr>
            <w:r>
              <w:t>Region</w:t>
            </w:r>
          </w:p>
        </w:tc>
        <w:tc>
          <w:tcPr>
            <w:tcW w:w="2250" w:type="dxa"/>
          </w:tcPr>
          <w:p w14:paraId="4015DD4B" w14:textId="77777777" w:rsidR="00006FAB" w:rsidRDefault="00006FAB" w:rsidP="00FF4551">
            <w:pPr>
              <w:ind w:left="0" w:right="0"/>
            </w:pPr>
            <w:r>
              <w:t>Submission date</w:t>
            </w:r>
          </w:p>
        </w:tc>
        <w:tc>
          <w:tcPr>
            <w:tcW w:w="2250" w:type="dxa"/>
          </w:tcPr>
          <w:p w14:paraId="21D74FFA" w14:textId="77777777" w:rsidR="00006FAB" w:rsidRDefault="00006FAB" w:rsidP="00FF4551">
            <w:pPr>
              <w:ind w:left="0" w:right="0"/>
            </w:pPr>
            <w:r>
              <w:t>Status</w:t>
            </w:r>
          </w:p>
        </w:tc>
        <w:tc>
          <w:tcPr>
            <w:tcW w:w="2970" w:type="dxa"/>
          </w:tcPr>
          <w:p w14:paraId="5C23F978" w14:textId="77777777" w:rsidR="00006FAB" w:rsidRDefault="00006FAB" w:rsidP="00FF4551">
            <w:pPr>
              <w:ind w:left="0" w:right="0"/>
            </w:pPr>
            <w:r>
              <w:t>Approved indications</w:t>
            </w:r>
          </w:p>
        </w:tc>
      </w:tr>
      <w:tr w:rsidR="00FF4551" w14:paraId="2163EF06" w14:textId="77777777" w:rsidTr="00810FF4">
        <w:tc>
          <w:tcPr>
            <w:tcW w:w="1430" w:type="dxa"/>
            <w:vMerge w:val="restart"/>
          </w:tcPr>
          <w:p w14:paraId="377DF070" w14:textId="052D1869" w:rsidR="00C254C2" w:rsidRDefault="00B067EA" w:rsidP="00810FF4">
            <w:pPr>
              <w:ind w:left="0" w:right="0"/>
            </w:pPr>
            <w:r w:rsidRPr="00B067EA">
              <w:t>European Union (EU)</w:t>
            </w:r>
            <w:r w:rsidR="0014758F">
              <w:t>, via</w:t>
            </w:r>
            <w:r w:rsidRPr="00B067EA">
              <w:t xml:space="preserve"> centralised procedure</w:t>
            </w:r>
            <w:r>
              <w:t xml:space="preserve"> </w:t>
            </w:r>
          </w:p>
        </w:tc>
        <w:tc>
          <w:tcPr>
            <w:tcW w:w="2250" w:type="dxa"/>
          </w:tcPr>
          <w:p w14:paraId="757DBA66" w14:textId="17420FC2" w:rsidR="00C254C2" w:rsidRDefault="00C254C2" w:rsidP="0014758F">
            <w:pPr>
              <w:ind w:left="0" w:right="0"/>
            </w:pPr>
            <w:r>
              <w:t>30 November 2016</w:t>
            </w:r>
          </w:p>
        </w:tc>
        <w:tc>
          <w:tcPr>
            <w:tcW w:w="2250" w:type="dxa"/>
          </w:tcPr>
          <w:p w14:paraId="7364C05B" w14:textId="6E6C4371" w:rsidR="00C254C2" w:rsidRDefault="00C254C2" w:rsidP="00FF4551">
            <w:pPr>
              <w:ind w:left="0" w:right="0"/>
            </w:pPr>
            <w:r>
              <w:t>Approved 19</w:t>
            </w:r>
            <w:r w:rsidR="0014758F">
              <w:t> </w:t>
            </w:r>
            <w:r>
              <w:t>February 2018</w:t>
            </w:r>
          </w:p>
        </w:tc>
        <w:tc>
          <w:tcPr>
            <w:tcW w:w="2970" w:type="dxa"/>
          </w:tcPr>
          <w:p w14:paraId="7B345313" w14:textId="4A643DC9" w:rsidR="00C254C2" w:rsidRPr="00C254C2" w:rsidRDefault="00C254C2" w:rsidP="00810FF4">
            <w:pPr>
              <w:ind w:left="0" w:right="0"/>
              <w:rPr>
                <w:i/>
                <w:iCs/>
              </w:rPr>
            </w:pPr>
            <w:r w:rsidRPr="00C254C2">
              <w:rPr>
                <w:i/>
                <w:iCs/>
              </w:rPr>
              <w:t>The treatment of X</w:t>
            </w:r>
            <w:r w:rsidR="0014758F">
              <w:rPr>
                <w:i/>
                <w:iCs/>
              </w:rPr>
              <w:noBreakHyphen/>
            </w:r>
            <w:r w:rsidRPr="00C254C2">
              <w:rPr>
                <w:i/>
                <w:iCs/>
              </w:rPr>
              <w:t xml:space="preserve">linked </w:t>
            </w:r>
            <w:proofErr w:type="spellStart"/>
            <w:r w:rsidRPr="00C254C2">
              <w:rPr>
                <w:i/>
                <w:iCs/>
              </w:rPr>
              <w:t>hypophosphataemia</w:t>
            </w:r>
            <w:proofErr w:type="spellEnd"/>
            <w:r w:rsidRPr="00C254C2">
              <w:rPr>
                <w:i/>
                <w:iCs/>
              </w:rPr>
              <w:t xml:space="preserve"> (XLH) with radiographic evidence of bone disease in children </w:t>
            </w:r>
            <w:r w:rsidR="00A918EF">
              <w:rPr>
                <w:i/>
                <w:iCs/>
              </w:rPr>
              <w:t>one</w:t>
            </w:r>
            <w:r w:rsidRPr="00C254C2">
              <w:rPr>
                <w:i/>
                <w:iCs/>
              </w:rPr>
              <w:t xml:space="preserve"> year of age and older and adolescents with growing skeletons</w:t>
            </w:r>
          </w:p>
        </w:tc>
      </w:tr>
      <w:tr w:rsidR="00FF4551" w14:paraId="2FEB22B4" w14:textId="77777777" w:rsidTr="00810FF4">
        <w:tc>
          <w:tcPr>
            <w:tcW w:w="1430" w:type="dxa"/>
            <w:vMerge/>
          </w:tcPr>
          <w:p w14:paraId="11D57B0B" w14:textId="37472987" w:rsidR="00C254C2" w:rsidRDefault="00C254C2">
            <w:pPr>
              <w:ind w:left="0" w:right="0"/>
            </w:pPr>
          </w:p>
        </w:tc>
        <w:tc>
          <w:tcPr>
            <w:tcW w:w="2250" w:type="dxa"/>
          </w:tcPr>
          <w:p w14:paraId="45DE21DF" w14:textId="6124B08D" w:rsidR="00C254C2" w:rsidRDefault="00C254C2">
            <w:pPr>
              <w:ind w:left="0" w:right="0"/>
            </w:pPr>
            <w:r>
              <w:t>27 August 2019</w:t>
            </w:r>
          </w:p>
        </w:tc>
        <w:tc>
          <w:tcPr>
            <w:tcW w:w="2250" w:type="dxa"/>
          </w:tcPr>
          <w:p w14:paraId="75C64FC9" w14:textId="48DDB501" w:rsidR="00C254C2" w:rsidRDefault="00C254C2" w:rsidP="00810FF4">
            <w:pPr>
              <w:ind w:left="0" w:right="0"/>
            </w:pPr>
            <w:r>
              <w:t>Approved 30</w:t>
            </w:r>
            <w:r w:rsidR="0014758F">
              <w:t> </w:t>
            </w:r>
            <w:r>
              <w:t>September</w:t>
            </w:r>
            <w:r w:rsidR="0014758F">
              <w:t> </w:t>
            </w:r>
            <w:r>
              <w:t>2020</w:t>
            </w:r>
          </w:p>
        </w:tc>
        <w:tc>
          <w:tcPr>
            <w:tcW w:w="2970" w:type="dxa"/>
          </w:tcPr>
          <w:p w14:paraId="53EFC1D0" w14:textId="7CAB80CA" w:rsidR="00C254C2" w:rsidRPr="00C254C2" w:rsidRDefault="00C254C2" w:rsidP="00810FF4">
            <w:pPr>
              <w:ind w:left="0" w:right="0"/>
              <w:rPr>
                <w:i/>
                <w:iCs/>
              </w:rPr>
            </w:pPr>
            <w:r w:rsidRPr="00C254C2">
              <w:rPr>
                <w:i/>
                <w:iCs/>
              </w:rPr>
              <w:t xml:space="preserve">The treatment of XLH, in children and adolescents aged </w:t>
            </w:r>
            <w:r w:rsidR="00A918EF">
              <w:rPr>
                <w:i/>
                <w:iCs/>
              </w:rPr>
              <w:t>one</w:t>
            </w:r>
            <w:r w:rsidRPr="00C254C2">
              <w:rPr>
                <w:i/>
                <w:iCs/>
              </w:rPr>
              <w:t xml:space="preserve"> to 17 years with radiographic evidence of bone disease, and in adults </w:t>
            </w:r>
          </w:p>
        </w:tc>
      </w:tr>
      <w:tr w:rsidR="00FF4551" w14:paraId="21F04FD4" w14:textId="77777777" w:rsidTr="00810FF4">
        <w:tc>
          <w:tcPr>
            <w:tcW w:w="1430" w:type="dxa"/>
            <w:vMerge/>
          </w:tcPr>
          <w:p w14:paraId="34247325" w14:textId="77777777" w:rsidR="00C254C2" w:rsidRDefault="00C254C2" w:rsidP="00810FF4">
            <w:pPr>
              <w:ind w:left="0" w:right="0"/>
            </w:pPr>
          </w:p>
        </w:tc>
        <w:tc>
          <w:tcPr>
            <w:tcW w:w="2250" w:type="dxa"/>
          </w:tcPr>
          <w:p w14:paraId="756228FB" w14:textId="6B54546F" w:rsidR="00C254C2" w:rsidRDefault="00C254C2" w:rsidP="00810FF4">
            <w:pPr>
              <w:ind w:left="0" w:right="0"/>
            </w:pPr>
            <w:r>
              <w:t>17 December 2020</w:t>
            </w:r>
          </w:p>
        </w:tc>
        <w:tc>
          <w:tcPr>
            <w:tcW w:w="2250" w:type="dxa"/>
          </w:tcPr>
          <w:p w14:paraId="51CB1D85" w14:textId="450D93E4" w:rsidR="00C254C2" w:rsidRDefault="0044010F" w:rsidP="00810FF4">
            <w:pPr>
              <w:ind w:left="0" w:right="0"/>
            </w:pPr>
            <w:r>
              <w:t>Under consideration</w:t>
            </w:r>
          </w:p>
        </w:tc>
        <w:tc>
          <w:tcPr>
            <w:tcW w:w="2970" w:type="dxa"/>
          </w:tcPr>
          <w:p w14:paraId="7838465D" w14:textId="1F4BBB6C" w:rsidR="00C254C2" w:rsidRPr="00C254C2" w:rsidRDefault="00C254C2" w:rsidP="00810FF4">
            <w:pPr>
              <w:ind w:left="0" w:right="0"/>
              <w:rPr>
                <w:i/>
                <w:iCs/>
              </w:rPr>
            </w:pPr>
            <w:r w:rsidRPr="00C254C2">
              <w:rPr>
                <w:i/>
                <w:iCs/>
              </w:rPr>
              <w:t xml:space="preserve">The treatment of FGF23-related </w:t>
            </w:r>
            <w:proofErr w:type="spellStart"/>
            <w:r w:rsidRPr="00C254C2">
              <w:rPr>
                <w:i/>
                <w:iCs/>
              </w:rPr>
              <w:t>hypophosphataemia</w:t>
            </w:r>
            <w:proofErr w:type="spellEnd"/>
            <w:r w:rsidRPr="00C254C2">
              <w:rPr>
                <w:i/>
                <w:iCs/>
              </w:rPr>
              <w:t xml:space="preserve"> in tumour-induced </w:t>
            </w:r>
            <w:proofErr w:type="spellStart"/>
            <w:r w:rsidRPr="00C254C2">
              <w:rPr>
                <w:i/>
                <w:iCs/>
              </w:rPr>
              <w:t>osteomalacia</w:t>
            </w:r>
            <w:proofErr w:type="spellEnd"/>
            <w:r w:rsidRPr="00C254C2">
              <w:rPr>
                <w:i/>
                <w:iCs/>
              </w:rPr>
              <w:t xml:space="preserve"> (TIO) associated with </w:t>
            </w:r>
            <w:proofErr w:type="spellStart"/>
            <w:r w:rsidRPr="00C254C2">
              <w:rPr>
                <w:i/>
                <w:iCs/>
              </w:rPr>
              <w:t>phosphaturic</w:t>
            </w:r>
            <w:proofErr w:type="spellEnd"/>
            <w:r w:rsidRPr="00C254C2">
              <w:rPr>
                <w:i/>
                <w:iCs/>
              </w:rPr>
              <w:t xml:space="preserve"> mesenchymal tumours that cannot be curatively resected or localised in patients aged </w:t>
            </w:r>
            <w:r w:rsidR="00A918EF">
              <w:rPr>
                <w:i/>
                <w:iCs/>
              </w:rPr>
              <w:t>one</w:t>
            </w:r>
            <w:r w:rsidRPr="00C254C2">
              <w:rPr>
                <w:i/>
                <w:iCs/>
              </w:rPr>
              <w:t xml:space="preserve"> year and over </w:t>
            </w:r>
          </w:p>
        </w:tc>
      </w:tr>
      <w:tr w:rsidR="00FF4551" w14:paraId="67E17C58" w14:textId="77777777" w:rsidTr="00810FF4">
        <w:tc>
          <w:tcPr>
            <w:tcW w:w="1430" w:type="dxa"/>
            <w:vMerge w:val="restart"/>
          </w:tcPr>
          <w:p w14:paraId="6090A085" w14:textId="110B5EC9" w:rsidR="004D4B6E" w:rsidRDefault="004D4B6E" w:rsidP="00810FF4">
            <w:pPr>
              <w:ind w:left="0" w:right="0"/>
            </w:pPr>
            <w:r>
              <w:t>USA</w:t>
            </w:r>
          </w:p>
        </w:tc>
        <w:tc>
          <w:tcPr>
            <w:tcW w:w="2250" w:type="dxa"/>
          </w:tcPr>
          <w:p w14:paraId="276AFCD6" w14:textId="26920914" w:rsidR="004D4B6E" w:rsidRDefault="004D4B6E" w:rsidP="00810FF4">
            <w:pPr>
              <w:ind w:left="0" w:right="0"/>
            </w:pPr>
            <w:r>
              <w:t>17 August 2017</w:t>
            </w:r>
          </w:p>
        </w:tc>
        <w:tc>
          <w:tcPr>
            <w:tcW w:w="2250" w:type="dxa"/>
          </w:tcPr>
          <w:p w14:paraId="4E727482" w14:textId="3C8759DD" w:rsidR="004D4B6E" w:rsidRDefault="004D4B6E" w:rsidP="00810FF4">
            <w:pPr>
              <w:ind w:left="0" w:right="0"/>
            </w:pPr>
            <w:r>
              <w:t>Approved 17</w:t>
            </w:r>
            <w:r w:rsidR="00FF4551">
              <w:t> </w:t>
            </w:r>
            <w:r>
              <w:t>April</w:t>
            </w:r>
            <w:r w:rsidR="00FF4551">
              <w:t> </w:t>
            </w:r>
            <w:r>
              <w:t>2018</w:t>
            </w:r>
          </w:p>
        </w:tc>
        <w:tc>
          <w:tcPr>
            <w:tcW w:w="2970" w:type="dxa"/>
          </w:tcPr>
          <w:p w14:paraId="17EC861B" w14:textId="41A83C1A" w:rsidR="004D4B6E" w:rsidRPr="00C254C2" w:rsidRDefault="004D4B6E" w:rsidP="00810FF4">
            <w:pPr>
              <w:ind w:left="0" w:right="0"/>
              <w:rPr>
                <w:i/>
                <w:iCs/>
              </w:rPr>
            </w:pPr>
            <w:r w:rsidRPr="00C254C2">
              <w:rPr>
                <w:i/>
                <w:iCs/>
              </w:rPr>
              <w:t xml:space="preserve">The treatment of XLH in adult and paediatric patients </w:t>
            </w:r>
            <w:r w:rsidR="00A918EF">
              <w:rPr>
                <w:i/>
                <w:iCs/>
              </w:rPr>
              <w:t>one</w:t>
            </w:r>
            <w:r w:rsidRPr="00C254C2">
              <w:rPr>
                <w:i/>
                <w:iCs/>
              </w:rPr>
              <w:t xml:space="preserve"> year of age and older</w:t>
            </w:r>
            <w:r>
              <w:rPr>
                <w:i/>
                <w:iCs/>
              </w:rPr>
              <w:t xml:space="preserve"> </w:t>
            </w:r>
          </w:p>
        </w:tc>
      </w:tr>
      <w:tr w:rsidR="00FF4551" w14:paraId="60DDF9B6" w14:textId="77777777" w:rsidTr="00810FF4">
        <w:tc>
          <w:tcPr>
            <w:tcW w:w="1430" w:type="dxa"/>
            <w:vMerge/>
          </w:tcPr>
          <w:p w14:paraId="4B25D1E7" w14:textId="77777777" w:rsidR="004D4B6E" w:rsidRDefault="004D4B6E" w:rsidP="00810FF4">
            <w:pPr>
              <w:ind w:left="0" w:right="0"/>
            </w:pPr>
          </w:p>
        </w:tc>
        <w:tc>
          <w:tcPr>
            <w:tcW w:w="2250" w:type="dxa"/>
          </w:tcPr>
          <w:p w14:paraId="5EFB7124" w14:textId="1BDEBE28" w:rsidR="004D4B6E" w:rsidRPr="00810FF4" w:rsidRDefault="004D4B6E" w:rsidP="00810FF4">
            <w:pPr>
              <w:ind w:left="0" w:right="0"/>
            </w:pPr>
            <w:r w:rsidRPr="00810FF4">
              <w:t>11 December 2018</w:t>
            </w:r>
            <w:r w:rsidR="00FF4551" w:rsidRPr="00810FF4">
              <w:t>;</w:t>
            </w:r>
            <w:r w:rsidR="00907EC4" w:rsidRPr="00810FF4">
              <w:rPr>
                <w:rStyle w:val="FootnoteReference"/>
              </w:rPr>
              <w:footnoteReference w:id="3"/>
            </w:r>
          </w:p>
          <w:p w14:paraId="04F272EC" w14:textId="08BF0ACB" w:rsidR="004D4B6E" w:rsidRDefault="004D4B6E" w:rsidP="00810FF4">
            <w:pPr>
              <w:ind w:left="0" w:right="0"/>
            </w:pPr>
            <w:r w:rsidRPr="00810FF4">
              <w:t>29 March 2019</w:t>
            </w:r>
            <w:r w:rsidR="00FF4551" w:rsidRPr="00810FF4">
              <w:t>;</w:t>
            </w:r>
            <w:r w:rsidR="00907EC4" w:rsidRPr="00810FF4">
              <w:rPr>
                <w:rStyle w:val="FootnoteReference"/>
              </w:rPr>
              <w:footnoteReference w:id="4"/>
            </w:r>
          </w:p>
        </w:tc>
        <w:tc>
          <w:tcPr>
            <w:tcW w:w="2250" w:type="dxa"/>
          </w:tcPr>
          <w:p w14:paraId="642F7FB4" w14:textId="7B786A9A" w:rsidR="004D4B6E" w:rsidRDefault="004D4B6E" w:rsidP="00810FF4">
            <w:pPr>
              <w:ind w:left="0" w:right="0"/>
            </w:pPr>
            <w:r>
              <w:t>Approved 27</w:t>
            </w:r>
            <w:r w:rsidR="00FF4551">
              <w:t> </w:t>
            </w:r>
            <w:r>
              <w:t>September 2019</w:t>
            </w:r>
          </w:p>
        </w:tc>
        <w:tc>
          <w:tcPr>
            <w:tcW w:w="2970" w:type="dxa"/>
          </w:tcPr>
          <w:p w14:paraId="0D431088" w14:textId="6B8D57D1" w:rsidR="004D4B6E" w:rsidRPr="00C254C2" w:rsidRDefault="004D4B6E" w:rsidP="00810FF4">
            <w:pPr>
              <w:ind w:left="0" w:right="0"/>
              <w:rPr>
                <w:i/>
                <w:iCs/>
              </w:rPr>
            </w:pPr>
            <w:r w:rsidRPr="00C254C2">
              <w:rPr>
                <w:i/>
                <w:iCs/>
              </w:rPr>
              <w:t xml:space="preserve">The treatment of XLH in adult and paediatric patients </w:t>
            </w:r>
            <w:r w:rsidR="00A918EF">
              <w:rPr>
                <w:i/>
                <w:iCs/>
              </w:rPr>
              <w:t xml:space="preserve">six </w:t>
            </w:r>
            <w:r w:rsidRPr="00C254C2">
              <w:rPr>
                <w:i/>
                <w:iCs/>
              </w:rPr>
              <w:t>months of age and older</w:t>
            </w:r>
          </w:p>
        </w:tc>
      </w:tr>
      <w:tr w:rsidR="00FF4551" w14:paraId="1FD7A692" w14:textId="77777777" w:rsidTr="00810FF4">
        <w:tc>
          <w:tcPr>
            <w:tcW w:w="1430" w:type="dxa"/>
            <w:vMerge/>
          </w:tcPr>
          <w:p w14:paraId="0BD2FB03" w14:textId="77777777" w:rsidR="004D4B6E" w:rsidRDefault="004D4B6E" w:rsidP="00810FF4">
            <w:pPr>
              <w:ind w:left="0" w:right="0"/>
            </w:pPr>
          </w:p>
        </w:tc>
        <w:tc>
          <w:tcPr>
            <w:tcW w:w="2250" w:type="dxa"/>
          </w:tcPr>
          <w:p w14:paraId="37F46407" w14:textId="3F0D51F5" w:rsidR="004D4B6E" w:rsidRDefault="004D4B6E" w:rsidP="00810FF4">
            <w:pPr>
              <w:ind w:left="0" w:right="0"/>
            </w:pPr>
            <w:r>
              <w:t>18 December 2019</w:t>
            </w:r>
          </w:p>
        </w:tc>
        <w:tc>
          <w:tcPr>
            <w:tcW w:w="2250" w:type="dxa"/>
          </w:tcPr>
          <w:p w14:paraId="35AE3464" w14:textId="78E164EC" w:rsidR="004D4B6E" w:rsidRDefault="004D4B6E" w:rsidP="00810FF4">
            <w:pPr>
              <w:ind w:left="0" w:right="0"/>
            </w:pPr>
            <w:r>
              <w:t>Approved18</w:t>
            </w:r>
            <w:r w:rsidR="00FF4551">
              <w:t> </w:t>
            </w:r>
            <w:r>
              <w:t>June</w:t>
            </w:r>
            <w:r w:rsidR="00FF4551">
              <w:t> </w:t>
            </w:r>
            <w:r>
              <w:t>2020</w:t>
            </w:r>
          </w:p>
        </w:tc>
        <w:tc>
          <w:tcPr>
            <w:tcW w:w="2970" w:type="dxa"/>
          </w:tcPr>
          <w:p w14:paraId="771C9D9E" w14:textId="79E9A1E6" w:rsidR="004D4B6E" w:rsidRPr="00C254C2" w:rsidRDefault="004D4B6E" w:rsidP="00810FF4">
            <w:pPr>
              <w:ind w:left="0" w:right="0"/>
              <w:rPr>
                <w:i/>
                <w:iCs/>
              </w:rPr>
            </w:pPr>
            <w:r w:rsidRPr="004D4B6E">
              <w:rPr>
                <w:i/>
                <w:iCs/>
              </w:rPr>
              <w:t xml:space="preserve">The treatment of FGF23-related hypophosphatemia in TIO associated with </w:t>
            </w:r>
            <w:proofErr w:type="spellStart"/>
            <w:r w:rsidRPr="004D4B6E">
              <w:rPr>
                <w:i/>
                <w:iCs/>
              </w:rPr>
              <w:t>phosphaturic</w:t>
            </w:r>
            <w:proofErr w:type="spellEnd"/>
            <w:r w:rsidRPr="004D4B6E">
              <w:rPr>
                <w:i/>
                <w:iCs/>
              </w:rPr>
              <w:t xml:space="preserve"> mesenchymal tumours that cannot be curatively resected or localised in adult and paediatric patients </w:t>
            </w:r>
            <w:r w:rsidR="00A918EF">
              <w:rPr>
                <w:i/>
                <w:iCs/>
              </w:rPr>
              <w:t>two</w:t>
            </w:r>
            <w:r w:rsidRPr="004D4B6E">
              <w:rPr>
                <w:i/>
                <w:iCs/>
              </w:rPr>
              <w:t xml:space="preserve"> years of age and older</w:t>
            </w:r>
            <w:r>
              <w:rPr>
                <w:i/>
                <w:iCs/>
              </w:rPr>
              <w:t xml:space="preserve"> </w:t>
            </w:r>
          </w:p>
        </w:tc>
      </w:tr>
      <w:tr w:rsidR="00FF4551" w14:paraId="3CF609CE" w14:textId="77777777" w:rsidTr="00810FF4">
        <w:tc>
          <w:tcPr>
            <w:tcW w:w="1430" w:type="dxa"/>
            <w:vMerge w:val="restart"/>
          </w:tcPr>
          <w:p w14:paraId="58A693D8" w14:textId="5779A011" w:rsidR="002E31CB" w:rsidRDefault="002E31CB" w:rsidP="00810FF4">
            <w:pPr>
              <w:ind w:left="0" w:right="0"/>
            </w:pPr>
            <w:r>
              <w:lastRenderedPageBreak/>
              <w:t>Canada</w:t>
            </w:r>
          </w:p>
        </w:tc>
        <w:tc>
          <w:tcPr>
            <w:tcW w:w="2250" w:type="dxa"/>
          </w:tcPr>
          <w:p w14:paraId="0982B497" w14:textId="3A38E962" w:rsidR="002E31CB" w:rsidRDefault="002E31CB" w:rsidP="00810FF4">
            <w:pPr>
              <w:ind w:left="0" w:right="0"/>
            </w:pPr>
            <w:r>
              <w:t>11 May 2018</w:t>
            </w:r>
          </w:p>
        </w:tc>
        <w:tc>
          <w:tcPr>
            <w:tcW w:w="2250" w:type="dxa"/>
          </w:tcPr>
          <w:p w14:paraId="7656C6A4" w14:textId="59E5CDA7" w:rsidR="002E31CB" w:rsidRDefault="002E31CB" w:rsidP="00810FF4">
            <w:pPr>
              <w:ind w:left="0" w:right="0"/>
            </w:pPr>
            <w:r>
              <w:t>Approved 5</w:t>
            </w:r>
            <w:r w:rsidR="00FF4551">
              <w:t> </w:t>
            </w:r>
            <w:r>
              <w:t>December 2018</w:t>
            </w:r>
          </w:p>
        </w:tc>
        <w:tc>
          <w:tcPr>
            <w:tcW w:w="2970" w:type="dxa"/>
          </w:tcPr>
          <w:p w14:paraId="7A0F6DD9" w14:textId="2CAEB15D" w:rsidR="002E31CB" w:rsidRPr="004D4B6E" w:rsidRDefault="002E31CB" w:rsidP="00810FF4">
            <w:pPr>
              <w:ind w:left="0" w:right="0"/>
              <w:rPr>
                <w:i/>
                <w:iCs/>
              </w:rPr>
            </w:pPr>
            <w:r w:rsidRPr="004D4B6E">
              <w:rPr>
                <w:i/>
                <w:iCs/>
              </w:rPr>
              <w:t xml:space="preserve">The treatment of XLH in </w:t>
            </w:r>
            <w:bookmarkStart w:id="22" w:name="_Hlk92356608"/>
            <w:r w:rsidRPr="004D4B6E">
              <w:rPr>
                <w:i/>
                <w:iCs/>
              </w:rPr>
              <w:t xml:space="preserve">adult and paediatric patients </w:t>
            </w:r>
            <w:r w:rsidR="00A918EF">
              <w:rPr>
                <w:i/>
                <w:iCs/>
              </w:rPr>
              <w:t>one</w:t>
            </w:r>
            <w:r w:rsidRPr="004D4B6E">
              <w:rPr>
                <w:i/>
                <w:iCs/>
              </w:rPr>
              <w:t xml:space="preserve"> year of age and older</w:t>
            </w:r>
            <w:bookmarkEnd w:id="22"/>
          </w:p>
        </w:tc>
      </w:tr>
      <w:tr w:rsidR="00FF4551" w14:paraId="6598A83E" w14:textId="77777777" w:rsidTr="00810FF4">
        <w:tc>
          <w:tcPr>
            <w:tcW w:w="1430" w:type="dxa"/>
            <w:vMerge/>
          </w:tcPr>
          <w:p w14:paraId="6ED34678" w14:textId="77777777" w:rsidR="002E31CB" w:rsidRDefault="002E31CB" w:rsidP="00810FF4">
            <w:pPr>
              <w:ind w:left="0" w:right="0"/>
            </w:pPr>
          </w:p>
        </w:tc>
        <w:tc>
          <w:tcPr>
            <w:tcW w:w="2250" w:type="dxa"/>
          </w:tcPr>
          <w:p w14:paraId="3A4358B7" w14:textId="0F0EA5E8" w:rsidR="002E31CB" w:rsidRDefault="002E31CB" w:rsidP="00810FF4">
            <w:pPr>
              <w:ind w:left="0" w:right="0"/>
            </w:pPr>
            <w:r>
              <w:t>28 June 2019</w:t>
            </w:r>
          </w:p>
        </w:tc>
        <w:tc>
          <w:tcPr>
            <w:tcW w:w="2250" w:type="dxa"/>
          </w:tcPr>
          <w:p w14:paraId="44AF2658" w14:textId="3EF329C9" w:rsidR="002E31CB" w:rsidRDefault="002E31CB" w:rsidP="00810FF4">
            <w:pPr>
              <w:ind w:left="0" w:right="0"/>
            </w:pPr>
            <w:r>
              <w:t>Approved16</w:t>
            </w:r>
            <w:r w:rsidR="00FF4551">
              <w:t> </w:t>
            </w:r>
            <w:r>
              <w:t>June</w:t>
            </w:r>
            <w:r w:rsidR="00FF4551">
              <w:t> </w:t>
            </w:r>
            <w:r>
              <w:t>2020</w:t>
            </w:r>
          </w:p>
        </w:tc>
        <w:tc>
          <w:tcPr>
            <w:tcW w:w="2970" w:type="dxa"/>
          </w:tcPr>
          <w:p w14:paraId="0E5ECAD9" w14:textId="764F5680" w:rsidR="002E31CB" w:rsidRPr="004D4B6E" w:rsidRDefault="002E31CB" w:rsidP="00810FF4">
            <w:pPr>
              <w:ind w:left="0" w:right="0"/>
              <w:rPr>
                <w:i/>
                <w:iCs/>
              </w:rPr>
            </w:pPr>
            <w:r w:rsidRPr="004D4B6E">
              <w:rPr>
                <w:i/>
                <w:iCs/>
              </w:rPr>
              <w:t xml:space="preserve">The treatment of XLH in adult and paediatric patients </w:t>
            </w:r>
            <w:r w:rsidR="00A918EF">
              <w:rPr>
                <w:i/>
                <w:iCs/>
              </w:rPr>
              <w:t>six</w:t>
            </w:r>
            <w:r w:rsidRPr="004D4B6E">
              <w:rPr>
                <w:i/>
                <w:iCs/>
              </w:rPr>
              <w:t xml:space="preserve"> months of age and older</w:t>
            </w:r>
            <w:r>
              <w:rPr>
                <w:i/>
                <w:iCs/>
              </w:rPr>
              <w:t xml:space="preserve"> </w:t>
            </w:r>
          </w:p>
        </w:tc>
      </w:tr>
      <w:tr w:rsidR="00FF4551" w14:paraId="72DB4820" w14:textId="77777777" w:rsidTr="00810FF4">
        <w:tc>
          <w:tcPr>
            <w:tcW w:w="1430" w:type="dxa"/>
            <w:vMerge/>
          </w:tcPr>
          <w:p w14:paraId="441CC472" w14:textId="77777777" w:rsidR="002E31CB" w:rsidRDefault="002E31CB" w:rsidP="00810FF4">
            <w:pPr>
              <w:ind w:left="0" w:right="0"/>
            </w:pPr>
          </w:p>
        </w:tc>
        <w:tc>
          <w:tcPr>
            <w:tcW w:w="2250" w:type="dxa"/>
          </w:tcPr>
          <w:p w14:paraId="1EA924D4" w14:textId="0297B971" w:rsidR="002E31CB" w:rsidRDefault="002E31CB" w:rsidP="00810FF4">
            <w:pPr>
              <w:ind w:left="0" w:right="0"/>
            </w:pPr>
            <w:r>
              <w:t xml:space="preserve">1 February </w:t>
            </w:r>
            <w:r w:rsidR="00610182">
              <w:t>2021</w:t>
            </w:r>
          </w:p>
        </w:tc>
        <w:tc>
          <w:tcPr>
            <w:tcW w:w="2250" w:type="dxa"/>
          </w:tcPr>
          <w:p w14:paraId="59F6A391" w14:textId="34EF66A6" w:rsidR="002E31CB" w:rsidRDefault="00610182" w:rsidP="00810FF4">
            <w:pPr>
              <w:ind w:left="0" w:right="0"/>
            </w:pPr>
            <w:r>
              <w:t>Under consideration</w:t>
            </w:r>
          </w:p>
        </w:tc>
        <w:tc>
          <w:tcPr>
            <w:tcW w:w="2970" w:type="dxa"/>
          </w:tcPr>
          <w:p w14:paraId="65EDE79C" w14:textId="720ACB03" w:rsidR="002E31CB" w:rsidRPr="004D4B6E" w:rsidRDefault="002E31CB" w:rsidP="00810FF4">
            <w:pPr>
              <w:ind w:left="0" w:right="0"/>
              <w:rPr>
                <w:i/>
                <w:iCs/>
              </w:rPr>
            </w:pPr>
            <w:r w:rsidRPr="00FA5A11">
              <w:rPr>
                <w:i/>
                <w:iCs/>
              </w:rPr>
              <w:t xml:space="preserve">The treatment of FGF23-related </w:t>
            </w:r>
            <w:proofErr w:type="spellStart"/>
            <w:r w:rsidRPr="00FA5A11">
              <w:rPr>
                <w:i/>
                <w:iCs/>
              </w:rPr>
              <w:t>hypophosphataemia</w:t>
            </w:r>
            <w:proofErr w:type="spellEnd"/>
            <w:r w:rsidRPr="00FA5A11">
              <w:rPr>
                <w:i/>
                <w:iCs/>
              </w:rPr>
              <w:t xml:space="preserve"> in TIO associated with tumours that cannot be curatively resected or localised in adult and paediatric patients </w:t>
            </w:r>
            <w:r w:rsidR="00A918EF">
              <w:rPr>
                <w:i/>
                <w:iCs/>
              </w:rPr>
              <w:t>one</w:t>
            </w:r>
            <w:r w:rsidRPr="00FA5A11">
              <w:rPr>
                <w:i/>
                <w:iCs/>
              </w:rPr>
              <w:t xml:space="preserve"> year of age and older</w:t>
            </w:r>
            <w:r>
              <w:rPr>
                <w:i/>
                <w:iCs/>
              </w:rPr>
              <w:t xml:space="preserve"> </w:t>
            </w:r>
          </w:p>
        </w:tc>
      </w:tr>
      <w:tr w:rsidR="00FF4551" w14:paraId="27EA4342" w14:textId="77777777" w:rsidTr="00810FF4">
        <w:tc>
          <w:tcPr>
            <w:tcW w:w="1430" w:type="dxa"/>
          </w:tcPr>
          <w:p w14:paraId="23469D4D" w14:textId="17645363" w:rsidR="002E31CB" w:rsidRDefault="002E31CB" w:rsidP="00810FF4">
            <w:pPr>
              <w:ind w:left="0" w:right="0"/>
            </w:pPr>
            <w:r>
              <w:t>Japan</w:t>
            </w:r>
          </w:p>
        </w:tc>
        <w:tc>
          <w:tcPr>
            <w:tcW w:w="2250" w:type="dxa"/>
          </w:tcPr>
          <w:p w14:paraId="670D4C24" w14:textId="145CAAFC" w:rsidR="002E31CB" w:rsidRDefault="002E31CB" w:rsidP="00810FF4">
            <w:pPr>
              <w:ind w:left="0" w:right="0"/>
            </w:pPr>
            <w:r>
              <w:t>7 January 2019</w:t>
            </w:r>
          </w:p>
        </w:tc>
        <w:tc>
          <w:tcPr>
            <w:tcW w:w="2250" w:type="dxa"/>
          </w:tcPr>
          <w:p w14:paraId="042EF1A0" w14:textId="5915BE4D" w:rsidR="002E31CB" w:rsidRDefault="002E31CB" w:rsidP="00810FF4">
            <w:pPr>
              <w:ind w:left="0" w:right="0"/>
            </w:pPr>
            <w:r>
              <w:t>Approved</w:t>
            </w:r>
            <w:r w:rsidR="00FF4551">
              <w:t xml:space="preserve"> </w:t>
            </w:r>
            <w:r>
              <w:t>20</w:t>
            </w:r>
            <w:r w:rsidR="00FF4551">
              <w:t> </w:t>
            </w:r>
            <w:r>
              <w:t>September 2019</w:t>
            </w:r>
          </w:p>
        </w:tc>
        <w:tc>
          <w:tcPr>
            <w:tcW w:w="2970" w:type="dxa"/>
          </w:tcPr>
          <w:p w14:paraId="17F833DC" w14:textId="050FFBA2" w:rsidR="002E31CB" w:rsidRPr="002E31CB" w:rsidRDefault="002E31CB" w:rsidP="00810FF4">
            <w:pPr>
              <w:ind w:left="0" w:right="0"/>
              <w:rPr>
                <w:i/>
                <w:iCs/>
              </w:rPr>
            </w:pPr>
            <w:r w:rsidRPr="002E31CB">
              <w:rPr>
                <w:i/>
                <w:iCs/>
              </w:rPr>
              <w:t xml:space="preserve">FGF23-related </w:t>
            </w:r>
            <w:proofErr w:type="spellStart"/>
            <w:r w:rsidRPr="002E31CB">
              <w:rPr>
                <w:i/>
                <w:iCs/>
              </w:rPr>
              <w:t>hypophosphataemic</w:t>
            </w:r>
            <w:proofErr w:type="spellEnd"/>
            <w:r w:rsidRPr="002E31CB">
              <w:rPr>
                <w:i/>
                <w:iCs/>
              </w:rPr>
              <w:t xml:space="preserve"> rickets and </w:t>
            </w:r>
            <w:proofErr w:type="spellStart"/>
            <w:r w:rsidRPr="002E31CB">
              <w:rPr>
                <w:i/>
                <w:iCs/>
              </w:rPr>
              <w:t>osteomalacia</w:t>
            </w:r>
            <w:proofErr w:type="spellEnd"/>
            <w:r w:rsidRPr="002E31CB">
              <w:rPr>
                <w:i/>
                <w:iCs/>
              </w:rPr>
              <w:t xml:space="preserve"> </w:t>
            </w:r>
          </w:p>
        </w:tc>
      </w:tr>
      <w:tr w:rsidR="00FF4551" w14:paraId="2439E318" w14:textId="77777777" w:rsidTr="00810FF4">
        <w:tc>
          <w:tcPr>
            <w:tcW w:w="1430" w:type="dxa"/>
          </w:tcPr>
          <w:p w14:paraId="63228AC5" w14:textId="74D7A76A" w:rsidR="002E31CB" w:rsidRDefault="002E31CB" w:rsidP="00810FF4">
            <w:pPr>
              <w:ind w:left="0" w:right="0"/>
            </w:pPr>
            <w:r>
              <w:t>Switzerland</w:t>
            </w:r>
          </w:p>
        </w:tc>
        <w:tc>
          <w:tcPr>
            <w:tcW w:w="2250" w:type="dxa"/>
          </w:tcPr>
          <w:p w14:paraId="3F329350" w14:textId="3382963D" w:rsidR="002E31CB" w:rsidRDefault="002E31CB" w:rsidP="00810FF4">
            <w:pPr>
              <w:ind w:left="0" w:right="0"/>
            </w:pPr>
            <w:r>
              <w:t>31 August 2018</w:t>
            </w:r>
          </w:p>
        </w:tc>
        <w:tc>
          <w:tcPr>
            <w:tcW w:w="2250" w:type="dxa"/>
          </w:tcPr>
          <w:p w14:paraId="124A458C" w14:textId="5254763C" w:rsidR="002E31CB" w:rsidRDefault="002E31CB" w:rsidP="00810FF4">
            <w:pPr>
              <w:ind w:left="0" w:right="0"/>
            </w:pPr>
            <w:r>
              <w:t>Approved20</w:t>
            </w:r>
            <w:r w:rsidR="00FF4551">
              <w:t> </w:t>
            </w:r>
            <w:r>
              <w:t>January 2020</w:t>
            </w:r>
          </w:p>
        </w:tc>
        <w:tc>
          <w:tcPr>
            <w:tcW w:w="2970" w:type="dxa"/>
          </w:tcPr>
          <w:p w14:paraId="465ACB66" w14:textId="6A910819" w:rsidR="002E31CB" w:rsidRPr="002E31CB" w:rsidRDefault="002E31CB" w:rsidP="00810FF4">
            <w:pPr>
              <w:ind w:left="0" w:right="0"/>
              <w:rPr>
                <w:i/>
                <w:iCs/>
              </w:rPr>
            </w:pPr>
            <w:r w:rsidRPr="002E31CB">
              <w:rPr>
                <w:i/>
                <w:iCs/>
              </w:rPr>
              <w:t xml:space="preserve">The treatment of XLH in adults, </w:t>
            </w:r>
            <w:proofErr w:type="gramStart"/>
            <w:r w:rsidRPr="002E31CB">
              <w:rPr>
                <w:i/>
                <w:iCs/>
              </w:rPr>
              <w:t>adolescents</w:t>
            </w:r>
            <w:proofErr w:type="gramEnd"/>
            <w:r w:rsidRPr="002E31CB">
              <w:rPr>
                <w:i/>
                <w:iCs/>
              </w:rPr>
              <w:t xml:space="preserve"> and children </w:t>
            </w:r>
            <w:r w:rsidR="00A918EF">
              <w:rPr>
                <w:i/>
                <w:iCs/>
              </w:rPr>
              <w:t>one</w:t>
            </w:r>
            <w:r w:rsidRPr="002E31CB">
              <w:rPr>
                <w:i/>
                <w:iCs/>
              </w:rPr>
              <w:t xml:space="preserve"> year of age and older </w:t>
            </w:r>
          </w:p>
        </w:tc>
      </w:tr>
      <w:tr w:rsidR="00FF4551" w14:paraId="20450171" w14:textId="77777777" w:rsidTr="00810FF4">
        <w:tc>
          <w:tcPr>
            <w:tcW w:w="1430" w:type="dxa"/>
          </w:tcPr>
          <w:p w14:paraId="39C75F79" w14:textId="4BE0BBB8" w:rsidR="002E31CB" w:rsidRDefault="002E31CB" w:rsidP="00810FF4">
            <w:pPr>
              <w:ind w:left="0" w:right="0"/>
            </w:pPr>
            <w:r>
              <w:t>Singapore</w:t>
            </w:r>
          </w:p>
        </w:tc>
        <w:tc>
          <w:tcPr>
            <w:tcW w:w="2250" w:type="dxa"/>
          </w:tcPr>
          <w:p w14:paraId="30A67163" w14:textId="535CDE58" w:rsidR="002E31CB" w:rsidRDefault="002E31CB" w:rsidP="00810FF4">
            <w:pPr>
              <w:ind w:left="0" w:right="0"/>
            </w:pPr>
            <w:r>
              <w:t>24 September 2019</w:t>
            </w:r>
          </w:p>
        </w:tc>
        <w:tc>
          <w:tcPr>
            <w:tcW w:w="2250" w:type="dxa"/>
          </w:tcPr>
          <w:p w14:paraId="7C58A0ED" w14:textId="5F41B975" w:rsidR="002E31CB" w:rsidRDefault="00610182" w:rsidP="00810FF4">
            <w:pPr>
              <w:ind w:left="0" w:right="0"/>
            </w:pPr>
            <w:r>
              <w:t>Under consideration</w:t>
            </w:r>
          </w:p>
        </w:tc>
        <w:tc>
          <w:tcPr>
            <w:tcW w:w="2970" w:type="dxa"/>
          </w:tcPr>
          <w:p w14:paraId="6F22AC9D" w14:textId="341B25F2" w:rsidR="002E31CB" w:rsidRPr="002E31CB" w:rsidRDefault="002E31CB" w:rsidP="00810FF4">
            <w:pPr>
              <w:ind w:left="0" w:right="0"/>
              <w:rPr>
                <w:i/>
                <w:iCs/>
              </w:rPr>
            </w:pPr>
            <w:r w:rsidRPr="002E31CB">
              <w:rPr>
                <w:i/>
                <w:iCs/>
              </w:rPr>
              <w:t xml:space="preserve">The treatment of XLH in adult and paediatric patients </w:t>
            </w:r>
            <w:r w:rsidR="00A918EF">
              <w:rPr>
                <w:i/>
                <w:iCs/>
              </w:rPr>
              <w:t>one</w:t>
            </w:r>
            <w:r w:rsidRPr="002E31CB">
              <w:rPr>
                <w:i/>
                <w:iCs/>
              </w:rPr>
              <w:t xml:space="preserve"> year of age and older </w:t>
            </w:r>
          </w:p>
        </w:tc>
      </w:tr>
    </w:tbl>
    <w:p w14:paraId="1D063344" w14:textId="295A8902" w:rsidR="00500337" w:rsidRDefault="00500337" w:rsidP="00500337">
      <w:pPr>
        <w:pStyle w:val="Heading2"/>
      </w:pPr>
      <w:bookmarkStart w:id="23" w:name="_Toc504480011"/>
      <w:bookmarkStart w:id="24" w:name="_Toc107402933"/>
      <w:bookmarkStart w:id="25" w:name="_Toc247691506"/>
      <w:bookmarkStart w:id="26" w:name="_Toc314842487"/>
      <w:bookmarkEnd w:id="19"/>
      <w:bookmarkEnd w:id="20"/>
      <w:r>
        <w:t>Registration timeline</w:t>
      </w:r>
      <w:bookmarkEnd w:id="23"/>
      <w:bookmarkEnd w:id="24"/>
    </w:p>
    <w:p w14:paraId="11E97DFD" w14:textId="77777777" w:rsidR="00500337" w:rsidRDefault="00500337" w:rsidP="00500337">
      <w:r>
        <w:t xml:space="preserve">The following table captures the key steps and dates for this </w:t>
      </w:r>
      <w:proofErr w:type="gramStart"/>
      <w:r>
        <w:t>application</w:t>
      </w:r>
      <w:proofErr w:type="gramEnd"/>
      <w:r>
        <w:t xml:space="preserve"> and which are detailed and discussed in this AusPAR.</w:t>
      </w:r>
    </w:p>
    <w:p w14:paraId="09B80A86" w14:textId="2870307F" w:rsidR="00500337" w:rsidRDefault="009A6538" w:rsidP="00C232F5">
      <w:pPr>
        <w:pStyle w:val="TableTitle"/>
        <w:pageBreakBefore/>
      </w:pPr>
      <w:r>
        <w:lastRenderedPageBreak/>
        <w:t xml:space="preserve">Table </w:t>
      </w:r>
      <w:r>
        <w:fldChar w:fldCharType="begin"/>
      </w:r>
      <w:r>
        <w:instrText>SEQ Table \* ARABIC</w:instrText>
      </w:r>
      <w:r>
        <w:fldChar w:fldCharType="separate"/>
      </w:r>
      <w:r w:rsidR="00604074">
        <w:rPr>
          <w:noProof/>
        </w:rPr>
        <w:t>2</w:t>
      </w:r>
      <w:r>
        <w:fldChar w:fldCharType="end"/>
      </w:r>
      <w:r>
        <w:t xml:space="preserve">: </w:t>
      </w:r>
      <w:r w:rsidR="006A58A8" w:rsidRPr="006A58A8">
        <w:t>Timeline for Submission PM-20</w:t>
      </w:r>
      <w:r w:rsidR="00324E45">
        <w:t>2</w:t>
      </w:r>
      <w:r w:rsidR="00FB0F81">
        <w:t>0</w:t>
      </w:r>
      <w:r w:rsidR="006A58A8" w:rsidRPr="006A58A8">
        <w:t>-</w:t>
      </w:r>
      <w:r w:rsidR="00FB0F81">
        <w:t>03892</w:t>
      </w:r>
      <w:r w:rsidR="006A58A8" w:rsidRPr="006A58A8">
        <w:t>-1-</w:t>
      </w:r>
      <w:r w:rsidR="00FB0F81">
        <w:t>5</w:t>
      </w:r>
    </w:p>
    <w:tbl>
      <w:tblPr>
        <w:tblStyle w:val="TableTGAblue"/>
        <w:tblW w:w="0" w:type="auto"/>
        <w:tblLook w:val="04A0" w:firstRow="1" w:lastRow="0" w:firstColumn="1" w:lastColumn="0" w:noHBand="0" w:noVBand="1"/>
      </w:tblPr>
      <w:tblGrid>
        <w:gridCol w:w="5807"/>
        <w:gridCol w:w="2687"/>
      </w:tblGrid>
      <w:tr w:rsidR="00500337" w14:paraId="7F4A77BD" w14:textId="77777777" w:rsidTr="00C232F5">
        <w:trPr>
          <w:cnfStyle w:val="100000000000" w:firstRow="1" w:lastRow="0" w:firstColumn="0" w:lastColumn="0" w:oddVBand="0" w:evenVBand="0" w:oddHBand="0" w:evenHBand="0" w:firstRowFirstColumn="0" w:firstRowLastColumn="0" w:lastRowFirstColumn="0" w:lastRowLastColumn="0"/>
          <w:cantSplit/>
        </w:trPr>
        <w:tc>
          <w:tcPr>
            <w:tcW w:w="5807" w:type="dxa"/>
            <w:tcBorders>
              <w:top w:val="single" w:sz="4" w:space="0" w:color="auto"/>
              <w:left w:val="single" w:sz="4" w:space="0" w:color="auto"/>
              <w:bottom w:val="single" w:sz="4" w:space="0" w:color="auto"/>
              <w:right w:val="single" w:sz="4" w:space="0" w:color="auto"/>
            </w:tcBorders>
          </w:tcPr>
          <w:p w14:paraId="74786941" w14:textId="77777777" w:rsidR="00500337" w:rsidRDefault="00500337" w:rsidP="00C232F5">
            <w:r>
              <w:t>Description</w:t>
            </w:r>
          </w:p>
        </w:tc>
        <w:tc>
          <w:tcPr>
            <w:tcW w:w="2687" w:type="dxa"/>
            <w:tcBorders>
              <w:top w:val="single" w:sz="4" w:space="0" w:color="auto"/>
              <w:left w:val="single" w:sz="4" w:space="0" w:color="auto"/>
              <w:bottom w:val="single" w:sz="4" w:space="0" w:color="auto"/>
              <w:right w:val="single" w:sz="4" w:space="0" w:color="auto"/>
            </w:tcBorders>
          </w:tcPr>
          <w:p w14:paraId="4A6AD3C1" w14:textId="77777777" w:rsidR="00500337" w:rsidRDefault="00500337" w:rsidP="00C232F5">
            <w:r>
              <w:t>Date</w:t>
            </w:r>
          </w:p>
        </w:tc>
      </w:tr>
      <w:tr w:rsidR="00500337" w14:paraId="0FCED94F" w14:textId="77777777" w:rsidTr="00C232F5">
        <w:tc>
          <w:tcPr>
            <w:tcW w:w="5807" w:type="dxa"/>
            <w:tcBorders>
              <w:top w:val="single" w:sz="4" w:space="0" w:color="auto"/>
            </w:tcBorders>
          </w:tcPr>
          <w:p w14:paraId="4B670C20" w14:textId="66223396" w:rsidR="00500337" w:rsidRDefault="00500337" w:rsidP="00C232F5">
            <w:r>
              <w:t>P</w:t>
            </w:r>
            <w:r w:rsidR="002E7DE3">
              <w:t>riority De</w:t>
            </w:r>
            <w:r w:rsidR="003D0869">
              <w:t>termination</w:t>
            </w:r>
            <w:r w:rsidR="00B3198D">
              <w:t>;</w:t>
            </w:r>
            <w:r w:rsidR="003D0869">
              <w:rPr>
                <w:rStyle w:val="FootnoteReference"/>
              </w:rPr>
              <w:footnoteReference w:id="5"/>
            </w:r>
          </w:p>
          <w:p w14:paraId="66E08BB0" w14:textId="4921EAC4" w:rsidR="002E7DE3" w:rsidRDefault="002E7DE3" w:rsidP="00C232F5">
            <w:r>
              <w:t>Orphan Designation</w:t>
            </w:r>
            <w:r w:rsidR="00B3198D">
              <w:t>;</w:t>
            </w:r>
            <w:r w:rsidR="003D0869">
              <w:rPr>
                <w:rStyle w:val="FootnoteReference"/>
              </w:rPr>
              <w:footnoteReference w:id="6"/>
            </w:r>
          </w:p>
        </w:tc>
        <w:tc>
          <w:tcPr>
            <w:tcW w:w="2687" w:type="dxa"/>
            <w:tcBorders>
              <w:top w:val="single" w:sz="4" w:space="0" w:color="auto"/>
            </w:tcBorders>
          </w:tcPr>
          <w:p w14:paraId="7144674B" w14:textId="77777777" w:rsidR="00500337" w:rsidRDefault="002E7DE3" w:rsidP="00C232F5">
            <w:r>
              <w:t>16 July 2020</w:t>
            </w:r>
          </w:p>
          <w:p w14:paraId="4F5BCCDB" w14:textId="0FAE4428" w:rsidR="002E7DE3" w:rsidRDefault="00AD5B7A" w:rsidP="00C232F5">
            <w:r>
              <w:t>16 July 2020</w:t>
            </w:r>
          </w:p>
        </w:tc>
      </w:tr>
      <w:tr w:rsidR="00500337" w14:paraId="664FB10D" w14:textId="77777777" w:rsidTr="00C232F5">
        <w:tc>
          <w:tcPr>
            <w:tcW w:w="5807" w:type="dxa"/>
          </w:tcPr>
          <w:p w14:paraId="0D7366D2" w14:textId="77777777" w:rsidR="00500337" w:rsidRDefault="00500337" w:rsidP="00C232F5">
            <w:r>
              <w:t>Submission dossier accepted and first round evaluation commenced</w:t>
            </w:r>
          </w:p>
        </w:tc>
        <w:tc>
          <w:tcPr>
            <w:tcW w:w="2687" w:type="dxa"/>
          </w:tcPr>
          <w:p w14:paraId="1F3C45D5" w14:textId="661D3AA0" w:rsidR="00500337" w:rsidRDefault="00AD5B7A" w:rsidP="00C232F5">
            <w:r>
              <w:t>7 September 2020</w:t>
            </w:r>
          </w:p>
        </w:tc>
      </w:tr>
      <w:tr w:rsidR="00500337" w14:paraId="0164C620" w14:textId="77777777" w:rsidTr="00C232F5">
        <w:tc>
          <w:tcPr>
            <w:tcW w:w="5807" w:type="dxa"/>
          </w:tcPr>
          <w:p w14:paraId="1A48342A" w14:textId="77777777" w:rsidR="00500337" w:rsidRDefault="00500337" w:rsidP="00C232F5">
            <w:r>
              <w:t>Evaluation completed</w:t>
            </w:r>
          </w:p>
        </w:tc>
        <w:tc>
          <w:tcPr>
            <w:tcW w:w="2687" w:type="dxa"/>
          </w:tcPr>
          <w:p w14:paraId="5F05ED12" w14:textId="47139FEE" w:rsidR="00500337" w:rsidRDefault="00AD5B7A" w:rsidP="00C232F5">
            <w:r>
              <w:t>19 February 2021</w:t>
            </w:r>
          </w:p>
        </w:tc>
      </w:tr>
      <w:tr w:rsidR="00500337" w14:paraId="7A90329A" w14:textId="77777777" w:rsidTr="00C232F5">
        <w:tc>
          <w:tcPr>
            <w:tcW w:w="5807" w:type="dxa"/>
          </w:tcPr>
          <w:p w14:paraId="12117366" w14:textId="7E23050E" w:rsidR="00500337" w:rsidRDefault="00324E45" w:rsidP="00C232F5">
            <w:r>
              <w:t xml:space="preserve">Delegate’s Overall benefit-risk assessment </w:t>
            </w:r>
            <w:r w:rsidRPr="00AD5B7A">
              <w:t>and request for Advisory Committee advice</w:t>
            </w:r>
          </w:p>
        </w:tc>
        <w:tc>
          <w:tcPr>
            <w:tcW w:w="2687" w:type="dxa"/>
          </w:tcPr>
          <w:p w14:paraId="4284C541" w14:textId="5D3450B8" w:rsidR="00500337" w:rsidRDefault="00AD5B7A" w:rsidP="00C232F5">
            <w:r>
              <w:t>9 March 2021</w:t>
            </w:r>
          </w:p>
        </w:tc>
      </w:tr>
      <w:tr w:rsidR="00500337" w14:paraId="583C4E49" w14:textId="77777777" w:rsidTr="00C232F5">
        <w:tc>
          <w:tcPr>
            <w:tcW w:w="5807" w:type="dxa"/>
          </w:tcPr>
          <w:p w14:paraId="08F23A54" w14:textId="77777777" w:rsidR="00500337" w:rsidRDefault="00500337" w:rsidP="00C232F5">
            <w:r>
              <w:t>Sponsor’s pre-Advisory Committee response</w:t>
            </w:r>
          </w:p>
        </w:tc>
        <w:tc>
          <w:tcPr>
            <w:tcW w:w="2687" w:type="dxa"/>
          </w:tcPr>
          <w:p w14:paraId="4FB47012" w14:textId="12CC59C7" w:rsidR="00500337" w:rsidRDefault="00AD5B7A" w:rsidP="00C232F5">
            <w:r>
              <w:t>24 March 2021</w:t>
            </w:r>
          </w:p>
        </w:tc>
      </w:tr>
      <w:tr w:rsidR="00500337" w14:paraId="02B811F6" w14:textId="77777777" w:rsidTr="00C232F5">
        <w:tc>
          <w:tcPr>
            <w:tcW w:w="5807" w:type="dxa"/>
          </w:tcPr>
          <w:p w14:paraId="1C942801" w14:textId="77777777" w:rsidR="00500337" w:rsidRDefault="00500337" w:rsidP="00C232F5">
            <w:r>
              <w:t>Advisory Committee meeting</w:t>
            </w:r>
          </w:p>
        </w:tc>
        <w:tc>
          <w:tcPr>
            <w:tcW w:w="2687" w:type="dxa"/>
          </w:tcPr>
          <w:p w14:paraId="7ACF6DE6" w14:textId="292FEBA3" w:rsidR="00500337" w:rsidRDefault="00AD5B7A" w:rsidP="00C232F5">
            <w:r>
              <w:t>8 and 9 April 2021</w:t>
            </w:r>
          </w:p>
        </w:tc>
      </w:tr>
      <w:tr w:rsidR="00500337" w14:paraId="3BCEA387" w14:textId="77777777" w:rsidTr="00C232F5">
        <w:tc>
          <w:tcPr>
            <w:tcW w:w="5807" w:type="dxa"/>
          </w:tcPr>
          <w:p w14:paraId="6A95B227" w14:textId="77777777" w:rsidR="00500337" w:rsidRDefault="00500337" w:rsidP="00C232F5">
            <w:r>
              <w:t>Registration decision (Outcome)</w:t>
            </w:r>
          </w:p>
        </w:tc>
        <w:tc>
          <w:tcPr>
            <w:tcW w:w="2687" w:type="dxa"/>
          </w:tcPr>
          <w:p w14:paraId="0BE06D52" w14:textId="37FEDB62" w:rsidR="00500337" w:rsidRDefault="00AD5B7A" w:rsidP="00C232F5">
            <w:r>
              <w:t>3 September 2021</w:t>
            </w:r>
          </w:p>
        </w:tc>
      </w:tr>
      <w:tr w:rsidR="00500337" w14:paraId="386ABED2" w14:textId="77777777" w:rsidTr="00C232F5">
        <w:tc>
          <w:tcPr>
            <w:tcW w:w="5807" w:type="dxa"/>
          </w:tcPr>
          <w:p w14:paraId="0164497D" w14:textId="77777777" w:rsidR="00500337" w:rsidRDefault="00500337" w:rsidP="00C232F5">
            <w:r>
              <w:t xml:space="preserve">Completion of administrative activities and registration on </w:t>
            </w:r>
            <w:r w:rsidR="00006FAB">
              <w:t xml:space="preserve">the </w:t>
            </w:r>
            <w:r>
              <w:t>ARTG</w:t>
            </w:r>
          </w:p>
        </w:tc>
        <w:tc>
          <w:tcPr>
            <w:tcW w:w="2687" w:type="dxa"/>
          </w:tcPr>
          <w:p w14:paraId="7F63F2E9" w14:textId="06F1937B" w:rsidR="00500337" w:rsidRDefault="00AD5B7A" w:rsidP="00C232F5">
            <w:r>
              <w:t>10 September 2021</w:t>
            </w:r>
          </w:p>
        </w:tc>
      </w:tr>
      <w:tr w:rsidR="00500337" w14:paraId="7C65ED6D" w14:textId="77777777" w:rsidTr="00C232F5">
        <w:tc>
          <w:tcPr>
            <w:tcW w:w="5807" w:type="dxa"/>
          </w:tcPr>
          <w:p w14:paraId="72274C23" w14:textId="77777777" w:rsidR="00500337" w:rsidRDefault="00500337" w:rsidP="00C232F5">
            <w:r>
              <w:t>Number of working days from submission dossier acceptance to registration decision*</w:t>
            </w:r>
          </w:p>
        </w:tc>
        <w:tc>
          <w:tcPr>
            <w:tcW w:w="2687" w:type="dxa"/>
          </w:tcPr>
          <w:p w14:paraId="68A0D05A" w14:textId="05711CD7" w:rsidR="00500337" w:rsidRDefault="00AD5B7A" w:rsidP="00C232F5">
            <w:r>
              <w:t>143</w:t>
            </w:r>
          </w:p>
        </w:tc>
      </w:tr>
    </w:tbl>
    <w:p w14:paraId="6D525B8A" w14:textId="77777777" w:rsidR="00500337" w:rsidRDefault="00500337" w:rsidP="00500337">
      <w:pPr>
        <w:pStyle w:val="TableDescription"/>
      </w:pPr>
      <w:r>
        <w:t>*Target timeframe for priority applications is 150 working days from acceptance for evaluation to the decision.</w:t>
      </w:r>
    </w:p>
    <w:p w14:paraId="3EC4463C" w14:textId="77777777" w:rsidR="00031B2F" w:rsidRDefault="00031B2F" w:rsidP="00031B2F">
      <w:pPr>
        <w:pStyle w:val="Heading3"/>
      </w:pPr>
      <w:bookmarkStart w:id="27" w:name="_Toc107402934"/>
      <w:bookmarkStart w:id="28" w:name="_Toc196046504"/>
      <w:bookmarkStart w:id="29" w:name="_Toc247691527"/>
      <w:bookmarkStart w:id="30" w:name="_Toc314842510"/>
      <w:bookmarkStart w:id="31" w:name="_Toc163441390"/>
      <w:bookmarkEnd w:id="25"/>
      <w:bookmarkEnd w:id="26"/>
      <w:bookmarkEnd w:id="1"/>
      <w:r>
        <w:t>Product Information</w:t>
      </w:r>
      <w:bookmarkEnd w:id="27"/>
    </w:p>
    <w:p w14:paraId="0AC72EDC" w14:textId="73013128" w:rsidR="00031B2F" w:rsidRDefault="00031B2F" w:rsidP="00031B2F">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&lt;</w:t>
      </w:r>
      <w:hyperlink r:id="rId13" w:history="1">
        <w:r w:rsidRPr="00441C3F">
          <w:rPr>
            <w:rStyle w:val="Hyperlink"/>
          </w:rPr>
          <w:t>https://www.tga.gov.au/product-information-pi</w:t>
        </w:r>
      </w:hyperlink>
      <w:r>
        <w:t>&gt;</w:t>
      </w:r>
      <w:r w:rsidRPr="00940A89">
        <w:t>.</w:t>
      </w:r>
    </w:p>
    <w:p w14:paraId="0B8EC189" w14:textId="3C56FF4D" w:rsidR="008E7846" w:rsidRPr="00792A32" w:rsidRDefault="00006FAB" w:rsidP="00C232F5">
      <w:pPr>
        <w:pStyle w:val="Heading2"/>
        <w:pageBreakBefore/>
      </w:pPr>
      <w:bookmarkStart w:id="32" w:name="_Toc107402935"/>
      <w:r w:rsidRPr="00006FAB">
        <w:lastRenderedPageBreak/>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8"/>
      <w:bookmarkEnd w:id="29"/>
      <w:bookmarkEnd w:id="30"/>
      <w:bookmarkEnd w:id="32"/>
    </w:p>
    <w:p w14:paraId="7EA356BE" w14:textId="77777777" w:rsidR="00006FAB" w:rsidRDefault="00006FAB" w:rsidP="00006FAB">
      <w:bookmarkStart w:id="33" w:name="_Toc247691528"/>
      <w:r>
        <w:t>The submission was summarised in the following Delegate’s overview and recommendations.</w:t>
      </w:r>
    </w:p>
    <w:p w14:paraId="0FA4DEEE" w14:textId="77777777" w:rsidR="008E7846" w:rsidRDefault="008E7846" w:rsidP="008E7846">
      <w:pPr>
        <w:pStyle w:val="Heading3"/>
      </w:pPr>
      <w:bookmarkStart w:id="34" w:name="_Toc314842511"/>
      <w:bookmarkStart w:id="35" w:name="_Toc107402936"/>
      <w:r>
        <w:t>Quality</w:t>
      </w:r>
      <w:bookmarkEnd w:id="33"/>
      <w:bookmarkEnd w:id="34"/>
      <w:bookmarkEnd w:id="35"/>
    </w:p>
    <w:p w14:paraId="104DB5D1" w14:textId="64A00AD6" w:rsidR="00EB273C" w:rsidRDefault="009A6538" w:rsidP="00F20F21">
      <w:r>
        <w:t xml:space="preserve">Burosumab is a human </w:t>
      </w:r>
      <w:r w:rsidR="00610182">
        <w:t>i</w:t>
      </w:r>
      <w:r>
        <w:t xml:space="preserve">mmunoglobulin G subclass 1 (IgG1) type antibody composed of two heavy chain (γ1-chain) molecules and two </w:t>
      </w:r>
      <w:r w:rsidR="00610182">
        <w:t>light chains</w:t>
      </w:r>
      <w:r>
        <w:t xml:space="preserve"> (κ-chain) molecules (</w:t>
      </w:r>
      <w:r w:rsidR="00D24F94">
        <w:fldChar w:fldCharType="begin"/>
      </w:r>
      <w:r w:rsidR="00D24F94">
        <w:instrText xml:space="preserve"> REF _Ref92984200 \h </w:instrText>
      </w:r>
      <w:r w:rsidR="00D24F94">
        <w:fldChar w:fldCharType="separate"/>
      </w:r>
      <w:r w:rsidR="00604074">
        <w:t xml:space="preserve">Figure </w:t>
      </w:r>
      <w:r w:rsidR="00604074">
        <w:rPr>
          <w:noProof/>
        </w:rPr>
        <w:t>1</w:t>
      </w:r>
      <w:r w:rsidR="00D24F94">
        <w:fldChar w:fldCharType="end"/>
      </w:r>
      <w:r>
        <w:t xml:space="preserve">). </w:t>
      </w:r>
    </w:p>
    <w:p w14:paraId="04AC127A" w14:textId="443DEE78" w:rsidR="00441E75" w:rsidRDefault="00441E75" w:rsidP="00441E75">
      <w:pPr>
        <w:pStyle w:val="FigureTitle"/>
      </w:pPr>
      <w:bookmarkStart w:id="36" w:name="_Ref92984200"/>
      <w:r>
        <w:t xml:space="preserve">Figure </w:t>
      </w:r>
      <w:r>
        <w:fldChar w:fldCharType="begin"/>
      </w:r>
      <w:r>
        <w:instrText>SEQ Figure \* ARABIC</w:instrText>
      </w:r>
      <w:r>
        <w:fldChar w:fldCharType="separate"/>
      </w:r>
      <w:r w:rsidR="00604074">
        <w:rPr>
          <w:noProof/>
        </w:rPr>
        <w:t>1</w:t>
      </w:r>
      <w:r>
        <w:fldChar w:fldCharType="end"/>
      </w:r>
      <w:bookmarkEnd w:id="36"/>
      <w:r>
        <w:t xml:space="preserve">: </w:t>
      </w:r>
      <w:proofErr w:type="spellStart"/>
      <w:r w:rsidRPr="00441E75">
        <w:t>Crysvita</w:t>
      </w:r>
      <w:proofErr w:type="spellEnd"/>
      <w:r w:rsidRPr="00441E75">
        <w:t xml:space="preserve"> (</w:t>
      </w:r>
      <w:proofErr w:type="spellStart"/>
      <w:r w:rsidRPr="00441E75">
        <w:t>burosumab</w:t>
      </w:r>
      <w:proofErr w:type="spellEnd"/>
      <w:r w:rsidRPr="00441E75">
        <w:t>) primary structure</w:t>
      </w:r>
    </w:p>
    <w:p w14:paraId="21D6E332" w14:textId="41592450" w:rsidR="00441E75" w:rsidRDefault="00441E75" w:rsidP="00C232F5">
      <w:r w:rsidRPr="00941EBA">
        <w:rPr>
          <w:noProof/>
          <w:lang w:val="en-GB" w:eastAsia="en-GB"/>
        </w:rPr>
        <w:drawing>
          <wp:inline distT="0" distB="0" distL="0" distR="0" wp14:anchorId="2BAFA6B1" wp14:editId="111BB91E">
            <wp:extent cx="3672840" cy="3511550"/>
            <wp:effectExtent l="0" t="0" r="3810" b="0"/>
            <wp:docPr id="3" name="Picture 3" descr="Burosumab is a human Immunoglobulin G subclass 1 (IgG1) type antibody composed of two heavy chain (γ1-chain) molecules and two LC (κ-chain) molecu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urosumab is a human Immunoglobulin G subclass 1 (IgG1) type antibody composed of two heavy chain (γ1-chain) molecules and two LC (κ-chain) molecules "/>
                    <pic:cNvPicPr/>
                  </pic:nvPicPr>
                  <pic:blipFill rotWithShape="1">
                    <a:blip r:embed="rId14"/>
                    <a:srcRect b="8681"/>
                    <a:stretch/>
                  </pic:blipFill>
                  <pic:spPr bwMode="auto">
                    <a:xfrm>
                      <a:off x="0" y="0"/>
                      <a:ext cx="3690785" cy="3528707"/>
                    </a:xfrm>
                    <a:prstGeom prst="rect">
                      <a:avLst/>
                    </a:prstGeom>
                    <a:ln>
                      <a:noFill/>
                    </a:ln>
                    <a:extLst>
                      <a:ext uri="{53640926-AAD7-44D8-BBD7-CCE9431645EC}">
                        <a14:shadowObscured xmlns:a14="http://schemas.microsoft.com/office/drawing/2010/main"/>
                      </a:ext>
                    </a:extLst>
                  </pic:spPr>
                </pic:pic>
              </a:graphicData>
            </a:graphic>
          </wp:inline>
        </w:drawing>
      </w:r>
    </w:p>
    <w:p w14:paraId="13D2E9A1" w14:textId="092D391C" w:rsidR="00441E75" w:rsidRDefault="00C23D00" w:rsidP="00C232F5">
      <w:pPr>
        <w:pStyle w:val="FigureDescription"/>
      </w:pPr>
      <w:r>
        <w:t>Heavy chains are shown in blue and light chains are shown in red</w:t>
      </w:r>
    </w:p>
    <w:p w14:paraId="26F4A78A" w14:textId="6A9F69C0" w:rsidR="00C23D00" w:rsidRDefault="00C23D00" w:rsidP="00C232F5">
      <w:pPr>
        <w:pStyle w:val="FigureDescription"/>
      </w:pPr>
      <w:r>
        <w:t xml:space="preserve">Black lines show the location of </w:t>
      </w:r>
      <w:proofErr w:type="spellStart"/>
      <w:r>
        <w:t>disulfide</w:t>
      </w:r>
      <w:proofErr w:type="spellEnd"/>
      <w:r>
        <w:t xml:space="preserve"> bonds</w:t>
      </w:r>
    </w:p>
    <w:p w14:paraId="00A8E21D" w14:textId="5DDFEC7E" w:rsidR="00C23D00" w:rsidRPr="00C23D00" w:rsidRDefault="00C23D00" w:rsidP="00C232F5">
      <w:pPr>
        <w:pStyle w:val="FigureDescription"/>
      </w:pPr>
      <w:r>
        <w:t>N297 of heavy chain: glycosylation site</w:t>
      </w:r>
    </w:p>
    <w:p w14:paraId="08934B75" w14:textId="77777777" w:rsidR="00F20F21" w:rsidRDefault="00F20F21" w:rsidP="00F20F21">
      <w:bookmarkStart w:id="37" w:name="_Toc314842512"/>
      <w:r>
        <w:t>Burosumab has complementarity determining regions (CDRs) derived from mouse anti-human FGF23. It binds to excess FGF23 in biological fluid. Burosumab neutralises excess FGF23, inhibiting an interaction between soluble FGF23 and FGF23 receptor complex on the cell surface.</w:t>
      </w:r>
    </w:p>
    <w:p w14:paraId="2845755E" w14:textId="44E45E70" w:rsidR="00F20F21" w:rsidRDefault="00F20F21" w:rsidP="00FF4551">
      <w:r>
        <w:t xml:space="preserve">By inhibiting FGF23, </w:t>
      </w:r>
      <w:proofErr w:type="spellStart"/>
      <w:r>
        <w:t>burosumab</w:t>
      </w:r>
      <w:proofErr w:type="spellEnd"/>
      <w:r>
        <w:t xml:space="preserve"> restores tubular reabsorption of phosphate from the kidney and increase the production of 1,25-dihydroxy vitamin D (1,25(OH)2D), which enhances intestinal absorption of calcium and phosphate. Together, these actions improve serum phosphorus levels and bone mineralisation.</w:t>
      </w:r>
    </w:p>
    <w:p w14:paraId="299FC1B0" w14:textId="77777777" w:rsidR="00F20F21" w:rsidRDefault="00F20F21" w:rsidP="00F20F21">
      <w:r>
        <w:t>The data submitted support a shelf life of 36 months when stored at 2 to 8°C with protection from light. Temperature excursions were not requested.</w:t>
      </w:r>
    </w:p>
    <w:p w14:paraId="0807D3E2" w14:textId="33A600A6" w:rsidR="00F20F21" w:rsidRDefault="00F20F21" w:rsidP="00FF4551">
      <w:r>
        <w:t>Crysvita is available in a vial and is visually identified as clear to slightly opalescent, colourless to pale brownish-yellowish solution.</w:t>
      </w:r>
    </w:p>
    <w:p w14:paraId="012EFC15" w14:textId="564ECE19" w:rsidR="00FF4551" w:rsidRDefault="00FF4551" w:rsidP="00FF4551">
      <w:r>
        <w:t xml:space="preserve">The data supplied in relation to the physical and chemical properties of </w:t>
      </w:r>
      <w:proofErr w:type="spellStart"/>
      <w:r>
        <w:t>burosumab</w:t>
      </w:r>
      <w:proofErr w:type="spellEnd"/>
      <w:r>
        <w:t xml:space="preserve"> were satisfactory. There are no issues pertaining to the specifications or the stability of the drug </w:t>
      </w:r>
      <w:r>
        <w:lastRenderedPageBreak/>
        <w:t>substance or the drug product. All manufacturing steps and analytical procedures were validated.</w:t>
      </w:r>
    </w:p>
    <w:p w14:paraId="7E3FE5D8" w14:textId="58AE5CCF" w:rsidR="00FF4551" w:rsidRDefault="00FF4551" w:rsidP="00FF4551">
      <w:r>
        <w:t>There are no objections to the registration of this product from sterility, endotoxin, container safety or an adventitious agent perspective</w:t>
      </w:r>
      <w:r w:rsidR="00F20F21">
        <w:t>.</w:t>
      </w:r>
    </w:p>
    <w:p w14:paraId="7F1DE5AA" w14:textId="0654CCC2" w:rsidR="00FF4551" w:rsidRDefault="00FF4551" w:rsidP="00FF4551">
      <w:r>
        <w:t>The quality evaluator has no objections to the registration of Crysvita on quality grounds. Overall, the supplied data was satisfactory and there are no further quality related concerns. Sufficient evidence was provided to demonstrate that the risks related to the manufacturing quality of Crysvita have been controlled to an acceptable level.</w:t>
      </w:r>
    </w:p>
    <w:p w14:paraId="33559010" w14:textId="26E6E0E4" w:rsidR="008E7846" w:rsidRDefault="008E7846" w:rsidP="008E7846">
      <w:pPr>
        <w:pStyle w:val="Heading3"/>
      </w:pPr>
      <w:bookmarkStart w:id="38" w:name="_Toc107402937"/>
      <w:r>
        <w:t>Nonclinical</w:t>
      </w:r>
      <w:bookmarkEnd w:id="37"/>
      <w:bookmarkEnd w:id="38"/>
    </w:p>
    <w:p w14:paraId="49642F58" w14:textId="04B63875" w:rsidR="00EB273C" w:rsidRDefault="006D667A" w:rsidP="006D667A">
      <w:r>
        <w:t>The nonclinical evaluator raised no objections to the registration of C</w:t>
      </w:r>
      <w:r w:rsidR="00B3731C">
        <w:t>rysvita</w:t>
      </w:r>
      <w:r>
        <w:t xml:space="preserve"> for the proposed indication. The submitted primary pharmacology studies were supportive of the use of </w:t>
      </w:r>
      <w:proofErr w:type="spellStart"/>
      <w:r>
        <w:t>burosumab</w:t>
      </w:r>
      <w:proofErr w:type="spellEnd"/>
      <w:r>
        <w:t xml:space="preserve"> in the proposed indication</w:t>
      </w:r>
      <w:r w:rsidR="00EB273C">
        <w:t>.</w:t>
      </w:r>
    </w:p>
    <w:p w14:paraId="07D13A20" w14:textId="753CEBA3" w:rsidR="006D667A" w:rsidRDefault="006D667A" w:rsidP="006D667A">
      <w:r w:rsidRPr="006D667A">
        <w:rPr>
          <w:i/>
          <w:iCs/>
        </w:rPr>
        <w:t>In vitro</w:t>
      </w:r>
      <w:r>
        <w:t xml:space="preserve">, </w:t>
      </w:r>
      <w:proofErr w:type="spellStart"/>
      <w:r>
        <w:t>burosumab</w:t>
      </w:r>
      <w:proofErr w:type="spellEnd"/>
      <w:r>
        <w:t xml:space="preserve"> was shown to bind to human FGF23, and recognise the rabbit and cynomolgus monkey forms of FGF23, resulting in inhibition of FGF23</w:t>
      </w:r>
      <w:r w:rsidR="00DC378E">
        <w:t xml:space="preserve"> </w:t>
      </w:r>
      <w:r>
        <w:t xml:space="preserve">induced signalling. </w:t>
      </w:r>
      <w:r w:rsidRPr="001474A5">
        <w:rPr>
          <w:i/>
          <w:iCs/>
        </w:rPr>
        <w:t>In vivo</w:t>
      </w:r>
      <w:r>
        <w:t xml:space="preserve">, treatment with </w:t>
      </w:r>
      <w:proofErr w:type="spellStart"/>
      <w:r>
        <w:t>burosumab</w:t>
      </w:r>
      <w:proofErr w:type="spellEnd"/>
      <w:r>
        <w:t xml:space="preserve"> increased serum phosphate and 1,25 </w:t>
      </w:r>
      <w:proofErr w:type="spellStart"/>
      <w:r>
        <w:t>dihydroxyvitamin</w:t>
      </w:r>
      <w:proofErr w:type="spellEnd"/>
      <w:r>
        <w:t xml:space="preserve"> D levels and decreased urinary phosphate excretion in rabbits and monkeys, consistent with inhibition of the biological actions of FGF23. A study in a mouse model of XLH, performed using a surrogate antibody (able to recognise murine FGF23), showed prevention of growth retardation in juvenile animals and improved bone mineralisation.</w:t>
      </w:r>
    </w:p>
    <w:p w14:paraId="00AFA0B1" w14:textId="1ED9EDFD" w:rsidR="006D667A" w:rsidRDefault="006D667A" w:rsidP="006D667A">
      <w:r>
        <w:t>No cross</w:t>
      </w:r>
      <w:r w:rsidR="00DC378E">
        <w:t xml:space="preserve"> </w:t>
      </w:r>
      <w:r>
        <w:t xml:space="preserve">reactivity was seen with </w:t>
      </w:r>
      <w:proofErr w:type="spellStart"/>
      <w:r>
        <w:t>burosumab</w:t>
      </w:r>
      <w:proofErr w:type="spellEnd"/>
      <w:r>
        <w:t xml:space="preserve"> in experiments with human, </w:t>
      </w:r>
      <w:proofErr w:type="gramStart"/>
      <w:r>
        <w:t>monkey</w:t>
      </w:r>
      <w:proofErr w:type="gramEnd"/>
      <w:r>
        <w:t xml:space="preserve"> and rabbit tissues. Antibody</w:t>
      </w:r>
      <w:r w:rsidR="00DC378E">
        <w:t xml:space="preserve"> </w:t>
      </w:r>
      <w:r>
        <w:t xml:space="preserve">dependent cell mediated cytotoxicity activity by </w:t>
      </w:r>
      <w:proofErr w:type="spellStart"/>
      <w:r>
        <w:t>burosumab</w:t>
      </w:r>
      <w:proofErr w:type="spellEnd"/>
      <w:r>
        <w:t xml:space="preserve"> was demonstrated </w:t>
      </w:r>
      <w:r w:rsidRPr="006D667A">
        <w:rPr>
          <w:i/>
          <w:iCs/>
        </w:rPr>
        <w:t>in</w:t>
      </w:r>
      <w:r>
        <w:rPr>
          <w:i/>
          <w:iCs/>
        </w:rPr>
        <w:t xml:space="preserve"> </w:t>
      </w:r>
      <w:r w:rsidRPr="006D667A">
        <w:rPr>
          <w:i/>
          <w:iCs/>
        </w:rPr>
        <w:t>vitro</w:t>
      </w:r>
      <w:r>
        <w:t xml:space="preserve"> but was not apparent (or not readily so) </w:t>
      </w:r>
      <w:r w:rsidRPr="006D667A">
        <w:rPr>
          <w:i/>
          <w:iCs/>
        </w:rPr>
        <w:t>in vivo</w:t>
      </w:r>
      <w:r>
        <w:t>.</w:t>
      </w:r>
    </w:p>
    <w:p w14:paraId="6CB44937" w14:textId="588D9374" w:rsidR="006D667A" w:rsidRDefault="006D667A" w:rsidP="006D667A">
      <w:r>
        <w:t xml:space="preserve">The safety pharmacology assessment revealed no effect of </w:t>
      </w:r>
      <w:proofErr w:type="spellStart"/>
      <w:r>
        <w:t>burosumab</w:t>
      </w:r>
      <w:proofErr w:type="spellEnd"/>
      <w:r>
        <w:t xml:space="preserve"> on </w:t>
      </w:r>
      <w:r w:rsidR="003D0B0A">
        <w:t>the central nervous system</w:t>
      </w:r>
      <w:r>
        <w:t xml:space="preserve"> or respiratory function and no direct effect on cardiovascular function. Changes in cardiovascular parameters (increased heart rate, ST depression and reduced stroke volume, ejection fractions and end diastolic volumes) were observed with extended treatment in monkeys. This was considered a consequence of ectopic mineralisation of the heart and aorta (secondary to drug</w:t>
      </w:r>
      <w:r w:rsidR="000909B6">
        <w:t xml:space="preserve"> </w:t>
      </w:r>
      <w:r>
        <w:t xml:space="preserve">induced </w:t>
      </w:r>
      <w:proofErr w:type="spellStart"/>
      <w:r>
        <w:t>hyperphosphataemia</w:t>
      </w:r>
      <w:proofErr w:type="spellEnd"/>
      <w:r>
        <w:t xml:space="preserve">) rather a direct effect of </w:t>
      </w:r>
      <w:proofErr w:type="spellStart"/>
      <w:r>
        <w:t>burosumab</w:t>
      </w:r>
      <w:proofErr w:type="spellEnd"/>
      <w:r>
        <w:t xml:space="preserve"> on cardiac function.</w:t>
      </w:r>
    </w:p>
    <w:p w14:paraId="5B69B58C" w14:textId="02E804E1" w:rsidR="006D667A" w:rsidRDefault="006D667A" w:rsidP="006D667A">
      <w:r>
        <w:t xml:space="preserve">The pharmacokinetic profile of </w:t>
      </w:r>
      <w:proofErr w:type="spellStart"/>
      <w:r>
        <w:t>burosumab</w:t>
      </w:r>
      <w:proofErr w:type="spellEnd"/>
      <w:r>
        <w:t xml:space="preserve"> was typical of an</w:t>
      </w:r>
      <w:r w:rsidR="00F261FF">
        <w:t xml:space="preserve"> immunoglobulin G</w:t>
      </w:r>
      <w:r>
        <w:t xml:space="preserve"> </w:t>
      </w:r>
      <w:r w:rsidR="00F261FF">
        <w:t>(</w:t>
      </w:r>
      <w:r>
        <w:t>IgG</w:t>
      </w:r>
      <w:r w:rsidR="00F261FF">
        <w:t>)</w:t>
      </w:r>
      <w:r>
        <w:t xml:space="preserve"> antibody, and similar in the laboratory animal species and humans. This was characterised by slow </w:t>
      </w:r>
      <w:r w:rsidR="00F261FF">
        <w:t>subcutaneous (</w:t>
      </w:r>
      <w:r>
        <w:t>SC</w:t>
      </w:r>
      <w:r w:rsidR="00F261FF">
        <w:t>)</w:t>
      </w:r>
      <w:r>
        <w:t xml:space="preserve"> absorption, limited distribution, and a long serum half-life. Bioavailability by the SC route was high to complete.</w:t>
      </w:r>
    </w:p>
    <w:p w14:paraId="016696E7" w14:textId="4A5E9B7D" w:rsidR="006D667A" w:rsidRDefault="006D667A" w:rsidP="006D667A">
      <w:r>
        <w:t>Burosumab showed a low order of acute toxicity in monkeys, and a moderate order of acute toxicity in rabbits. Mortality following single</w:t>
      </w:r>
      <w:r w:rsidR="00DC378E">
        <w:t xml:space="preserve"> </w:t>
      </w:r>
      <w:r>
        <w:t>dose administration was only observed in rabbits and was related to renal failure following mineralisation of the kidney (occurring secondary to the pharmacologically</w:t>
      </w:r>
      <w:r w:rsidR="00DC378E">
        <w:t xml:space="preserve"> </w:t>
      </w:r>
      <w:r>
        <w:t>mediated increase in serum phosphate levels).</w:t>
      </w:r>
    </w:p>
    <w:p w14:paraId="57B7C3A1" w14:textId="12E528F5" w:rsidR="006D667A" w:rsidRDefault="006D667A" w:rsidP="006D667A">
      <w:r>
        <w:t>Repeat</w:t>
      </w:r>
      <w:r w:rsidR="00DC378E">
        <w:t xml:space="preserve"> </w:t>
      </w:r>
      <w:r>
        <w:t xml:space="preserve">dose toxicity studies were conducted with </w:t>
      </w:r>
      <w:proofErr w:type="spellStart"/>
      <w:r>
        <w:t>burosumab</w:t>
      </w:r>
      <w:proofErr w:type="spellEnd"/>
      <w:r>
        <w:t xml:space="preserve"> in rabbits (14 weeks) and adult and juvenile cynomolgus monkeys (up to 40 weeks duration). Doses were given once every two weeks, and mainly by the </w:t>
      </w:r>
      <w:r w:rsidR="00F261FF">
        <w:t>intravenous (</w:t>
      </w:r>
      <w:r>
        <w:t>IV</w:t>
      </w:r>
      <w:r w:rsidR="00F261FF">
        <w:t>)</w:t>
      </w:r>
      <w:r>
        <w:t xml:space="preserve"> route, although SC administration was included in the pivotal monkey study. Ectopic mineralisation</w:t>
      </w:r>
      <w:r w:rsidR="00DC378E">
        <w:t xml:space="preserve">, </w:t>
      </w:r>
      <w:r>
        <w:t xml:space="preserve">affecting the kidney, lung, heart, </w:t>
      </w:r>
      <w:proofErr w:type="gramStart"/>
      <w:r>
        <w:t>aorta</w:t>
      </w:r>
      <w:proofErr w:type="gramEnd"/>
      <w:r>
        <w:t xml:space="preserve"> and various other tissues</w:t>
      </w:r>
      <w:r w:rsidR="00DC378E">
        <w:t xml:space="preserve">, </w:t>
      </w:r>
      <w:r>
        <w:t>was the major treatment</w:t>
      </w:r>
      <w:r w:rsidR="00DC378E">
        <w:t xml:space="preserve"> </w:t>
      </w:r>
      <w:r>
        <w:t xml:space="preserve">related finding. Occurring </w:t>
      </w:r>
      <w:proofErr w:type="gramStart"/>
      <w:r>
        <w:t>as a consequence of</w:t>
      </w:r>
      <w:proofErr w:type="gramEnd"/>
      <w:r>
        <w:t xml:space="preserve"> exaggerated pharmacology, this is of limited clinical relevance. </w:t>
      </w:r>
      <w:proofErr w:type="spellStart"/>
      <w:r>
        <w:t>Hyperphosphataemia</w:t>
      </w:r>
      <w:proofErr w:type="spellEnd"/>
      <w:r>
        <w:t xml:space="preserve"> also drove accelerated and inappropriate bone turnover, but positive effects on bone </w:t>
      </w:r>
      <w:proofErr w:type="gramStart"/>
      <w:r>
        <w:t>were seen as</w:t>
      </w:r>
      <w:proofErr w:type="gramEnd"/>
      <w:r>
        <w:t xml:space="preserve"> well (increases in bone mineral density and content).</w:t>
      </w:r>
    </w:p>
    <w:p w14:paraId="3FD8DBAB" w14:textId="2A7FD5CA" w:rsidR="006D667A" w:rsidRDefault="006D667A" w:rsidP="006D667A">
      <w:r>
        <w:lastRenderedPageBreak/>
        <w:t xml:space="preserve">No genotoxicity or carcinogenicity studies were conducted with </w:t>
      </w:r>
      <w:proofErr w:type="spellStart"/>
      <w:r>
        <w:t>burosumab</w:t>
      </w:r>
      <w:proofErr w:type="spellEnd"/>
      <w:r>
        <w:t xml:space="preserve">, which was considered acceptable. No </w:t>
      </w:r>
      <w:proofErr w:type="gramStart"/>
      <w:r>
        <w:t>particular cause</w:t>
      </w:r>
      <w:proofErr w:type="gramEnd"/>
      <w:r>
        <w:t xml:space="preserve"> for concern for carcinogenicity is seen from the general repeat</w:t>
      </w:r>
      <w:r w:rsidR="000909B6">
        <w:t xml:space="preserve"> </w:t>
      </w:r>
      <w:r>
        <w:t>dose toxicity program or from knowledge of the physiological role of the target.</w:t>
      </w:r>
    </w:p>
    <w:p w14:paraId="6F6AAFFF" w14:textId="3D6758E8" w:rsidR="006D667A" w:rsidRPr="006D667A" w:rsidRDefault="006D667A" w:rsidP="006D667A">
      <w:r>
        <w:t>No effects on male and female fertility are predicted based on semen analysis and examination of reproductive tissues in monkeys (in lieu of functional studies). Burosumab was found to increase fetal loss and pre-term births and shorten gestation duration in pregnant monkeys. These effects were observed at a large multiple of the clinical exposure at the maximum recommended dose in adults (64</w:t>
      </w:r>
      <w:r w:rsidR="00F20F21">
        <w:noBreakHyphen/>
      </w:r>
      <w:r>
        <w:t xml:space="preserve">fold), were relatively modest in size, and occurred in conjunction with placental mineralisation, suggesting limited clinical relevance. Placental transfer of </w:t>
      </w:r>
      <w:proofErr w:type="spellStart"/>
      <w:r>
        <w:t>burosumab</w:t>
      </w:r>
      <w:proofErr w:type="spellEnd"/>
      <w:r>
        <w:t xml:space="preserve"> was evident in the monkey. Ectopic mineralisation of fetal tissues was not observed, nor malformations or effects on growth, development of survival of the offspring. The nonclinical evaluator supports assignment to </w:t>
      </w:r>
      <w:r w:rsidR="009B649D">
        <w:t>p</w:t>
      </w:r>
      <w:r>
        <w:t xml:space="preserve">regnancy </w:t>
      </w:r>
      <w:r w:rsidR="009B649D">
        <w:t>c</w:t>
      </w:r>
      <w:r>
        <w:t>ategory B3.</w:t>
      </w:r>
      <w:bookmarkStart w:id="39" w:name="_Ref96447275"/>
      <w:r w:rsidR="00DC378E">
        <w:rPr>
          <w:rStyle w:val="FootnoteReference"/>
        </w:rPr>
        <w:footnoteReference w:id="7"/>
      </w:r>
      <w:bookmarkEnd w:id="39"/>
    </w:p>
    <w:p w14:paraId="627689EF" w14:textId="2A224B56" w:rsidR="008E7846" w:rsidRDefault="008E7846" w:rsidP="008E7846">
      <w:pPr>
        <w:pStyle w:val="Heading3"/>
      </w:pPr>
      <w:bookmarkStart w:id="40" w:name="_Toc247691530"/>
      <w:bookmarkStart w:id="41" w:name="_Toc314842513"/>
      <w:bookmarkStart w:id="42" w:name="_Toc107402938"/>
      <w:r>
        <w:t>Clinical</w:t>
      </w:r>
      <w:bookmarkEnd w:id="40"/>
      <w:bookmarkEnd w:id="41"/>
      <w:bookmarkEnd w:id="42"/>
    </w:p>
    <w:p w14:paraId="09E044C3" w14:textId="4BAF6164" w:rsidR="002321DC" w:rsidRDefault="007A362D" w:rsidP="007A362D">
      <w:r>
        <w:t>The clinical dossier</w:t>
      </w:r>
      <w:r w:rsidR="002321DC">
        <w:t xml:space="preserve"> </w:t>
      </w:r>
      <w:r w:rsidR="00A00218">
        <w:t>consist</w:t>
      </w:r>
      <w:r w:rsidR="001E7C7F">
        <w:t>ed</w:t>
      </w:r>
      <w:r w:rsidR="00A00218">
        <w:t xml:space="preserve"> of</w:t>
      </w:r>
      <w:r w:rsidR="001E7C7F">
        <w:t xml:space="preserve"> the following studies</w:t>
      </w:r>
      <w:r w:rsidR="00A00218">
        <w:t>:</w:t>
      </w:r>
    </w:p>
    <w:p w14:paraId="6C1C0B8D" w14:textId="2AFA3EB9" w:rsidR="00A00218" w:rsidRDefault="00A00218" w:rsidP="001E7C7F">
      <w:pPr>
        <w:pStyle w:val="ListBullet"/>
      </w:pPr>
      <w:r>
        <w:t>Two Phase I studies</w:t>
      </w:r>
    </w:p>
    <w:p w14:paraId="5D44F827" w14:textId="03F5AEAD" w:rsidR="00A00218" w:rsidRDefault="001E7C7F" w:rsidP="001E7C7F">
      <w:pPr>
        <w:pStyle w:val="ListBullet"/>
      </w:pPr>
      <w:r>
        <w:t>Two Phase II studies</w:t>
      </w:r>
    </w:p>
    <w:p w14:paraId="033ACF6F" w14:textId="2604BBEA" w:rsidR="001E7C7F" w:rsidRDefault="001E7C7F" w:rsidP="001E7C7F">
      <w:pPr>
        <w:pStyle w:val="ListBullet"/>
      </w:pPr>
      <w:r>
        <w:t>Six Phase III studies</w:t>
      </w:r>
    </w:p>
    <w:p w14:paraId="1EA9C70B" w14:textId="742782C3" w:rsidR="001E7C7F" w:rsidRDefault="001E7C7F" w:rsidP="001E7C7F">
      <w:pPr>
        <w:pStyle w:val="ListBullet"/>
      </w:pPr>
      <w:r>
        <w:t>Three Phase I/II studies</w:t>
      </w:r>
    </w:p>
    <w:p w14:paraId="33BD46F0" w14:textId="1957A61D" w:rsidR="007A362D" w:rsidRDefault="007A362D" w:rsidP="007A362D">
      <w:pPr>
        <w:pStyle w:val="Heading4"/>
      </w:pPr>
      <w:r w:rsidRPr="007A362D">
        <w:t>Pharmacology</w:t>
      </w:r>
    </w:p>
    <w:p w14:paraId="528C6BB1" w14:textId="703FC5B1" w:rsidR="007A362D" w:rsidRDefault="007A362D" w:rsidP="007A362D">
      <w:pPr>
        <w:pStyle w:val="Heading5"/>
      </w:pPr>
      <w:r w:rsidRPr="007A362D">
        <w:t xml:space="preserve">Pharmacokinetics </w:t>
      </w:r>
    </w:p>
    <w:p w14:paraId="3E5C9E5A" w14:textId="37750EDB" w:rsidR="00EB273C" w:rsidRDefault="007A362D" w:rsidP="007A362D">
      <w:r>
        <w:t xml:space="preserve">The observed </w:t>
      </w:r>
      <w:r w:rsidR="00F261FF">
        <w:t>pharmacokinetics (</w:t>
      </w:r>
      <w:r>
        <w:t>PK</w:t>
      </w:r>
      <w:r w:rsidR="00F261FF">
        <w:t>)</w:t>
      </w:r>
      <w:r>
        <w:t xml:space="preserve"> data in adult patients with </w:t>
      </w:r>
      <w:r w:rsidR="00F20F21">
        <w:t xml:space="preserve">X-linked </w:t>
      </w:r>
      <w:proofErr w:type="spellStart"/>
      <w:r w:rsidR="00F20F21">
        <w:t>hypophosphataemia</w:t>
      </w:r>
      <w:proofErr w:type="spellEnd"/>
      <w:r w:rsidR="00F20F21">
        <w:t xml:space="preserve"> (</w:t>
      </w:r>
      <w:r>
        <w:t>XLH</w:t>
      </w:r>
      <w:r w:rsidR="00F20F21">
        <w:t>)</w:t>
      </w:r>
      <w:r>
        <w:t xml:space="preserve"> aged ≥ 18 years were based on intensive sampling allowing for non-compartmental analysis and from </w:t>
      </w:r>
      <w:r w:rsidR="00F261FF">
        <w:t>population pharmacokinetics (</w:t>
      </w:r>
      <w:proofErr w:type="spellStart"/>
      <w:r>
        <w:t>popPK</w:t>
      </w:r>
      <w:proofErr w:type="spellEnd"/>
      <w:r w:rsidR="00F261FF">
        <w:t>)</w:t>
      </w:r>
      <w:r>
        <w:t xml:space="preserve"> modelling. The observed PK data for children aged </w:t>
      </w:r>
      <w:r w:rsidR="00FC1339">
        <w:t>one</w:t>
      </w:r>
      <w:r>
        <w:t xml:space="preserve"> to 12 years with XLH were based on sparse sampling, with the data being pooled with data from adults for PK modelling. There were no observed PK data in adolescents aged &gt; 12 years to ≤ 17 years, and </w:t>
      </w:r>
      <w:r w:rsidR="00F20F21">
        <w:t xml:space="preserve">PK </w:t>
      </w:r>
      <w:r>
        <w:t xml:space="preserve">in </w:t>
      </w:r>
      <w:r w:rsidR="00F20F21">
        <w:t xml:space="preserve">these </w:t>
      </w:r>
      <w:r>
        <w:t>patient</w:t>
      </w:r>
      <w:r w:rsidR="00F20F21">
        <w:t>s</w:t>
      </w:r>
      <w:r>
        <w:t xml:space="preserve"> were based on </w:t>
      </w:r>
      <w:proofErr w:type="spellStart"/>
      <w:r>
        <w:t>popPK</w:t>
      </w:r>
      <w:proofErr w:type="spellEnd"/>
      <w:r>
        <w:t xml:space="preserve"> modelling of the pooled data from children and adults</w:t>
      </w:r>
      <w:r w:rsidR="00EB273C">
        <w:t>.</w:t>
      </w:r>
    </w:p>
    <w:p w14:paraId="13489632" w14:textId="086C2E3B" w:rsidR="007A362D" w:rsidRDefault="007A362D" w:rsidP="007A362D">
      <w:r>
        <w:t>Burosumab exhibited linear pharmacokinetics following subcutaneous injections within the dose range of 0.1 to 1 mg/kg (0.08 to 0.8 times the maximum approved recommended dosage based on a 70 kg patient). The steady</w:t>
      </w:r>
      <w:r w:rsidR="002321DC">
        <w:t xml:space="preserve"> </w:t>
      </w:r>
      <w:r>
        <w:t>state trough mean (±</w:t>
      </w:r>
      <w:r w:rsidR="002321DC">
        <w:t xml:space="preserve"> standard deviation (S</w:t>
      </w:r>
      <w:r>
        <w:t xml:space="preserve">D) concentration of </w:t>
      </w:r>
      <w:proofErr w:type="spellStart"/>
      <w:r>
        <w:t>burosumab</w:t>
      </w:r>
      <w:proofErr w:type="spellEnd"/>
      <w:r>
        <w:t xml:space="preserve"> was 5.8 (±</w:t>
      </w:r>
      <w:r w:rsidR="00FC1339">
        <w:t xml:space="preserve"> </w:t>
      </w:r>
      <w:r>
        <w:t xml:space="preserve">3.4) </w:t>
      </w:r>
      <w:r w:rsidR="002321DC" w:rsidRPr="002321DC">
        <w:t>µg</w:t>
      </w:r>
      <w:r>
        <w:t xml:space="preserve">/mL in adult patients aged 18 to 65 years, 15.8 (± 9.4) </w:t>
      </w:r>
      <w:r w:rsidR="002321DC" w:rsidRPr="002321DC">
        <w:t>µg</w:t>
      </w:r>
      <w:r>
        <w:t xml:space="preserve">/mL in patients aged </w:t>
      </w:r>
      <w:r w:rsidR="00FC1339">
        <w:t>five</w:t>
      </w:r>
      <w:r>
        <w:t xml:space="preserve"> to 12 years, and 14.2 (± 4) </w:t>
      </w:r>
      <w:r w:rsidR="002321DC" w:rsidRPr="002321DC">
        <w:t>µg</w:t>
      </w:r>
      <w:r>
        <w:t xml:space="preserve">/mL in patients aged </w:t>
      </w:r>
      <w:r w:rsidR="00FC1339">
        <w:t>one</w:t>
      </w:r>
      <w:r>
        <w:t xml:space="preserve"> to </w:t>
      </w:r>
      <w:r w:rsidR="00FC1339">
        <w:t>four</w:t>
      </w:r>
      <w:r>
        <w:t xml:space="preserve"> years.</w:t>
      </w:r>
    </w:p>
    <w:p w14:paraId="62B6C2F8" w14:textId="035D6891" w:rsidR="007A362D" w:rsidRDefault="007A362D" w:rsidP="007A362D">
      <w:r>
        <w:t xml:space="preserve">The absorption of </w:t>
      </w:r>
      <w:proofErr w:type="spellStart"/>
      <w:r>
        <w:t>burosumab</w:t>
      </w:r>
      <w:proofErr w:type="spellEnd"/>
      <w:r>
        <w:t xml:space="preserve"> is slow following SC administration. Burosumab mean</w:t>
      </w:r>
      <w:r w:rsidR="007C121B">
        <w:t xml:space="preserve"> time of maximum concentration</w:t>
      </w:r>
      <w:r>
        <w:t xml:space="preserve"> </w:t>
      </w:r>
      <w:r w:rsidR="007C121B">
        <w:t>(</w:t>
      </w:r>
      <w:proofErr w:type="spellStart"/>
      <w:r>
        <w:t>T</w:t>
      </w:r>
      <w:r w:rsidRPr="007A362D">
        <w:rPr>
          <w:vertAlign w:val="subscript"/>
        </w:rPr>
        <w:t>max</w:t>
      </w:r>
      <w:proofErr w:type="spellEnd"/>
      <w:r w:rsidR="002321DC">
        <w:t>)</w:t>
      </w:r>
      <w:r w:rsidRPr="007A362D">
        <w:rPr>
          <w:vertAlign w:val="subscript"/>
        </w:rPr>
        <w:t xml:space="preserve"> </w:t>
      </w:r>
      <w:r>
        <w:t xml:space="preserve">values ranged from </w:t>
      </w:r>
      <w:r w:rsidR="00A43C70">
        <w:t>eight</w:t>
      </w:r>
      <w:r>
        <w:t xml:space="preserve"> to 11 days. Median </w:t>
      </w:r>
      <w:proofErr w:type="spellStart"/>
      <w:r>
        <w:t>T</w:t>
      </w:r>
      <w:r w:rsidRPr="007A362D">
        <w:rPr>
          <w:vertAlign w:val="subscript"/>
        </w:rPr>
        <w:t>max</w:t>
      </w:r>
      <w:proofErr w:type="spellEnd"/>
      <w:r>
        <w:t xml:space="preserve"> is approximately </w:t>
      </w:r>
      <w:r w:rsidR="00A43C70">
        <w:t>seven</w:t>
      </w:r>
      <w:r>
        <w:t xml:space="preserve"> to 13 days. The formulation used in the clinical studies is identical to the formulation proposed for marketing in Australia.</w:t>
      </w:r>
    </w:p>
    <w:p w14:paraId="186296E3" w14:textId="393639B8" w:rsidR="007A362D" w:rsidRDefault="007A362D" w:rsidP="007A362D">
      <w:r>
        <w:lastRenderedPageBreak/>
        <w:t xml:space="preserve">The apparent volume of distribution of </w:t>
      </w:r>
      <w:proofErr w:type="spellStart"/>
      <w:r>
        <w:t>burosumab</w:t>
      </w:r>
      <w:proofErr w:type="spellEnd"/>
      <w:r>
        <w:t xml:space="preserve"> is 7.35 </w:t>
      </w:r>
      <w:r w:rsidR="000909B6">
        <w:t>L</w:t>
      </w:r>
      <w:r>
        <w:t>. There were no data on protein binding or erythrocyte distribution in humans. This is acceptable for a monoclonal antibody.</w:t>
      </w:r>
    </w:p>
    <w:p w14:paraId="1943406F" w14:textId="77777777" w:rsidR="007A362D" w:rsidRDefault="007A362D" w:rsidP="007A362D">
      <w:r>
        <w:t xml:space="preserve">No studies have been performed to characterise </w:t>
      </w:r>
      <w:proofErr w:type="spellStart"/>
      <w:r>
        <w:t>burosumab</w:t>
      </w:r>
      <w:proofErr w:type="spellEnd"/>
      <w:r>
        <w:t xml:space="preserve"> elimination. Burosumab is a human monoclonal IgG1 antibody and is expected to be degraded into small peptides and amino acids via catabolic pathways in the same manner as endogenous IgG.</w:t>
      </w:r>
    </w:p>
    <w:p w14:paraId="440B9E1E" w14:textId="20C7BF14" w:rsidR="007A362D" w:rsidRDefault="007A362D" w:rsidP="007A362D">
      <w:r>
        <w:t xml:space="preserve">The clearance of </w:t>
      </w:r>
      <w:proofErr w:type="spellStart"/>
      <w:r>
        <w:t>burosumab</w:t>
      </w:r>
      <w:proofErr w:type="spellEnd"/>
      <w:r>
        <w:t xml:space="preserve"> is dependent on body weight and estimated to be 0.278</w:t>
      </w:r>
      <w:r w:rsidR="00F20F21">
        <w:t> </w:t>
      </w:r>
      <w:r w:rsidR="002321DC">
        <w:t>L</w:t>
      </w:r>
      <w:r>
        <w:t>/day in a typical adult (70</w:t>
      </w:r>
      <w:r w:rsidR="00FC1339">
        <w:t xml:space="preserve"> </w:t>
      </w:r>
      <w:r>
        <w:t>kg) XLH patient with corresponding disposition half-life (t</w:t>
      </w:r>
      <w:r w:rsidRPr="007C121B">
        <w:rPr>
          <w:vertAlign w:val="subscript"/>
        </w:rPr>
        <w:t>1/2</w:t>
      </w:r>
      <w:r>
        <w:t xml:space="preserve">) in the serum of approximately 18 days. There were no data on renal clearance. However, </w:t>
      </w:r>
      <w:proofErr w:type="spellStart"/>
      <w:r>
        <w:t>burosumab</w:t>
      </w:r>
      <w:proofErr w:type="spellEnd"/>
      <w:r>
        <w:t xml:space="preserve"> is not expected to be renally cleared. Steady</w:t>
      </w:r>
      <w:r w:rsidR="000909B6">
        <w:t xml:space="preserve"> </w:t>
      </w:r>
      <w:r>
        <w:t>state would be expected to be reached within 12 weeks if no dosing adjustments were required.</w:t>
      </w:r>
    </w:p>
    <w:p w14:paraId="0CBDBCCB" w14:textId="29FA1BBD" w:rsidR="007A362D" w:rsidRDefault="007A362D" w:rsidP="007A362D">
      <w:r>
        <w:t xml:space="preserve">There were no dedicated PK studies in subjects with hepatic impairment. However, population PK modelling indicated that the covariates of alanine </w:t>
      </w:r>
      <w:r w:rsidR="00B7532A">
        <w:t xml:space="preserve">transaminase </w:t>
      </w:r>
      <w:r>
        <w:t xml:space="preserve">(ALT) and alkaline phosphate (ALP) had no impact on the PK of </w:t>
      </w:r>
      <w:proofErr w:type="spellStart"/>
      <w:r>
        <w:t>burosumab</w:t>
      </w:r>
      <w:proofErr w:type="spellEnd"/>
      <w:r>
        <w:t xml:space="preserve">. Therefore, hepatic impairment is unlikely to have an impact on the PK of </w:t>
      </w:r>
      <w:proofErr w:type="spellStart"/>
      <w:r>
        <w:t>burosumab</w:t>
      </w:r>
      <w:proofErr w:type="spellEnd"/>
      <w:r>
        <w:t>.</w:t>
      </w:r>
    </w:p>
    <w:p w14:paraId="17643378" w14:textId="77777777" w:rsidR="00EB273C" w:rsidRDefault="007A362D" w:rsidP="007A362D">
      <w:r>
        <w:t>There were no dedicated PK studies in subjects with renal impairment. However, population PK modelling indicated that the covariates of creatinine or estimated creatinine clearance (</w:t>
      </w:r>
      <w:proofErr w:type="spellStart"/>
      <w:r>
        <w:t>CrCL</w:t>
      </w:r>
      <w:proofErr w:type="spellEnd"/>
      <w:r>
        <w:t xml:space="preserve">) had no impact on the PK of </w:t>
      </w:r>
      <w:proofErr w:type="spellStart"/>
      <w:r>
        <w:t>burosumab</w:t>
      </w:r>
      <w:proofErr w:type="spellEnd"/>
      <w:r>
        <w:t xml:space="preserve">. Therefore, renal impairment is unlikely to have an impact on the PK of </w:t>
      </w:r>
      <w:proofErr w:type="spellStart"/>
      <w:r>
        <w:t>burosumab</w:t>
      </w:r>
      <w:proofErr w:type="spellEnd"/>
      <w:r w:rsidR="00EB273C">
        <w:t>.</w:t>
      </w:r>
    </w:p>
    <w:p w14:paraId="67D59576" w14:textId="77777777" w:rsidR="00EB273C" w:rsidRDefault="007A362D" w:rsidP="007A362D">
      <w:r>
        <w:t xml:space="preserve">There were no dedicated PK studies in subjects with different types of </w:t>
      </w:r>
      <w:r w:rsidRPr="007C121B">
        <w:rPr>
          <w:i/>
          <w:iCs/>
        </w:rPr>
        <w:t>PHEX</w:t>
      </w:r>
      <w:r>
        <w:t xml:space="preserve"> mutation. However, population PK modelling indicated that the covariate of </w:t>
      </w:r>
      <w:r w:rsidRPr="007C121B">
        <w:rPr>
          <w:i/>
          <w:iCs/>
        </w:rPr>
        <w:t>PHEX</w:t>
      </w:r>
      <w:r>
        <w:t xml:space="preserve"> mutation type had no impact on the PK of </w:t>
      </w:r>
      <w:proofErr w:type="spellStart"/>
      <w:r>
        <w:t>burosumab</w:t>
      </w:r>
      <w:proofErr w:type="spellEnd"/>
      <w:r w:rsidR="00EB273C">
        <w:t>.</w:t>
      </w:r>
    </w:p>
    <w:p w14:paraId="21A10D99" w14:textId="41C71673" w:rsidR="007A362D" w:rsidRDefault="007A362D" w:rsidP="007A362D">
      <w:r>
        <w:t xml:space="preserve">There were no studies assessing pharmacokinetic interactions between </w:t>
      </w:r>
      <w:proofErr w:type="spellStart"/>
      <w:r>
        <w:t>burosumab</w:t>
      </w:r>
      <w:proofErr w:type="spellEnd"/>
      <w:r>
        <w:t xml:space="preserve"> and other medicines. As </w:t>
      </w:r>
      <w:proofErr w:type="spellStart"/>
      <w:r>
        <w:t>burosumab</w:t>
      </w:r>
      <w:proofErr w:type="spellEnd"/>
      <w:r>
        <w:t xml:space="preserve"> is expected to be degraded via catabolic pathways, direct drug interactions with small molecule drugs that are metabolised by cytochrome P450 enzymes are unlikely.</w:t>
      </w:r>
    </w:p>
    <w:p w14:paraId="4533909C" w14:textId="7B06E159" w:rsidR="00BE59A2" w:rsidRDefault="00BE59A2" w:rsidP="00BE59A2">
      <w:pPr>
        <w:pStyle w:val="Heading5"/>
      </w:pPr>
      <w:r w:rsidRPr="00BE59A2">
        <w:t xml:space="preserve">Population </w:t>
      </w:r>
      <w:r w:rsidR="00B7532A">
        <w:t>pharmacokinetic</w:t>
      </w:r>
      <w:r w:rsidR="00B7532A" w:rsidRPr="00BE59A2">
        <w:t xml:space="preserve"> </w:t>
      </w:r>
      <w:r w:rsidRPr="00BE59A2">
        <w:t>data</w:t>
      </w:r>
    </w:p>
    <w:p w14:paraId="68B75BAD" w14:textId="7538F04E" w:rsidR="00BE59A2" w:rsidRDefault="00BE59A2" w:rsidP="00BE59A2">
      <w:r>
        <w:t xml:space="preserve">The submission included a population </w:t>
      </w:r>
      <w:r w:rsidR="00B7532A">
        <w:t>pharmacokinetic (</w:t>
      </w:r>
      <w:proofErr w:type="spellStart"/>
      <w:r w:rsidR="00B7532A">
        <w:t>popPK</w:t>
      </w:r>
      <w:proofErr w:type="spellEnd"/>
      <w:r w:rsidR="00B7532A">
        <w:t xml:space="preserve">) </w:t>
      </w:r>
      <w:r>
        <w:t xml:space="preserve">and </w:t>
      </w:r>
      <w:r w:rsidR="0047276E">
        <w:t>pharmacokinetics</w:t>
      </w:r>
      <w:r w:rsidR="002321DC">
        <w:t>/</w:t>
      </w:r>
      <w:r w:rsidR="0047276E">
        <w:t>pharmacodynamics (</w:t>
      </w:r>
      <w:r>
        <w:t>PK/PD</w:t>
      </w:r>
      <w:r w:rsidR="0047276E">
        <w:t>)</w:t>
      </w:r>
      <w:r>
        <w:t xml:space="preserve"> report (</w:t>
      </w:r>
      <w:r w:rsidR="002321DC">
        <w:t xml:space="preserve">Study </w:t>
      </w:r>
      <w:r>
        <w:t>ULTR-PMX-</w:t>
      </w:r>
      <w:r w:rsidR="007C121B">
        <w:t>Burosumab</w:t>
      </w:r>
      <w:r>
        <w:t xml:space="preserve">-1280), which was based on data collected from </w:t>
      </w:r>
      <w:r w:rsidR="002321DC">
        <w:t>nine</w:t>
      </w:r>
      <w:r>
        <w:t xml:space="preserve"> clinical studies in adults and children with XLH (</w:t>
      </w:r>
      <w:r w:rsidR="007C121B">
        <w:t xml:space="preserve">Study </w:t>
      </w:r>
      <w:r>
        <w:t xml:space="preserve">KRN23-US-02, </w:t>
      </w:r>
      <w:r w:rsidR="007C121B">
        <w:t xml:space="preserve">Study </w:t>
      </w:r>
      <w:r>
        <w:t xml:space="preserve">KRN23-INT-001, </w:t>
      </w:r>
      <w:r w:rsidR="007C121B">
        <w:t xml:space="preserve">Study </w:t>
      </w:r>
      <w:r>
        <w:t xml:space="preserve">KRN23-INT-002, </w:t>
      </w:r>
      <w:r w:rsidR="007C121B">
        <w:t>Study</w:t>
      </w:r>
      <w:r w:rsidR="00B7532A">
        <w:t> </w:t>
      </w:r>
      <w:r>
        <w:t xml:space="preserve">UX203-CL201, </w:t>
      </w:r>
      <w:r w:rsidR="007C121B">
        <w:t xml:space="preserve">Study </w:t>
      </w:r>
      <w:r>
        <w:t xml:space="preserve">UX203-CL203, </w:t>
      </w:r>
      <w:r w:rsidR="007C121B">
        <w:t xml:space="preserve">Study </w:t>
      </w:r>
      <w:r>
        <w:t xml:space="preserve">UX203-CL205, </w:t>
      </w:r>
      <w:r w:rsidR="007C121B">
        <w:t xml:space="preserve">Study </w:t>
      </w:r>
      <w:r>
        <w:t xml:space="preserve">UX203-CL303, </w:t>
      </w:r>
      <w:r w:rsidR="007C121B">
        <w:t xml:space="preserve">Study </w:t>
      </w:r>
      <w:r>
        <w:t xml:space="preserve">UX023-CL301 and </w:t>
      </w:r>
      <w:r w:rsidR="007C121B">
        <w:t xml:space="preserve">Study </w:t>
      </w:r>
      <w:r>
        <w:t xml:space="preserve">UX023-304). The pooled data were from </w:t>
      </w:r>
      <w:r w:rsidR="002321DC">
        <w:t>six</w:t>
      </w:r>
      <w:r>
        <w:t xml:space="preserve"> infants aged from </w:t>
      </w:r>
      <w:r w:rsidR="00FC1339">
        <w:t>one</w:t>
      </w:r>
      <w:r w:rsidR="00ED14E2">
        <w:t xml:space="preserve"> to </w:t>
      </w:r>
      <w:r w:rsidR="00FC1339">
        <w:t>two</w:t>
      </w:r>
      <w:r>
        <w:t xml:space="preserve"> years, 88 children aged from </w:t>
      </w:r>
      <w:r w:rsidR="00FC1339">
        <w:t>two</w:t>
      </w:r>
      <w:r w:rsidR="00ED14E2">
        <w:t xml:space="preserve"> to </w:t>
      </w:r>
      <w:r>
        <w:t>12 years and 183 adults aged &gt;</w:t>
      </w:r>
      <w:r w:rsidR="00B7532A">
        <w:t> </w:t>
      </w:r>
      <w:r>
        <w:t>17</w:t>
      </w:r>
      <w:r w:rsidR="00B7532A">
        <w:t> </w:t>
      </w:r>
      <w:r>
        <w:t xml:space="preserve">years. The data comprised 3185 measurable serum </w:t>
      </w:r>
      <w:proofErr w:type="spellStart"/>
      <w:r>
        <w:t>burosumab</w:t>
      </w:r>
      <w:proofErr w:type="spellEnd"/>
      <w:r>
        <w:t xml:space="preserve"> concentrations and 6590 measurable serum phosphorus concentrations for PK and PK/PD analysis.</w:t>
      </w:r>
    </w:p>
    <w:p w14:paraId="5D44E100" w14:textId="08B760AA" w:rsidR="00BE59A2" w:rsidRDefault="00BE59A2" w:rsidP="00BE59A2">
      <w:r>
        <w:t>The median age of adult subjects was 41 years (range: 18.5</w:t>
      </w:r>
      <w:r w:rsidR="00D11FDA">
        <w:t xml:space="preserve"> to </w:t>
      </w:r>
      <w:r>
        <w:t>68 years), with a median body weight of 69 kg (range: 36.1</w:t>
      </w:r>
      <w:r w:rsidR="00D11FDA">
        <w:t xml:space="preserve"> to </w:t>
      </w:r>
      <w:r>
        <w:t xml:space="preserve">140). Median baseline weights were 10.4 kg in infants, 23.4 kg in children and 69 kg in adults. </w:t>
      </w:r>
      <w:proofErr w:type="gramStart"/>
      <w:r>
        <w:t xml:space="preserve">The majority </w:t>
      </w:r>
      <w:r w:rsidR="0047276E">
        <w:t>of</w:t>
      </w:r>
      <w:proofErr w:type="gramEnd"/>
      <w:r w:rsidR="0047276E">
        <w:t xml:space="preserve"> the </w:t>
      </w:r>
      <w:r>
        <w:t xml:space="preserve">subjects were White (83.3%, infants, 88.6%, children and 82.5%, adults). </w:t>
      </w:r>
      <w:proofErr w:type="gramStart"/>
      <w:r>
        <w:t>The majority of</w:t>
      </w:r>
      <w:proofErr w:type="gramEnd"/>
      <w:r>
        <w:t xml:space="preserve"> subjects in the total population had a pathogenic </w:t>
      </w:r>
      <w:r w:rsidRPr="009B187B">
        <w:rPr>
          <w:i/>
          <w:iCs/>
        </w:rPr>
        <w:t>PHEX</w:t>
      </w:r>
      <w:r>
        <w:t xml:space="preserve"> mutation. Marked differences were observed between paediatric (infants and children) and adult populations as regards the levels of bone and serum ALP as well as serum</w:t>
      </w:r>
      <w:r w:rsidR="002262AD">
        <w:t xml:space="preserve"> intact </w:t>
      </w:r>
      <w:r w:rsidR="00F04EC7">
        <w:t>FGF</w:t>
      </w:r>
      <w:r w:rsidR="002262AD">
        <w:t xml:space="preserve"> 23</w:t>
      </w:r>
      <w:r>
        <w:t>. High inter-subject variability was observed for i</w:t>
      </w:r>
      <w:r w:rsidR="00B7532A">
        <w:t xml:space="preserve">ntact </w:t>
      </w:r>
      <w:r>
        <w:t xml:space="preserve">FGF23, and </w:t>
      </w:r>
      <w:r w:rsidR="002262AD">
        <w:t xml:space="preserve">bone-specific </w:t>
      </w:r>
      <w:r w:rsidR="00B7532A">
        <w:t>ALP</w:t>
      </w:r>
      <w:r>
        <w:t xml:space="preserve"> in adults.</w:t>
      </w:r>
    </w:p>
    <w:p w14:paraId="36789F15" w14:textId="7E040EE1" w:rsidR="00BE59A2" w:rsidRDefault="00BE59A2" w:rsidP="00BE59A2">
      <w:r>
        <w:t xml:space="preserve">The final unified population PK model for subjects with XLH reported in </w:t>
      </w:r>
      <w:r w:rsidR="002262AD">
        <w:t xml:space="preserve">the report </w:t>
      </w:r>
      <w:r>
        <w:t>ULTR</w:t>
      </w:r>
      <w:r w:rsidR="00B7532A">
        <w:noBreakHyphen/>
      </w:r>
      <w:r>
        <w:t>PMX-B</w:t>
      </w:r>
      <w:r w:rsidR="002262AD">
        <w:t>urosumab</w:t>
      </w:r>
      <w:r>
        <w:t xml:space="preserve">-1280 was a one-compartment model with weight based allometric functions on </w:t>
      </w:r>
      <w:r w:rsidR="002262AD">
        <w:t>apparent clearance (</w:t>
      </w:r>
      <w:r>
        <w:t>CL/F</w:t>
      </w:r>
      <w:r w:rsidR="002262AD">
        <w:t>)</w:t>
      </w:r>
      <w:r>
        <w:t xml:space="preserve"> and </w:t>
      </w:r>
      <w:r w:rsidR="002262AD">
        <w:t>the volume of the distribution (</w:t>
      </w:r>
      <w:r>
        <w:t>V/F</w:t>
      </w:r>
      <w:r w:rsidR="002262AD">
        <w:t>)</w:t>
      </w:r>
      <w:r>
        <w:t>, along with a first</w:t>
      </w:r>
      <w:r w:rsidR="009B187B">
        <w:t xml:space="preserve"> </w:t>
      </w:r>
      <w:r>
        <w:t>order rate of absorption from SC injection site.</w:t>
      </w:r>
    </w:p>
    <w:p w14:paraId="61D12C01" w14:textId="4A995694" w:rsidR="00EB273C" w:rsidRDefault="00BE59A2" w:rsidP="00BE59A2">
      <w:r>
        <w:lastRenderedPageBreak/>
        <w:t xml:space="preserve">The typical half-life of </w:t>
      </w:r>
      <w:proofErr w:type="spellStart"/>
      <w:r>
        <w:t>burosumab</w:t>
      </w:r>
      <w:proofErr w:type="spellEnd"/>
      <w:r>
        <w:t xml:space="preserve"> absorption from SC injection sites was estimated to be 1.8 days, suggesting near complete absorption within approximately </w:t>
      </w:r>
      <w:r w:rsidR="009B187B">
        <w:t>nine</w:t>
      </w:r>
      <w:r>
        <w:t xml:space="preserve"> days. Body weight has an allometric effect on </w:t>
      </w:r>
      <w:proofErr w:type="spellStart"/>
      <w:r>
        <w:t>burosumab</w:t>
      </w:r>
      <w:proofErr w:type="spellEnd"/>
      <w:r>
        <w:t xml:space="preserve"> clearance and volume of distribution, with estimated scaling exponents of 0.876 and 0.913, respectively. The typical values (standardised on body weight of 70 kg) of apparent clearance in serum (CL/F) and volume of distribution (V/F) were 0.278 L/day (</w:t>
      </w:r>
      <w:r w:rsidR="00B7532A">
        <w:t>relative standard error (R</w:t>
      </w:r>
      <w:r>
        <w:t>SE</w:t>
      </w:r>
      <w:r w:rsidR="00B7532A">
        <w:t>)</w:t>
      </w:r>
      <w:r>
        <w:t xml:space="preserve"> = 2.5%) and 7.35 L (RSE = 3%), respectively. The CL/F suggests that </w:t>
      </w:r>
      <w:proofErr w:type="spellStart"/>
      <w:r>
        <w:t>burosumab</w:t>
      </w:r>
      <w:proofErr w:type="spellEnd"/>
      <w:r>
        <w:t xml:space="preserve"> is slowly eliminated following SC administration and the V/F suggests that </w:t>
      </w:r>
      <w:proofErr w:type="spellStart"/>
      <w:r>
        <w:t>burosumab</w:t>
      </w:r>
      <w:proofErr w:type="spellEnd"/>
      <w:r>
        <w:t xml:space="preserve"> is confined predominantly to the intravascular compartment with limited tissue distribution. These findings for CL/F and V/F are consistent with most other human </w:t>
      </w:r>
      <w:r w:rsidR="00B7532A">
        <w:t xml:space="preserve">monoclonal antibody </w:t>
      </w:r>
      <w:r>
        <w:t>drugs</w:t>
      </w:r>
      <w:r w:rsidR="00EB273C">
        <w:t>.</w:t>
      </w:r>
    </w:p>
    <w:p w14:paraId="6FDAB6A4" w14:textId="68B730CD" w:rsidR="00EB273C" w:rsidRDefault="00BE59A2" w:rsidP="00BE59A2">
      <w:r>
        <w:t xml:space="preserve">Posterior Bayes estimated geometric mean (CV%) elimination </w:t>
      </w:r>
      <w:proofErr w:type="spellStart"/>
      <w:r>
        <w:t>half</w:t>
      </w:r>
      <w:r w:rsidR="009B187B">
        <w:t xml:space="preserve"> </w:t>
      </w:r>
      <w:r>
        <w:t>life</w:t>
      </w:r>
      <w:proofErr w:type="spellEnd"/>
      <w:r>
        <w:t xml:space="preserve"> values derived with the final population PK model were 18.5 days (28.3%) in infants, 17.4 days (22.2%) in children and 18.1 days (32.1%) in adults. Posterior Bayes estimated geometric mean (</w:t>
      </w:r>
      <w:r w:rsidR="00B7532A">
        <w:t xml:space="preserve">coefficient of variation; </w:t>
      </w:r>
      <w:r>
        <w:t xml:space="preserve">CV%) accumulation ratios derived with the final population PK model were 2.92 (21.6%) in infants, 2.77 (17.1%) in children, and 1.64 (17.8%) in adults. The higher accumulation ratios in the paediatric population </w:t>
      </w:r>
      <w:proofErr w:type="gramStart"/>
      <w:r>
        <w:t>is</w:t>
      </w:r>
      <w:proofErr w:type="gramEnd"/>
      <w:r>
        <w:t xml:space="preserve"> explained by the shorter dosing interval of </w:t>
      </w:r>
      <w:r w:rsidR="002262AD">
        <w:t xml:space="preserve">every </w:t>
      </w:r>
      <w:r w:rsidR="00FC1339">
        <w:t>two</w:t>
      </w:r>
      <w:r w:rsidR="002262AD">
        <w:t xml:space="preserve"> weeks</w:t>
      </w:r>
      <w:r>
        <w:t xml:space="preserve"> in comparison to </w:t>
      </w:r>
      <w:r w:rsidR="002262AD">
        <w:t xml:space="preserve">every </w:t>
      </w:r>
      <w:r w:rsidR="00FC1339">
        <w:t>four</w:t>
      </w:r>
      <w:r w:rsidR="002262AD">
        <w:t xml:space="preserve"> weeks</w:t>
      </w:r>
      <w:r>
        <w:t xml:space="preserve"> in adult population</w:t>
      </w:r>
      <w:r w:rsidR="00EB273C">
        <w:t>.</w:t>
      </w:r>
    </w:p>
    <w:p w14:paraId="2F466909" w14:textId="1A4BA2AC" w:rsidR="00BE59A2" w:rsidRDefault="00BE59A2" w:rsidP="00BE59A2">
      <w:r>
        <w:t xml:space="preserve">Population PK analyses indicated that age, sex, race, ethnicity, baseline serum albumin, baseline serum </w:t>
      </w:r>
      <w:r w:rsidR="00B7532A">
        <w:t>ALP</w:t>
      </w:r>
      <w:r>
        <w:t xml:space="preserve">, baseline serum </w:t>
      </w:r>
      <w:r w:rsidR="00B7532A">
        <w:t>AST</w:t>
      </w:r>
      <w:r>
        <w:t>, and baseline creatinine clearance ≥</w:t>
      </w:r>
      <w:r w:rsidR="00FC1339">
        <w:t xml:space="preserve"> </w:t>
      </w:r>
      <w:r>
        <w:t xml:space="preserve">49.9 mL/min, were not significant predictors of </w:t>
      </w:r>
      <w:proofErr w:type="spellStart"/>
      <w:r>
        <w:t>burosumab</w:t>
      </w:r>
      <w:proofErr w:type="spellEnd"/>
      <w:r>
        <w:t xml:space="preserve"> PK.</w:t>
      </w:r>
    </w:p>
    <w:p w14:paraId="4A84D2F4" w14:textId="3854BCFE" w:rsidR="00BE59A2" w:rsidRDefault="00BE59A2" w:rsidP="00BE59A2">
      <w:pPr>
        <w:pStyle w:val="Heading5"/>
      </w:pPr>
      <w:r w:rsidRPr="00BE59A2">
        <w:t xml:space="preserve">Pharmacodynamics </w:t>
      </w:r>
    </w:p>
    <w:p w14:paraId="1E8B980C" w14:textId="62AC6F88" w:rsidR="00BE59A2" w:rsidRDefault="007E65A9" w:rsidP="00BE59A2">
      <w:r>
        <w:t>Pharmacodynamic (</w:t>
      </w:r>
      <w:r w:rsidR="00BE59A2">
        <w:t>PD</w:t>
      </w:r>
      <w:r>
        <w:t>)</w:t>
      </w:r>
      <w:r w:rsidR="00BE59A2">
        <w:t xml:space="preserve"> assessments focused on serum phosphorous level as the primary PD endpoint, but also included evaluation of 1,25-dihyd</w:t>
      </w:r>
      <w:r>
        <w:t>r</w:t>
      </w:r>
      <w:r w:rsidR="00BE59A2">
        <w:t>oxy vitamin D concentration and renal tubular reabsorption of phosphate as assessed by the tubular phosphate/glomerular filtration rate (</w:t>
      </w:r>
      <w:proofErr w:type="spellStart"/>
      <w:r w:rsidR="00BE59A2">
        <w:t>TmP</w:t>
      </w:r>
      <w:proofErr w:type="spellEnd"/>
      <w:r w:rsidR="00BE59A2">
        <w:t xml:space="preserve">/GFR) ratio. The pharmacodynamic endpoints in the multiple dose studies submitted to support the efficacy and safety of </w:t>
      </w:r>
      <w:proofErr w:type="spellStart"/>
      <w:r w:rsidR="00BE59A2">
        <w:t>burosumab</w:t>
      </w:r>
      <w:proofErr w:type="spellEnd"/>
      <w:r w:rsidR="00BE59A2">
        <w:t xml:space="preserve"> for the treatment of XLH in adult and paediatric patients are discussed in the efficacy section as some PD endpoints were defined primary and/or secondary efficacy endpoints.</w:t>
      </w:r>
    </w:p>
    <w:p w14:paraId="1DFCB6F6" w14:textId="77777777" w:rsidR="00EB273C" w:rsidRDefault="00BE59A2" w:rsidP="00BE59A2">
      <w:r>
        <w:t xml:space="preserve">Following SC administration of </w:t>
      </w:r>
      <w:proofErr w:type="spellStart"/>
      <w:r>
        <w:t>burosumab</w:t>
      </w:r>
      <w:proofErr w:type="spellEnd"/>
      <w:r>
        <w:t xml:space="preserve"> to XLH patients, serum phosphate levels increased in a </w:t>
      </w:r>
      <w:proofErr w:type="spellStart"/>
      <w:r>
        <w:t>burosumab</w:t>
      </w:r>
      <w:proofErr w:type="spellEnd"/>
      <w:r>
        <w:t xml:space="preserve"> concentration-dependent manner. Higher </w:t>
      </w:r>
      <w:proofErr w:type="spellStart"/>
      <w:r>
        <w:t>burosumab</w:t>
      </w:r>
      <w:proofErr w:type="spellEnd"/>
      <w:r>
        <w:t xml:space="preserve"> concentrations were associated with greater increases in serum phosphate levels. The increase in serum phosphate was reversible and returned to near baseline levels when administration of </w:t>
      </w:r>
      <w:proofErr w:type="spellStart"/>
      <w:r>
        <w:t>burosumab</w:t>
      </w:r>
      <w:proofErr w:type="spellEnd"/>
      <w:r>
        <w:t xml:space="preserve"> was discontinued</w:t>
      </w:r>
      <w:r w:rsidR="00EB273C">
        <w:t>.</w:t>
      </w:r>
    </w:p>
    <w:p w14:paraId="0BEBFE16" w14:textId="5DB36E2E" w:rsidR="00BE59A2" w:rsidRDefault="00BE59A2" w:rsidP="00BE59A2">
      <w:r>
        <w:t xml:space="preserve">Renal tubular reabsorption of phosphorous, as assessed by the </w:t>
      </w:r>
      <w:r w:rsidR="00550345">
        <w:t>r</w:t>
      </w:r>
      <w:r w:rsidR="00550345" w:rsidRPr="00A6572E">
        <w:t>atio of renal tubular maximum phosphate reabsorption rate to glomerular filtration rate</w:t>
      </w:r>
      <w:r w:rsidR="00550345">
        <w:t xml:space="preserve"> (</w:t>
      </w:r>
      <w:proofErr w:type="spellStart"/>
      <w:r>
        <w:t>TmP</w:t>
      </w:r>
      <w:proofErr w:type="spellEnd"/>
      <w:r>
        <w:t>/GFR</w:t>
      </w:r>
      <w:r w:rsidR="00550345">
        <w:t>)</w:t>
      </w:r>
      <w:r>
        <w:t xml:space="preserve">, also showed </w:t>
      </w:r>
      <w:proofErr w:type="spellStart"/>
      <w:r>
        <w:t>burosumab</w:t>
      </w:r>
      <w:proofErr w:type="spellEnd"/>
      <w:r>
        <w:t xml:space="preserve"> dose-dependent increases from </w:t>
      </w:r>
      <w:r w:rsidR="00FC1339">
        <w:t>B</w:t>
      </w:r>
      <w:r>
        <w:t xml:space="preserve">aseline. Serum </w:t>
      </w:r>
      <w:r w:rsidR="009B187B" w:rsidRPr="009B187B">
        <w:t xml:space="preserve">1,25-dihydroxy vitamin D </w:t>
      </w:r>
      <w:r>
        <w:t xml:space="preserve">levels also increased with </w:t>
      </w:r>
      <w:proofErr w:type="spellStart"/>
      <w:r>
        <w:t>burosumab</w:t>
      </w:r>
      <w:proofErr w:type="spellEnd"/>
      <w:r>
        <w:t xml:space="preserve">, but the increase was not accompanied by increased serum calcium and intact parathyroid hormone levels, or with changes in urinary calcium excretion. Both total and unbound serum FGF23 concentrations increased from </w:t>
      </w:r>
      <w:r w:rsidR="00FC1339">
        <w:t>B</w:t>
      </w:r>
      <w:r>
        <w:t xml:space="preserve">aseline values after </w:t>
      </w:r>
      <w:proofErr w:type="spellStart"/>
      <w:r>
        <w:t>burosumab</w:t>
      </w:r>
      <w:proofErr w:type="spellEnd"/>
      <w:r>
        <w:t xml:space="preserve"> administration in a dose</w:t>
      </w:r>
      <w:r w:rsidR="00D11FDA">
        <w:t xml:space="preserve"> </w:t>
      </w:r>
      <w:r>
        <w:t>dependent manner.</w:t>
      </w:r>
    </w:p>
    <w:p w14:paraId="4187ECEC" w14:textId="61C0C0CF" w:rsidR="00EB273C" w:rsidRDefault="00BE59A2" w:rsidP="00BE59A2">
      <w:r>
        <w:t xml:space="preserve">The population PK/PD model of subjects with XLH examined the relationship between serum </w:t>
      </w:r>
      <w:proofErr w:type="spellStart"/>
      <w:r>
        <w:t>burosumab</w:t>
      </w:r>
      <w:proofErr w:type="spellEnd"/>
      <w:r>
        <w:t xml:space="preserve"> concentrations (PK) and changes in serum phosphorus level (PD). The PK/PD data were adequately described by an E</w:t>
      </w:r>
      <w:r w:rsidRPr="00E31D3F">
        <w:rPr>
          <w:vertAlign w:val="subscript"/>
        </w:rPr>
        <w:t>max</w:t>
      </w:r>
      <w:r>
        <w:t xml:space="preserve"> model</w:t>
      </w:r>
      <w:r w:rsidR="00E31D3F">
        <w:t>;</w:t>
      </w:r>
      <w:r w:rsidR="00E31D3F">
        <w:rPr>
          <w:rStyle w:val="FootnoteReference"/>
        </w:rPr>
        <w:footnoteReference w:id="8"/>
      </w:r>
      <w:r>
        <w:t xml:space="preserve"> from which the typical</w:t>
      </w:r>
      <w:r w:rsidR="009B187B">
        <w:t xml:space="preserve"> concentration at which effect is at half the maximum</w:t>
      </w:r>
      <w:r>
        <w:t xml:space="preserve"> was estimated regardless of the subject’s age, body weight or time on </w:t>
      </w:r>
      <w:proofErr w:type="spellStart"/>
      <w:r>
        <w:t>burosumab</w:t>
      </w:r>
      <w:proofErr w:type="spellEnd"/>
      <w:r>
        <w:t xml:space="preserve"> treatment. The best fitting model produced a constant </w:t>
      </w:r>
      <w:r w:rsidR="00D11FDA">
        <w:t>h</w:t>
      </w:r>
      <w:r w:rsidR="00D11FDA" w:rsidRPr="00D11FDA">
        <w:t xml:space="preserve">alf maximal effective concentration </w:t>
      </w:r>
      <w:r w:rsidR="00D11FDA">
        <w:t>(</w:t>
      </w:r>
      <w:r>
        <w:t>EC</w:t>
      </w:r>
      <w:r w:rsidRPr="009B187B">
        <w:rPr>
          <w:vertAlign w:val="subscript"/>
        </w:rPr>
        <w:t>50</w:t>
      </w:r>
      <w:r w:rsidR="00D11FDA">
        <w:t>)</w:t>
      </w:r>
      <w:r>
        <w:t xml:space="preserve"> that is time invariant, suggesting that tolerability does not develop following repeat dosing of </w:t>
      </w:r>
      <w:proofErr w:type="spellStart"/>
      <w:r>
        <w:t>burosumab</w:t>
      </w:r>
      <w:proofErr w:type="spellEnd"/>
      <w:r>
        <w:t xml:space="preserve">. Simulations of </w:t>
      </w:r>
      <w:proofErr w:type="spellStart"/>
      <w:r>
        <w:t>burosumab</w:t>
      </w:r>
      <w:proofErr w:type="spellEnd"/>
      <w:r>
        <w:t xml:space="preserve"> and phosphorous exposure using the PK/PD model reported </w:t>
      </w:r>
      <w:r>
        <w:lastRenderedPageBreak/>
        <w:t xml:space="preserve">that for adolescent patients (13 to 17 years) who have XLH, the proposed dose regimen of 0.8 to 1.2 mg/kg </w:t>
      </w:r>
      <w:r w:rsidR="009B187B">
        <w:t>once every two week</w:t>
      </w:r>
      <w:r>
        <w:t xml:space="preserve"> is appropriate</w:t>
      </w:r>
      <w:r w:rsidR="00EB273C">
        <w:t>.</w:t>
      </w:r>
    </w:p>
    <w:p w14:paraId="695C5578" w14:textId="023D998F" w:rsidR="00BE59A2" w:rsidRDefault="00BE59A2" w:rsidP="00BE59A2">
      <w:r>
        <w:t xml:space="preserve">The relationships between </w:t>
      </w:r>
      <w:proofErr w:type="spellStart"/>
      <w:r>
        <w:t>burosumab</w:t>
      </w:r>
      <w:proofErr w:type="spellEnd"/>
      <w:r>
        <w:t xml:space="preserve"> exposures (</w:t>
      </w:r>
      <w:proofErr w:type="spellStart"/>
      <w:r>
        <w:t>C</w:t>
      </w:r>
      <w:r w:rsidRPr="007E65A9">
        <w:rPr>
          <w:vertAlign w:val="subscript"/>
        </w:rPr>
        <w:t>max</w:t>
      </w:r>
      <w:proofErr w:type="spellEnd"/>
      <w:r>
        <w:t xml:space="preserve">, </w:t>
      </w:r>
      <w:proofErr w:type="spellStart"/>
      <w:r>
        <w:t>C</w:t>
      </w:r>
      <w:r w:rsidRPr="007E65A9">
        <w:rPr>
          <w:vertAlign w:val="subscript"/>
        </w:rPr>
        <w:t>min</w:t>
      </w:r>
      <w:proofErr w:type="spellEnd"/>
      <w:r>
        <w:t xml:space="preserve"> and </w:t>
      </w:r>
      <w:r w:rsidR="009A3C36">
        <w:t>area under the concentration versus time curve</w:t>
      </w:r>
      <w:r>
        <w:t xml:space="preserve">) and </w:t>
      </w:r>
      <w:proofErr w:type="spellStart"/>
      <w:r>
        <w:t>hyperphosphataemia</w:t>
      </w:r>
      <w:proofErr w:type="spellEnd"/>
      <w:r>
        <w:t xml:space="preserve"> in adults were examined. In this analysis, </w:t>
      </w:r>
      <w:proofErr w:type="spellStart"/>
      <w:r>
        <w:t>hyperphosphataemia</w:t>
      </w:r>
      <w:proofErr w:type="spellEnd"/>
      <w:r>
        <w:t xml:space="preserve"> was defined as an observation of serum phosphorus &gt; 4.5 mg/dL from </w:t>
      </w:r>
      <w:r w:rsidR="00FC1339">
        <w:t>one</w:t>
      </w:r>
      <w:r>
        <w:t xml:space="preserve"> or more laboratory measurements. Burosumab serum exposures were compared between 12 subjects, who had at least </w:t>
      </w:r>
      <w:r w:rsidR="009B187B">
        <w:t>one</w:t>
      </w:r>
      <w:r>
        <w:t xml:space="preserve"> </w:t>
      </w:r>
      <w:proofErr w:type="spellStart"/>
      <w:r>
        <w:t>hyperphosphataemic</w:t>
      </w:r>
      <w:proofErr w:type="spellEnd"/>
      <w:r>
        <w:t xml:space="preserve"> event versus those from adult XLH subjects who did not have </w:t>
      </w:r>
      <w:proofErr w:type="spellStart"/>
      <w:r>
        <w:t>hyperphosphataemia</w:t>
      </w:r>
      <w:proofErr w:type="spellEnd"/>
      <w:r>
        <w:t xml:space="preserve">. PK exposure distributions demonstrated overlap between the </w:t>
      </w:r>
      <w:r w:rsidR="009B187B">
        <w:t>two</w:t>
      </w:r>
      <w:r>
        <w:t xml:space="preserve"> groups with similar median values. Therefore, it was concluded that the occurrence of </w:t>
      </w:r>
      <w:proofErr w:type="spellStart"/>
      <w:r>
        <w:t>hyperphosphataemia</w:t>
      </w:r>
      <w:proofErr w:type="spellEnd"/>
      <w:r>
        <w:t xml:space="preserve"> did not have any apparent association with </w:t>
      </w:r>
      <w:proofErr w:type="spellStart"/>
      <w:r>
        <w:t>burosumab</w:t>
      </w:r>
      <w:proofErr w:type="spellEnd"/>
      <w:r>
        <w:t xml:space="preserve"> serum exposures.</w:t>
      </w:r>
    </w:p>
    <w:p w14:paraId="3C388E82" w14:textId="0C3FA673" w:rsidR="00BE59A2" w:rsidRDefault="00BE59A2" w:rsidP="00BE59A2">
      <w:r>
        <w:t xml:space="preserve">The incidence of anti-drug antibody (ADA) positivity was less than 10% in subjects who were negative at </w:t>
      </w:r>
      <w:r w:rsidR="009B187B">
        <w:t>B</w:t>
      </w:r>
      <w:r>
        <w:t xml:space="preserve">aseline and had at least one ADA positive sample post-dose and subjects who had a positive sample at </w:t>
      </w:r>
      <w:r w:rsidR="009B187B">
        <w:t>B</w:t>
      </w:r>
      <w:r>
        <w:t>aseline and had a boosted ADA response. Of the 94</w:t>
      </w:r>
      <w:r w:rsidR="00B7532A">
        <w:t> </w:t>
      </w:r>
      <w:r>
        <w:t xml:space="preserve">paediatric subjects who were treated with </w:t>
      </w:r>
      <w:proofErr w:type="spellStart"/>
      <w:r>
        <w:t>burosumab</w:t>
      </w:r>
      <w:proofErr w:type="spellEnd"/>
      <w:r>
        <w:t xml:space="preserve"> with relevant immunogenicity data, 8 (8.5%) subjects were ADA positive and </w:t>
      </w:r>
      <w:r w:rsidR="00FC1339">
        <w:t>three</w:t>
      </w:r>
      <w:r>
        <w:t xml:space="preserve"> (3.2%) of these subjects were </w:t>
      </w:r>
      <w:r w:rsidR="00E14F25">
        <w:t>neutralising antibody (</w:t>
      </w:r>
      <w:proofErr w:type="spellStart"/>
      <w:r>
        <w:t>N</w:t>
      </w:r>
      <w:r w:rsidR="00E14F25">
        <w:t>A</w:t>
      </w:r>
      <w:r>
        <w:t>b</w:t>
      </w:r>
      <w:proofErr w:type="spellEnd"/>
      <w:r w:rsidR="00E14F25">
        <w:t>)</w:t>
      </w:r>
      <w:r>
        <w:t xml:space="preserve"> positive. Of the 148 adult subjects with relevant immunogenicity data, 8 (5.4%) subjects were ADA positive, and no subjects were </w:t>
      </w:r>
      <w:proofErr w:type="spellStart"/>
      <w:r>
        <w:t>NAb</w:t>
      </w:r>
      <w:proofErr w:type="spellEnd"/>
      <w:r>
        <w:t xml:space="preserve"> positive. The presence of </w:t>
      </w:r>
      <w:proofErr w:type="spellStart"/>
      <w:r>
        <w:t>burosumab</w:t>
      </w:r>
      <w:proofErr w:type="spellEnd"/>
      <w:r>
        <w:t xml:space="preserve"> ADAs had no negative effects on PK (CL/F; V/F), serum phosphate concentration (PD), efficacy, or safety.</w:t>
      </w:r>
    </w:p>
    <w:p w14:paraId="40AF2D27" w14:textId="497B6889" w:rsidR="00791548" w:rsidRDefault="00791548" w:rsidP="00791548">
      <w:pPr>
        <w:pStyle w:val="Heading4"/>
      </w:pPr>
      <w:r w:rsidRPr="00791548">
        <w:t>Efficacy in adults</w:t>
      </w:r>
    </w:p>
    <w:p w14:paraId="1E663680" w14:textId="15C26C54" w:rsidR="00791548" w:rsidRDefault="00B46716" w:rsidP="00791548">
      <w:pPr>
        <w:pStyle w:val="Heading5"/>
      </w:pPr>
      <w:r>
        <w:t>Study</w:t>
      </w:r>
      <w:r w:rsidR="00791548" w:rsidRPr="00791548">
        <w:t xml:space="preserve"> UXCL23-CL303</w:t>
      </w:r>
      <w:r>
        <w:t xml:space="preserve"> (pivotal)</w:t>
      </w:r>
    </w:p>
    <w:p w14:paraId="3DBD9A45" w14:textId="6B670C3A" w:rsidR="00791548" w:rsidRDefault="00791548" w:rsidP="00791548">
      <w:r>
        <w:t xml:space="preserve">Study UXCL23-CL303 was a randomised, double-blind, placebo-controlled, multinational, multicentre, Phase </w:t>
      </w:r>
      <w:r w:rsidR="009B649D">
        <w:t>III</w:t>
      </w:r>
      <w:r>
        <w:t xml:space="preserve"> study designed to evaluate the efficacy and safety of </w:t>
      </w:r>
      <w:proofErr w:type="spellStart"/>
      <w:r>
        <w:t>burosumab</w:t>
      </w:r>
      <w:proofErr w:type="spellEnd"/>
      <w:r>
        <w:t xml:space="preserve"> in adult subjects with XLH. The primary objective was to establish the effect of </w:t>
      </w:r>
      <w:proofErr w:type="spellStart"/>
      <w:r>
        <w:t>burosumab</w:t>
      </w:r>
      <w:proofErr w:type="spellEnd"/>
      <w:r>
        <w:t xml:space="preserve"> treatment compared with placebo on increasing serum phosphorus levels. The key secondary efficacy objectives were to establish the effect of </w:t>
      </w:r>
      <w:proofErr w:type="spellStart"/>
      <w:r>
        <w:t>burosumab</w:t>
      </w:r>
      <w:proofErr w:type="spellEnd"/>
      <w:r>
        <w:t xml:space="preserve"> treatment compared with placebo on skeletal pain, stiffness, and physical functioning.</w:t>
      </w:r>
    </w:p>
    <w:p w14:paraId="22756D93" w14:textId="41FC96B7" w:rsidR="00791548" w:rsidRDefault="00791548" w:rsidP="00791548">
      <w:r>
        <w:t xml:space="preserve">The study consisted of a </w:t>
      </w:r>
      <w:proofErr w:type="gramStart"/>
      <w:r>
        <w:t>placebo controlled</w:t>
      </w:r>
      <w:proofErr w:type="gramEnd"/>
      <w:r>
        <w:t xml:space="preserve"> treatment period (24 weeks), a </w:t>
      </w:r>
      <w:proofErr w:type="spellStart"/>
      <w:r>
        <w:t>burosumab</w:t>
      </w:r>
      <w:proofErr w:type="spellEnd"/>
      <w:r>
        <w:t xml:space="preserve"> open label treatment continuation period (24 weeks) followed by treatment continuation period I (48 weeks) and for the </w:t>
      </w:r>
      <w:r w:rsidR="006466E5">
        <w:t>USA- and EU</w:t>
      </w:r>
      <w:r w:rsidR="006466E5">
        <w:noBreakHyphen/>
        <w:t>located</w:t>
      </w:r>
      <w:r>
        <w:t xml:space="preserve"> sites only, a second treatment extension period (maximum 53 weeks) (</w:t>
      </w:r>
      <w:r>
        <w:fldChar w:fldCharType="begin"/>
      </w:r>
      <w:r>
        <w:instrText xml:space="preserve"> REF _Ref92364939 \h </w:instrText>
      </w:r>
      <w:r>
        <w:fldChar w:fldCharType="separate"/>
      </w:r>
      <w:r w:rsidR="00604074" w:rsidRPr="00B56404">
        <w:t xml:space="preserve">Figure </w:t>
      </w:r>
      <w:r w:rsidR="00604074">
        <w:rPr>
          <w:noProof/>
        </w:rPr>
        <w:t>2</w:t>
      </w:r>
      <w:r>
        <w:fldChar w:fldCharType="end"/>
      </w:r>
      <w:r>
        <w:t>).</w:t>
      </w:r>
    </w:p>
    <w:p w14:paraId="3AFF0F1E" w14:textId="1BA20489" w:rsidR="00791548" w:rsidRDefault="00791548" w:rsidP="00B56404">
      <w:pPr>
        <w:pStyle w:val="FigureTitle"/>
      </w:pPr>
      <w:bookmarkStart w:id="43" w:name="_Ref92364939"/>
      <w:r w:rsidRPr="00B56404">
        <w:t xml:space="preserve">Figure </w:t>
      </w:r>
      <w:r>
        <w:fldChar w:fldCharType="begin"/>
      </w:r>
      <w:r>
        <w:instrText>SEQ Figure \* ARABIC</w:instrText>
      </w:r>
      <w:r>
        <w:fldChar w:fldCharType="separate"/>
      </w:r>
      <w:r w:rsidR="00604074">
        <w:rPr>
          <w:noProof/>
        </w:rPr>
        <w:t>2</w:t>
      </w:r>
      <w:r>
        <w:fldChar w:fldCharType="end"/>
      </w:r>
      <w:bookmarkEnd w:id="43"/>
      <w:r w:rsidRPr="00B56404">
        <w:t xml:space="preserve">: Study UX023-CL303 </w:t>
      </w:r>
      <w:r w:rsidR="006466E5">
        <w:t xml:space="preserve">Overview of </w:t>
      </w:r>
      <w:r w:rsidR="00E93339">
        <w:t>study design</w:t>
      </w:r>
    </w:p>
    <w:p w14:paraId="6E819D44" w14:textId="31293931" w:rsidR="00C232F5" w:rsidRPr="00B56404" w:rsidRDefault="00C232F5" w:rsidP="00C232F5">
      <w:r>
        <w:rPr>
          <w:noProof/>
        </w:rPr>
        <w:drawing>
          <wp:inline distT="0" distB="0" distL="0" distR="0" wp14:anchorId="1583D76F" wp14:editId="0347F276">
            <wp:extent cx="4710664" cy="2044460"/>
            <wp:effectExtent l="0" t="0" r="0" b="0"/>
            <wp:docPr id="9" name="Picture 9" descr="Figure 2: Study UX023-CL303 Overview of stud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2: Study UX023-CL303 Overview of study desig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3816" cy="2067528"/>
                    </a:xfrm>
                    <a:prstGeom prst="rect">
                      <a:avLst/>
                    </a:prstGeom>
                    <a:noFill/>
                  </pic:spPr>
                </pic:pic>
              </a:graphicData>
            </a:graphic>
          </wp:inline>
        </w:drawing>
      </w:r>
    </w:p>
    <w:p w14:paraId="1F615362" w14:textId="1941FF04" w:rsidR="006466E5" w:rsidRDefault="006466E5" w:rsidP="00C232F5">
      <w:pPr>
        <w:pStyle w:val="FigureDescription"/>
      </w:pPr>
      <w:r>
        <w:t xml:space="preserve">BPI = </w:t>
      </w:r>
      <w:r w:rsidR="00C3617C">
        <w:t>Brief</w:t>
      </w:r>
      <w:r>
        <w:t xml:space="preserve"> Pain </w:t>
      </w:r>
      <w:r w:rsidR="00C3617C">
        <w:t>Inventory</w:t>
      </w:r>
      <w:r>
        <w:t xml:space="preserve">; FU = follow-up; serum P = serum phosphorus; XLH = X-linked </w:t>
      </w:r>
      <w:proofErr w:type="spellStart"/>
      <w:r>
        <w:t>hypophosphataemia</w:t>
      </w:r>
      <w:proofErr w:type="spellEnd"/>
    </w:p>
    <w:p w14:paraId="0501945E" w14:textId="6D3CFAA6" w:rsidR="00EB273C" w:rsidRDefault="00791548" w:rsidP="00791548">
      <w:r>
        <w:lastRenderedPageBreak/>
        <w:t>The study included adults aged 18</w:t>
      </w:r>
      <w:r w:rsidR="008450E9">
        <w:t xml:space="preserve"> to </w:t>
      </w:r>
      <w:r>
        <w:t xml:space="preserve">65 years, with a diagnosis of XLH plus clinical features of adult XLH. Subjects had a documented </w:t>
      </w:r>
      <w:r w:rsidRPr="008450E9">
        <w:rPr>
          <w:i/>
          <w:iCs/>
        </w:rPr>
        <w:t>PHEX</w:t>
      </w:r>
      <w:r>
        <w:t xml:space="preserve"> mutation in either the patient or in a directly related family member with appropriate X-linked inheritance and/or serum intact </w:t>
      </w:r>
      <w:r w:rsidR="00F04EC7">
        <w:t>FGF</w:t>
      </w:r>
      <w:r w:rsidR="00FD70F7" w:rsidRPr="00A6572E">
        <w:t xml:space="preserve"> 23</w:t>
      </w:r>
      <w:r w:rsidR="00FD70F7">
        <w:t xml:space="preserve"> </w:t>
      </w:r>
      <w:r>
        <w:t>level &gt;</w:t>
      </w:r>
      <w:r w:rsidR="00E93339">
        <w:t xml:space="preserve"> </w:t>
      </w:r>
      <w:r>
        <w:t xml:space="preserve">30 </w:t>
      </w:r>
      <w:proofErr w:type="spellStart"/>
      <w:r>
        <w:t>pg</w:t>
      </w:r>
      <w:proofErr w:type="spellEnd"/>
      <w:r>
        <w:t>/</w:t>
      </w:r>
      <w:proofErr w:type="spellStart"/>
      <w:r>
        <w:t>mL</w:t>
      </w:r>
      <w:r w:rsidR="00E93339">
        <w:t>.</w:t>
      </w:r>
      <w:proofErr w:type="spellEnd"/>
      <w:r>
        <w:t xml:space="preserve"> Patients were required to have biochemical findings consistent with XLH (fasting serum phosphorus and </w:t>
      </w:r>
      <w:proofErr w:type="spellStart"/>
      <w:r>
        <w:t>TmP</w:t>
      </w:r>
      <w:proofErr w:type="spellEnd"/>
      <w:r>
        <w:t>/GFR both &lt;</w:t>
      </w:r>
      <w:r w:rsidR="00D11FDA">
        <w:t> </w:t>
      </w:r>
      <w:r>
        <w:t>2.5 mg/dL) and skeletal pain attributed to XLH/</w:t>
      </w:r>
      <w:proofErr w:type="spellStart"/>
      <w:r>
        <w:t>osteomalacia</w:t>
      </w:r>
      <w:proofErr w:type="spellEnd"/>
      <w:r>
        <w:t xml:space="preserve">. </w:t>
      </w:r>
      <w:r w:rsidR="008450E9">
        <w:t>Estimated glomerular filtration rate (</w:t>
      </w:r>
      <w:r>
        <w:t>eGFR</w:t>
      </w:r>
      <w:r w:rsidR="008450E9">
        <w:t>)</w:t>
      </w:r>
      <w:r>
        <w:t xml:space="preserve"> had to be ≥</w:t>
      </w:r>
      <w:r w:rsidR="00E93339">
        <w:t xml:space="preserve"> </w:t>
      </w:r>
      <w:r>
        <w:t xml:space="preserve">60 mL/min or 45 to &lt; 60 mL/min with confirmation that any renal insufficiency was not due to </w:t>
      </w:r>
      <w:proofErr w:type="spellStart"/>
      <w:r>
        <w:t>nephrocalcinosis</w:t>
      </w:r>
      <w:proofErr w:type="spellEnd"/>
      <w:r w:rsidR="00EB273C">
        <w:t>.</w:t>
      </w:r>
    </w:p>
    <w:p w14:paraId="6F516629" w14:textId="6389F9F2" w:rsidR="00EB273C" w:rsidRDefault="00791548" w:rsidP="00791548">
      <w:r>
        <w:t xml:space="preserve">Patients were excluded if they were on active treatment for XLH. Medications with exclusion periods were pharmacologic vitamin D metabolite or analogue or oral phosphate, aluminium hydroxide antacids, acetazolamides, thiazides, chronic systemic corticosteroids, medications to suppress parathyroid hormone, bisphosphonates, denosumab, or teriparatide. Patients were also excluded if their corrected serum calcium level was ≥ 10.8 mg/dL at </w:t>
      </w:r>
      <w:r w:rsidR="008450E9">
        <w:t xml:space="preserve">screening </w:t>
      </w:r>
      <w:r w:rsidR="00D7281C">
        <w:t>V</w:t>
      </w:r>
      <w:r w:rsidR="008450E9">
        <w:t xml:space="preserve">isit </w:t>
      </w:r>
      <w:r w:rsidR="00E93339">
        <w:t>two</w:t>
      </w:r>
      <w:r>
        <w:t xml:space="preserve"> and/or their serum </w:t>
      </w:r>
      <w:r w:rsidR="00DB7560">
        <w:t>i</w:t>
      </w:r>
      <w:r w:rsidR="00DB7560" w:rsidRPr="00A6572E">
        <w:t>ntact parathyroid hormone</w:t>
      </w:r>
      <w:r>
        <w:t xml:space="preserve"> was ≥ 2.5 x </w:t>
      </w:r>
      <w:r w:rsidR="0074628E">
        <w:t>u</w:t>
      </w:r>
      <w:r w:rsidR="0074628E" w:rsidRPr="00A6572E">
        <w:t>pper limit of normal</w:t>
      </w:r>
      <w:r w:rsidR="0074628E">
        <w:t xml:space="preserve"> </w:t>
      </w:r>
      <w:r>
        <w:t xml:space="preserve">at </w:t>
      </w:r>
      <w:r w:rsidR="008450E9">
        <w:t xml:space="preserve">screening </w:t>
      </w:r>
      <w:r w:rsidR="00D7281C">
        <w:t>V</w:t>
      </w:r>
      <w:r w:rsidR="008450E9">
        <w:t xml:space="preserve">isit </w:t>
      </w:r>
      <w:r w:rsidR="00E93339">
        <w:t>one.</w:t>
      </w:r>
    </w:p>
    <w:p w14:paraId="60052B7C" w14:textId="3F469693" w:rsidR="00EB273C" w:rsidRDefault="00791548" w:rsidP="00791548">
      <w:r>
        <w:t xml:space="preserve">During the </w:t>
      </w:r>
      <w:proofErr w:type="gramStart"/>
      <w:r>
        <w:t>24 week</w:t>
      </w:r>
      <w:proofErr w:type="gramEnd"/>
      <w:r>
        <w:t xml:space="preserve"> placebo</w:t>
      </w:r>
      <w:r w:rsidR="00D7281C">
        <w:t xml:space="preserve"> </w:t>
      </w:r>
      <w:r>
        <w:t xml:space="preserve">controlled treatment period, subjects received either </w:t>
      </w:r>
      <w:proofErr w:type="spellStart"/>
      <w:r>
        <w:t>burosumab</w:t>
      </w:r>
      <w:proofErr w:type="spellEnd"/>
      <w:r>
        <w:t xml:space="preserve"> 1 mg/kg SC </w:t>
      </w:r>
      <w:r w:rsidR="00E93339">
        <w:t xml:space="preserve">once every four weeks </w:t>
      </w:r>
      <w:r>
        <w:t>or matching placebo. During the treatment continuation and extension periods, all subjects received open</w:t>
      </w:r>
      <w:r w:rsidR="00E93339">
        <w:t xml:space="preserve"> </w:t>
      </w:r>
      <w:r>
        <w:t xml:space="preserve">label </w:t>
      </w:r>
      <w:proofErr w:type="spellStart"/>
      <w:r>
        <w:t>burosumab</w:t>
      </w:r>
      <w:proofErr w:type="spellEnd"/>
      <w:r>
        <w:t xml:space="preserve"> at the same dose</w:t>
      </w:r>
      <w:r w:rsidR="00EB273C">
        <w:t>.</w:t>
      </w:r>
    </w:p>
    <w:p w14:paraId="6C988E28" w14:textId="7E93C44A" w:rsidR="00EB273C" w:rsidRDefault="00791548" w:rsidP="00791548">
      <w:r>
        <w:t xml:space="preserve">A total of 163 subjects were screened and 134 subjects were enrolled and randomised </w:t>
      </w:r>
      <w:r w:rsidR="00C3617C">
        <w:t xml:space="preserve">in a </w:t>
      </w:r>
      <w:r>
        <w:t>1:1</w:t>
      </w:r>
      <w:r w:rsidR="00C3617C">
        <w:t xml:space="preserve"> ratio</w:t>
      </w:r>
      <w:r>
        <w:t xml:space="preserve"> to receive </w:t>
      </w:r>
      <w:proofErr w:type="spellStart"/>
      <w:r>
        <w:t>burosumab</w:t>
      </w:r>
      <w:proofErr w:type="spellEnd"/>
      <w:r>
        <w:t xml:space="preserve"> (68 subjects) or placebo (66 subjects) for 24 weeks during the </w:t>
      </w:r>
      <w:proofErr w:type="gramStart"/>
      <w:r>
        <w:t>placebo</w:t>
      </w:r>
      <w:r w:rsidR="00D7281C">
        <w:t xml:space="preserve"> </w:t>
      </w:r>
      <w:r>
        <w:t>controlled</w:t>
      </w:r>
      <w:proofErr w:type="gramEnd"/>
      <w:r>
        <w:t xml:space="preserve"> treatment period. Randomisation was stratified by pain intensity and region</w:t>
      </w:r>
      <w:r w:rsidR="00EB273C">
        <w:t>.</w:t>
      </w:r>
    </w:p>
    <w:p w14:paraId="170DBCBE" w14:textId="667064E7" w:rsidR="00EB273C" w:rsidRDefault="00791548" w:rsidP="00791548">
      <w:r>
        <w:t xml:space="preserve">The mean </w:t>
      </w:r>
      <w:r w:rsidR="00883EC1">
        <w:t xml:space="preserve">standard </w:t>
      </w:r>
      <w:proofErr w:type="spellStart"/>
      <w:r w:rsidR="00883EC1">
        <w:t>deviation</w:t>
      </w:r>
      <w:r>
        <w:t>age</w:t>
      </w:r>
      <w:proofErr w:type="spellEnd"/>
      <w:r>
        <w:t xml:space="preserve"> at </w:t>
      </w:r>
      <w:r w:rsidR="00E93339">
        <w:t>B</w:t>
      </w:r>
      <w:r>
        <w:t>aseline was 40 (12.2) years (range: 18.5</w:t>
      </w:r>
      <w:r w:rsidR="00D7281C">
        <w:t xml:space="preserve"> to </w:t>
      </w:r>
      <w:r>
        <w:t xml:space="preserve">65.5 years). </w:t>
      </w:r>
      <w:proofErr w:type="gramStart"/>
      <w:r>
        <w:t>The majority of</w:t>
      </w:r>
      <w:proofErr w:type="gramEnd"/>
      <w:r>
        <w:t xml:space="preserve"> subjects were female (65%) and </w:t>
      </w:r>
      <w:r w:rsidR="002D797A">
        <w:t>W</w:t>
      </w:r>
      <w:r>
        <w:t xml:space="preserve">hite (80.6%). Mean (SD) time since first XLH symptoms and XLH diagnosis was 37.2 (12.77) years and 31.4 (15.6) years, respectively. 98.5% of subjects in the placebo group and 92.6% of subjects in the </w:t>
      </w:r>
      <w:proofErr w:type="spellStart"/>
      <w:r>
        <w:t>burosumab</w:t>
      </w:r>
      <w:proofErr w:type="spellEnd"/>
      <w:r>
        <w:t xml:space="preserve"> group had </w:t>
      </w:r>
      <w:r w:rsidRPr="00592D27">
        <w:rPr>
          <w:i/>
          <w:iCs/>
        </w:rPr>
        <w:t>PHEX</w:t>
      </w:r>
      <w:r>
        <w:t xml:space="preserve"> mutations. Most subjects in both treatment groups had received prior therapy with both oral phosphate and active vitamin D metabolites or analogues. Key PD parameters at baseline were comparable between the two treatment groups</w:t>
      </w:r>
      <w:r w:rsidR="00EB273C">
        <w:t>.</w:t>
      </w:r>
    </w:p>
    <w:p w14:paraId="24D2D3BD" w14:textId="24E3FEA5" w:rsidR="00791548" w:rsidRDefault="00791548" w:rsidP="00791548">
      <w:proofErr w:type="gramStart"/>
      <w:r>
        <w:t>The majority of</w:t>
      </w:r>
      <w:proofErr w:type="gramEnd"/>
      <w:r>
        <w:t xml:space="preserve"> subjects had a baseline </w:t>
      </w:r>
      <w:r w:rsidR="00C3617C">
        <w:t>B</w:t>
      </w:r>
      <w:r w:rsidR="00592D27">
        <w:t xml:space="preserve">rief </w:t>
      </w:r>
      <w:r w:rsidR="00C3617C">
        <w:t>P</w:t>
      </w:r>
      <w:r w:rsidR="00592D27">
        <w:t xml:space="preserve">ain </w:t>
      </w:r>
      <w:r w:rsidR="00C3617C">
        <w:t>I</w:t>
      </w:r>
      <w:r w:rsidR="00592D27">
        <w:t>nventory (</w:t>
      </w:r>
      <w:r>
        <w:t>BPI</w:t>
      </w:r>
      <w:r w:rsidR="00592D27">
        <w:t>)</w:t>
      </w:r>
      <w:r>
        <w:t xml:space="preserve"> worst pain score of &gt;</w:t>
      </w:r>
      <w:r w:rsidR="00D7281C">
        <w:t> </w:t>
      </w:r>
      <w:r>
        <w:t xml:space="preserve">6 and pain medication use was similar between treatment groups at </w:t>
      </w:r>
      <w:r w:rsidR="002D797A">
        <w:t>B</w:t>
      </w:r>
      <w:r>
        <w:t>aseline. Most subjects had bowing of limbs (94%) and enthesopathy (99.3%). Nearly two</w:t>
      </w:r>
      <w:r w:rsidR="00B945D1">
        <w:t xml:space="preserve"> </w:t>
      </w:r>
      <w:r>
        <w:t xml:space="preserve">thirds of subjects had osteoarthritis (63.4%). Active fractures and active </w:t>
      </w:r>
      <w:proofErr w:type="spellStart"/>
      <w:r>
        <w:t>pseudofractures</w:t>
      </w:r>
      <w:proofErr w:type="spellEnd"/>
      <w:r>
        <w:t xml:space="preserve"> were identified in 11.9% and 47% of subjects respectively. Non</w:t>
      </w:r>
      <w:r w:rsidR="00D7281C">
        <w:t>-</w:t>
      </w:r>
      <w:r>
        <w:t>active fractures and non</w:t>
      </w:r>
      <w:r w:rsidR="00D7281C">
        <w:t>-</w:t>
      </w:r>
      <w:r>
        <w:t>active pseudo fractures were identified in 59% and 34.3% of subjects respectively.</w:t>
      </w:r>
    </w:p>
    <w:p w14:paraId="72B5A7B8" w14:textId="37FCC1C3" w:rsidR="00791548" w:rsidRDefault="00791548" w:rsidP="00791548">
      <w:r>
        <w:t xml:space="preserve">The primary endpoint was the proportion of subjects achieving mean serum phosphorus levels above the lower limit of normal (LLN) at the midpoint of the dose interval, as averaged across dose cycles between baseline and </w:t>
      </w:r>
      <w:r w:rsidR="007F4302">
        <w:t>W</w:t>
      </w:r>
      <w:r>
        <w:t xml:space="preserve">eek 24. The primary endpoint was met by 92.6% of subjects in the </w:t>
      </w:r>
      <w:proofErr w:type="spellStart"/>
      <w:r>
        <w:t>burosumab</w:t>
      </w:r>
      <w:proofErr w:type="spellEnd"/>
      <w:r>
        <w:t xml:space="preserve"> group, compared to only 7.6% of subjects in the placebo group (p &lt; 0.0001) (</w:t>
      </w:r>
      <w:r>
        <w:fldChar w:fldCharType="begin"/>
      </w:r>
      <w:r>
        <w:instrText xml:space="preserve"> REF _Ref92365179 \h </w:instrText>
      </w:r>
      <w:r>
        <w:fldChar w:fldCharType="separate"/>
      </w:r>
      <w:r w:rsidR="00604074">
        <w:t xml:space="preserve">Table </w:t>
      </w:r>
      <w:r w:rsidR="00604074">
        <w:rPr>
          <w:noProof/>
        </w:rPr>
        <w:t>3</w:t>
      </w:r>
      <w:r>
        <w:fldChar w:fldCharType="end"/>
      </w:r>
      <w:r>
        <w:t>). The results of the sensitivity and subgroup analyses were consistent with the primary analysis.</w:t>
      </w:r>
    </w:p>
    <w:p w14:paraId="3A8BFCC4" w14:textId="417B117F" w:rsidR="00791548" w:rsidRDefault="00791548" w:rsidP="00791548">
      <w:pPr>
        <w:pStyle w:val="TableTitle"/>
      </w:pPr>
      <w:bookmarkStart w:id="44" w:name="_Ref92365179"/>
      <w:r>
        <w:lastRenderedPageBreak/>
        <w:t xml:space="preserve">Table </w:t>
      </w:r>
      <w:r>
        <w:fldChar w:fldCharType="begin"/>
      </w:r>
      <w:r>
        <w:instrText>SEQ Table \* ARABIC</w:instrText>
      </w:r>
      <w:r>
        <w:fldChar w:fldCharType="separate"/>
      </w:r>
      <w:r w:rsidR="00604074">
        <w:rPr>
          <w:noProof/>
        </w:rPr>
        <w:t>3</w:t>
      </w:r>
      <w:r>
        <w:fldChar w:fldCharType="end"/>
      </w:r>
      <w:bookmarkEnd w:id="44"/>
      <w:r>
        <w:t xml:space="preserve">: </w:t>
      </w:r>
      <w:r w:rsidR="00592D27" w:rsidRPr="00592D27">
        <w:t xml:space="preserve">Study </w:t>
      </w:r>
      <w:r w:rsidRPr="00592D27">
        <w:t>UX023-CL303</w:t>
      </w:r>
      <w:r w:rsidR="00B56404">
        <w:t xml:space="preserve"> </w:t>
      </w:r>
      <w:r w:rsidRPr="00592D27">
        <w:t xml:space="preserve">Proportion of subjects achieving mean serum phosphorous levels above the </w:t>
      </w:r>
      <w:r w:rsidR="00B56404">
        <w:t xml:space="preserve">lower limit of normal </w:t>
      </w:r>
      <w:r w:rsidRPr="00592D27">
        <w:t>across midpoints of dose intervals through Week 24, primary analysis set.</w:t>
      </w:r>
    </w:p>
    <w:p w14:paraId="0FFEAE0F" w14:textId="3C07D3B9" w:rsidR="00791548" w:rsidRDefault="00791548" w:rsidP="00C232F5">
      <w:r w:rsidRPr="000171A7">
        <w:rPr>
          <w:noProof/>
          <w:lang w:val="en-GB" w:eastAsia="en-GB"/>
        </w:rPr>
        <w:drawing>
          <wp:inline distT="0" distB="0" distL="0" distR="0" wp14:anchorId="17C8B958" wp14:editId="28E39A06">
            <wp:extent cx="5335326" cy="822179"/>
            <wp:effectExtent l="0" t="0" r="0" b="0"/>
            <wp:docPr id="47" name="Picture 47" descr="Study UX023-CL303 Proportion of subjects achieving mean serum phosphorous levels above the lower limit of normal across midpoints of dose intervals through Week 24, primary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Study UX023-CL303 Proportion of subjects achieving mean serum phosphorous levels above the lower limit of normal across midpoints of dose intervals through Week 24, primary analysis set."/>
                    <pic:cNvPicPr>
                      <a:picLocks noChangeAspect="1" noChangeArrowheads="1"/>
                    </pic:cNvPicPr>
                  </pic:nvPicPr>
                  <pic:blipFill rotWithShape="1">
                    <a:blip r:embed="rId16">
                      <a:extLst>
                        <a:ext uri="{28A0092B-C50C-407E-A947-70E740481C1C}">
                          <a14:useLocalDpi xmlns:a14="http://schemas.microsoft.com/office/drawing/2010/main" val="0"/>
                        </a:ext>
                      </a:extLst>
                    </a:blip>
                    <a:srcRect t="2896" r="1164" b="47186"/>
                    <a:stretch/>
                  </pic:blipFill>
                  <pic:spPr bwMode="auto">
                    <a:xfrm>
                      <a:off x="0" y="0"/>
                      <a:ext cx="5337209" cy="822469"/>
                    </a:xfrm>
                    <a:prstGeom prst="rect">
                      <a:avLst/>
                    </a:prstGeom>
                    <a:noFill/>
                    <a:ln>
                      <a:noFill/>
                    </a:ln>
                    <a:extLst>
                      <a:ext uri="{53640926-AAD7-44D8-BBD7-CCE9431645EC}">
                        <a14:shadowObscured xmlns:a14="http://schemas.microsoft.com/office/drawing/2010/main"/>
                      </a:ext>
                    </a:extLst>
                  </pic:spPr>
                </pic:pic>
              </a:graphicData>
            </a:graphic>
          </wp:inline>
        </w:drawing>
      </w:r>
    </w:p>
    <w:p w14:paraId="13522B4A" w14:textId="17AF6433" w:rsidR="007F4302" w:rsidRDefault="00C3617C" w:rsidP="007F4302">
      <w:pPr>
        <w:pStyle w:val="TableDescription"/>
      </w:pPr>
      <w:r>
        <w:t xml:space="preserve">CI = confidence interval; </w:t>
      </w:r>
      <w:r w:rsidR="007F4302">
        <w:t>LLN = lower limit of normal (2.5 mg/dL)</w:t>
      </w:r>
    </w:p>
    <w:p w14:paraId="6E88E367" w14:textId="36386A49" w:rsidR="007F4302" w:rsidRDefault="007F4302" w:rsidP="007F4302">
      <w:pPr>
        <w:pStyle w:val="TableDescription"/>
      </w:pPr>
      <w:proofErr w:type="spellStart"/>
      <w:r w:rsidRPr="007F4302">
        <w:rPr>
          <w:vertAlign w:val="superscript"/>
        </w:rPr>
        <w:t>a</w:t>
      </w:r>
      <w:proofErr w:type="spellEnd"/>
      <w:r>
        <w:t xml:space="preserve"> </w:t>
      </w:r>
      <w:proofErr w:type="gramStart"/>
      <w:r>
        <w:t>The</w:t>
      </w:r>
      <w:proofErr w:type="gramEnd"/>
      <w:r>
        <w:t xml:space="preserve"> 95% </w:t>
      </w:r>
      <w:r w:rsidR="00883EC1">
        <w:t>CI</w:t>
      </w:r>
      <w:r>
        <w:t xml:space="preserve"> for the proportion of subjects who achieve mean serum phosphorus levels above the LLN are calculated using the Wilson score method.</w:t>
      </w:r>
    </w:p>
    <w:p w14:paraId="618912D8" w14:textId="2D523C2D" w:rsidR="007F4302" w:rsidRPr="007F4302" w:rsidRDefault="007F4302" w:rsidP="007F4302">
      <w:pPr>
        <w:pStyle w:val="TableDescription"/>
      </w:pPr>
      <w:r w:rsidRPr="007F4302">
        <w:rPr>
          <w:vertAlign w:val="superscript"/>
        </w:rPr>
        <w:t>b</w:t>
      </w:r>
      <w:r>
        <w:t xml:space="preserve"> </w:t>
      </w:r>
      <w:proofErr w:type="gramStart"/>
      <w:r>
        <w:t>The</w:t>
      </w:r>
      <w:proofErr w:type="gramEnd"/>
      <w:r>
        <w:t xml:space="preserve"> p-value is from Cochran-Mantel-Haenszel testing for association between achieving mean serum phosphorus levels above the LLN and treatment group, adjusting for the actual randomisation stratification of </w:t>
      </w:r>
      <w:r w:rsidR="00C3617C">
        <w:t>Brief Pain Inventory</w:t>
      </w:r>
      <w:r>
        <w:t xml:space="preserve"> Average Pain and region.</w:t>
      </w:r>
    </w:p>
    <w:p w14:paraId="187C294D" w14:textId="432ACAE3" w:rsidR="00EB273C" w:rsidRDefault="00A8460B" w:rsidP="00A8460B">
      <w:r>
        <w:t xml:space="preserve">The key secondary endpoints were changes from </w:t>
      </w:r>
      <w:r w:rsidR="00625A2F">
        <w:t>B</w:t>
      </w:r>
      <w:r>
        <w:t xml:space="preserve">aseline to </w:t>
      </w:r>
      <w:r w:rsidR="00E9584A">
        <w:t>W</w:t>
      </w:r>
      <w:r>
        <w:t xml:space="preserve">eek 24 in BPI </w:t>
      </w:r>
      <w:r w:rsidR="00D7281C">
        <w:t>w</w:t>
      </w:r>
      <w:r>
        <w:t xml:space="preserve">orst </w:t>
      </w:r>
      <w:r w:rsidR="00D7281C">
        <w:t>p</w:t>
      </w:r>
      <w:r>
        <w:t xml:space="preserve">ain, </w:t>
      </w:r>
      <w:r w:rsidR="00592D27">
        <w:t xml:space="preserve">Western </w:t>
      </w:r>
      <w:proofErr w:type="gramStart"/>
      <w:r w:rsidR="00592D27">
        <w:t>Ontario</w:t>
      </w:r>
      <w:proofErr w:type="gramEnd"/>
      <w:r w:rsidR="00592D27">
        <w:t xml:space="preserve"> and McMaster </w:t>
      </w:r>
      <w:r w:rsidR="00B46716">
        <w:t>U</w:t>
      </w:r>
      <w:r w:rsidR="00592D27">
        <w:t xml:space="preserve">niversities </w:t>
      </w:r>
      <w:r w:rsidR="00B46716">
        <w:t>O</w:t>
      </w:r>
      <w:r w:rsidR="00592D27">
        <w:t xml:space="preserve">steoarthritis </w:t>
      </w:r>
      <w:r w:rsidR="00B46716">
        <w:t>I</w:t>
      </w:r>
      <w:r w:rsidR="00592D27">
        <w:t>ndex (</w:t>
      </w:r>
      <w:r>
        <w:t>WOMAC</w:t>
      </w:r>
      <w:r w:rsidR="00592D27">
        <w:t>)</w:t>
      </w:r>
      <w:r>
        <w:t xml:space="preserve"> Physical functioning, and WOMAC </w:t>
      </w:r>
      <w:r w:rsidR="00D7281C">
        <w:t>s</w:t>
      </w:r>
      <w:r>
        <w:t xml:space="preserve">tiffness scores between the two treatment groups. Statistical significance was only achieved for the WOMAC </w:t>
      </w:r>
      <w:r w:rsidR="00D7281C">
        <w:t>s</w:t>
      </w:r>
      <w:r>
        <w:t xml:space="preserve">tiffness endpoint. The </w:t>
      </w:r>
      <w:r w:rsidR="007F4302">
        <w:t>least square (</w:t>
      </w:r>
      <w:r>
        <w:t>LS</w:t>
      </w:r>
      <w:r w:rsidR="007F4302">
        <w:t>)</w:t>
      </w:r>
      <w:r>
        <w:t xml:space="preserve"> mean reductions from </w:t>
      </w:r>
      <w:r w:rsidR="00625A2F">
        <w:t>B</w:t>
      </w:r>
      <w:r>
        <w:t xml:space="preserve">aseline at </w:t>
      </w:r>
      <w:r w:rsidR="00E9584A">
        <w:t>W</w:t>
      </w:r>
      <w:r>
        <w:t xml:space="preserve">eek 24 for the other two other key secondary efficacy endpoints of pain and physical function numerically favoured the </w:t>
      </w:r>
      <w:proofErr w:type="spellStart"/>
      <w:r>
        <w:t>burosumab</w:t>
      </w:r>
      <w:proofErr w:type="spellEnd"/>
      <w:r>
        <w:t xml:space="preserve"> group, but neither of the comparisons were statistically significant (</w:t>
      </w:r>
      <w:r>
        <w:fldChar w:fldCharType="begin"/>
      </w:r>
      <w:r>
        <w:instrText xml:space="preserve"> REF _Ref92365400 \h </w:instrText>
      </w:r>
      <w:r>
        <w:fldChar w:fldCharType="separate"/>
      </w:r>
      <w:r w:rsidR="00604074">
        <w:t xml:space="preserve">Table </w:t>
      </w:r>
      <w:r w:rsidR="00604074">
        <w:rPr>
          <w:noProof/>
        </w:rPr>
        <w:t>4</w:t>
      </w:r>
      <w:r>
        <w:fldChar w:fldCharType="end"/>
      </w:r>
      <w:r>
        <w:t>)</w:t>
      </w:r>
      <w:r w:rsidR="00EB273C">
        <w:t>.</w:t>
      </w:r>
    </w:p>
    <w:p w14:paraId="0A619D6C" w14:textId="3C9EFE81" w:rsidR="00EB273C" w:rsidRDefault="00A8460B" w:rsidP="00A8460B">
      <w:r>
        <w:t xml:space="preserve">For subjects originally assigned to </w:t>
      </w:r>
      <w:proofErr w:type="spellStart"/>
      <w:r>
        <w:t>burosumab</w:t>
      </w:r>
      <w:proofErr w:type="spellEnd"/>
      <w:r>
        <w:t xml:space="preserve"> and </w:t>
      </w:r>
      <w:proofErr w:type="gramStart"/>
      <w:r>
        <w:t>continuing on</w:t>
      </w:r>
      <w:proofErr w:type="gramEnd"/>
      <w:r>
        <w:t xml:space="preserve"> open</w:t>
      </w:r>
      <w:r w:rsidR="00EC4124">
        <w:t xml:space="preserve"> </w:t>
      </w:r>
      <w:r>
        <w:t xml:space="preserve">label treatment, further improvements in BPI </w:t>
      </w:r>
      <w:r w:rsidR="00EC4124">
        <w:t>w</w:t>
      </w:r>
      <w:r>
        <w:t xml:space="preserve">orst </w:t>
      </w:r>
      <w:r w:rsidR="00EC4124">
        <w:t>p</w:t>
      </w:r>
      <w:r>
        <w:t xml:space="preserve">ain, WOMAC </w:t>
      </w:r>
      <w:r w:rsidR="00EC4124">
        <w:t>s</w:t>
      </w:r>
      <w:r>
        <w:t xml:space="preserve">tiffness, and WOMAC </w:t>
      </w:r>
      <w:r w:rsidR="00EC4124">
        <w:t>p</w:t>
      </w:r>
      <w:r>
        <w:t xml:space="preserve">hysical </w:t>
      </w:r>
      <w:r w:rsidR="00EC4124">
        <w:t>f</w:t>
      </w:r>
      <w:r>
        <w:t xml:space="preserve">unction scores were observed in the treatment continuation period. For subjects originally assigned to placebo and switching to </w:t>
      </w:r>
      <w:proofErr w:type="spellStart"/>
      <w:r>
        <w:t>burosumab</w:t>
      </w:r>
      <w:proofErr w:type="spellEnd"/>
      <w:r>
        <w:t xml:space="preserve">, improvement in BPI </w:t>
      </w:r>
      <w:r w:rsidR="00EC4124">
        <w:t>w</w:t>
      </w:r>
      <w:r>
        <w:t xml:space="preserve">orst </w:t>
      </w:r>
      <w:r w:rsidR="00C07413">
        <w:t>p</w:t>
      </w:r>
      <w:r>
        <w:t xml:space="preserve">ain, WOMAC </w:t>
      </w:r>
      <w:r w:rsidR="00EC4124">
        <w:t>s</w:t>
      </w:r>
      <w:r>
        <w:t xml:space="preserve">tiffness, and WOMAC </w:t>
      </w:r>
      <w:r w:rsidR="00EC4124">
        <w:t>p</w:t>
      </w:r>
      <w:r>
        <w:t xml:space="preserve">hysical </w:t>
      </w:r>
      <w:r w:rsidR="00EC4124">
        <w:t>f</w:t>
      </w:r>
      <w:r>
        <w:t>unction scores were observed in the treatment continuation period</w:t>
      </w:r>
      <w:r w:rsidR="00EB273C">
        <w:t>.</w:t>
      </w:r>
    </w:p>
    <w:p w14:paraId="1932719E" w14:textId="7F07F21A" w:rsidR="00EB273C" w:rsidRDefault="00A8460B" w:rsidP="00A8460B">
      <w:r>
        <w:t xml:space="preserve">The study included an exploratory efficacy endpoint assessing healing of active </w:t>
      </w:r>
      <w:proofErr w:type="spellStart"/>
      <w:r>
        <w:t>pseudofractures</w:t>
      </w:r>
      <w:proofErr w:type="spellEnd"/>
      <w:r>
        <w:t xml:space="preserve"> and/or fractures. A </w:t>
      </w:r>
      <w:r w:rsidR="00625A2F">
        <w:t>b</w:t>
      </w:r>
      <w:r>
        <w:t>aseline skeletal survey was conducted to identify the number of pre-existing fractures/</w:t>
      </w:r>
      <w:proofErr w:type="spellStart"/>
      <w:r>
        <w:t>pseudofractures</w:t>
      </w:r>
      <w:proofErr w:type="spellEnd"/>
      <w:r>
        <w:t>. At Week 24, 43.1% (28</w:t>
      </w:r>
      <w:r w:rsidR="00EC4124">
        <w:t xml:space="preserve"> out of </w:t>
      </w:r>
      <w:r>
        <w:t>65</w:t>
      </w:r>
      <w:r w:rsidR="00C3617C">
        <w:t> </w:t>
      </w:r>
      <w:r>
        <w:t xml:space="preserve">fractures) of active fractures/partial fractures in the </w:t>
      </w:r>
      <w:proofErr w:type="spellStart"/>
      <w:r>
        <w:t>burosumab</w:t>
      </w:r>
      <w:proofErr w:type="spellEnd"/>
      <w:r>
        <w:t xml:space="preserve"> group had fully healed compared to 7.7% (7</w:t>
      </w:r>
      <w:r w:rsidR="00EC4124">
        <w:t xml:space="preserve"> out of </w:t>
      </w:r>
      <w:r>
        <w:t>91 fractures) in the placebo group. At Week 48, 63.1% (41</w:t>
      </w:r>
      <w:r w:rsidR="002D797A">
        <w:t xml:space="preserve"> </w:t>
      </w:r>
      <w:r w:rsidR="00EC4124">
        <w:t xml:space="preserve">out of </w:t>
      </w:r>
      <w:r>
        <w:t xml:space="preserve">65 fractures) of active fractures/partial fractures in the </w:t>
      </w:r>
      <w:proofErr w:type="spellStart"/>
      <w:r w:rsidRPr="00EA1515">
        <w:t>burosumab</w:t>
      </w:r>
      <w:proofErr w:type="spellEnd"/>
      <w:r w:rsidRPr="00EA1515">
        <w:t xml:space="preserve"> group had fully healed compared to 35.2% (32</w:t>
      </w:r>
      <w:r w:rsidR="00EC4124" w:rsidRPr="00EA1515">
        <w:t xml:space="preserve"> out </w:t>
      </w:r>
      <w:r w:rsidRPr="00EA1515">
        <w:t>91 fractures) in the placebo</w:t>
      </w:r>
      <w:r w:rsidR="002F38C7">
        <w:t xml:space="preserve"> that were switched over to </w:t>
      </w:r>
      <w:proofErr w:type="spellStart"/>
      <w:r w:rsidRPr="00EA1515">
        <w:t>burosumab</w:t>
      </w:r>
      <w:proofErr w:type="spellEnd"/>
      <w:r w:rsidRPr="00EA1515">
        <w:t xml:space="preserve"> group</w:t>
      </w:r>
      <w:r w:rsidR="00EB273C" w:rsidRPr="00EA1515">
        <w:t>.</w:t>
      </w:r>
      <w:r w:rsidR="00EA1515" w:rsidRPr="00EA1515">
        <w:rPr>
          <w:rStyle w:val="FootnoteReference"/>
        </w:rPr>
        <w:footnoteReference w:id="9"/>
      </w:r>
    </w:p>
    <w:p w14:paraId="74497D63" w14:textId="6B228D70" w:rsidR="00A8460B" w:rsidRDefault="00A8460B" w:rsidP="00A8460B">
      <w:r>
        <w:t>There was also an additional secondary efficacy endpoint for the PD parameter</w:t>
      </w:r>
      <w:r w:rsidR="00E9584A">
        <w:t xml:space="preserve"> ratio of renal </w:t>
      </w:r>
      <w:proofErr w:type="spellStart"/>
      <w:r>
        <w:t>TmP</w:t>
      </w:r>
      <w:proofErr w:type="spellEnd"/>
      <w:r>
        <w:t xml:space="preserve">/GFR. </w:t>
      </w:r>
      <w:r w:rsidR="00E9584A">
        <w:t xml:space="preserve">The </w:t>
      </w:r>
      <w:proofErr w:type="spellStart"/>
      <w:r>
        <w:t>TmP</w:t>
      </w:r>
      <w:proofErr w:type="spellEnd"/>
      <w:r>
        <w:t xml:space="preserve">/GFR improved with </w:t>
      </w:r>
      <w:proofErr w:type="spellStart"/>
      <w:r>
        <w:t>burosumab</w:t>
      </w:r>
      <w:proofErr w:type="spellEnd"/>
      <w:r>
        <w:t xml:space="preserve"> treatment, consistent with the observed improvements in serum phosphorus. In contrast, the </w:t>
      </w:r>
      <w:proofErr w:type="spellStart"/>
      <w:r>
        <w:t>TmP</w:t>
      </w:r>
      <w:proofErr w:type="spellEnd"/>
      <w:r>
        <w:t xml:space="preserve">/GFR remained relatively unchanged in the placebo group until the transition to </w:t>
      </w:r>
      <w:proofErr w:type="spellStart"/>
      <w:r>
        <w:t>burosumab</w:t>
      </w:r>
      <w:proofErr w:type="spellEnd"/>
      <w:r>
        <w:t xml:space="preserve"> treatment at Week 24. At Baseline, the mean (SD) </w:t>
      </w:r>
      <w:proofErr w:type="spellStart"/>
      <w:r>
        <w:t>TmP</w:t>
      </w:r>
      <w:proofErr w:type="spellEnd"/>
      <w:r>
        <w:t>/GFR was 1.68 (0.4) mg/dL (range: 1</w:t>
      </w:r>
      <w:r w:rsidR="00F80C3E">
        <w:t xml:space="preserve"> to </w:t>
      </w:r>
      <w:r>
        <w:t xml:space="preserve">3.4) in the </w:t>
      </w:r>
      <w:proofErr w:type="spellStart"/>
      <w:r>
        <w:t>burosumab</w:t>
      </w:r>
      <w:proofErr w:type="spellEnd"/>
      <w:r>
        <w:t xml:space="preserve"> group. At Week 24, the mean (SD) </w:t>
      </w:r>
      <w:proofErr w:type="spellStart"/>
      <w:r>
        <w:t>TmP</w:t>
      </w:r>
      <w:proofErr w:type="spellEnd"/>
      <w:r>
        <w:t xml:space="preserve">/GFR was 2.21 (0.483) mg/dL in the </w:t>
      </w:r>
      <w:proofErr w:type="spellStart"/>
      <w:r>
        <w:t>burosumab</w:t>
      </w:r>
      <w:proofErr w:type="spellEnd"/>
      <w:r>
        <w:t xml:space="preserve"> group. The </w:t>
      </w:r>
      <w:r w:rsidR="00F80C3E">
        <w:t xml:space="preserve">LS </w:t>
      </w:r>
      <w:r w:rsidR="00E9584A">
        <w:t>means</w:t>
      </w:r>
      <w:r>
        <w:t xml:space="preserve"> </w:t>
      </w:r>
      <w:r w:rsidR="00EC4124">
        <w:t xml:space="preserve">standard error </w:t>
      </w:r>
      <w:r>
        <w:t xml:space="preserve">increase in </w:t>
      </w:r>
      <w:proofErr w:type="spellStart"/>
      <w:r>
        <w:t>TmP</w:t>
      </w:r>
      <w:proofErr w:type="spellEnd"/>
      <w:r>
        <w:t xml:space="preserve">/GFR from Baseline to Week 24 in the </w:t>
      </w:r>
      <w:proofErr w:type="spellStart"/>
      <w:r>
        <w:t>burosumab</w:t>
      </w:r>
      <w:proofErr w:type="spellEnd"/>
      <w:r>
        <w:t xml:space="preserve"> group was 0.56 (0.11) mg/dL, representing an LS</w:t>
      </w:r>
      <w:r w:rsidR="00F80C3E">
        <w:t xml:space="preserve"> mean</w:t>
      </w:r>
      <w:r>
        <w:t xml:space="preserve"> </w:t>
      </w:r>
      <w:r w:rsidR="0073676A">
        <w:t>(standard error)</w:t>
      </w:r>
      <w:r>
        <w:t xml:space="preserve"> percentage increase of 35.8% (6.13%). Increases in </w:t>
      </w:r>
      <w:proofErr w:type="spellStart"/>
      <w:r>
        <w:t>TmP</w:t>
      </w:r>
      <w:proofErr w:type="spellEnd"/>
      <w:r>
        <w:t xml:space="preserve">/GFR due to </w:t>
      </w:r>
      <w:proofErr w:type="spellStart"/>
      <w:r>
        <w:t>burosumab</w:t>
      </w:r>
      <w:proofErr w:type="spellEnd"/>
      <w:r>
        <w:t xml:space="preserve"> were accompanied by small increases in </w:t>
      </w:r>
      <w:r w:rsidR="00E9584A">
        <w:t>tubular reabsorption of phosphate (</w:t>
      </w:r>
      <w:r>
        <w:t>TRP</w:t>
      </w:r>
      <w:r w:rsidR="00E9584A">
        <w:t>)</w:t>
      </w:r>
      <w:r>
        <w:t xml:space="preserve">. The mean (SD) TRP at </w:t>
      </w:r>
      <w:r w:rsidR="00E9584A">
        <w:t>B</w:t>
      </w:r>
      <w:r>
        <w:t xml:space="preserve">aseline was 0.81 (0.083) for the </w:t>
      </w:r>
      <w:proofErr w:type="spellStart"/>
      <w:r>
        <w:t>burosumab</w:t>
      </w:r>
      <w:proofErr w:type="spellEnd"/>
      <w:r>
        <w:t xml:space="preserve"> group and increased to 0.84 (0.065) at </w:t>
      </w:r>
      <w:r w:rsidR="0073676A">
        <w:t>W</w:t>
      </w:r>
      <w:r>
        <w:t xml:space="preserve">eek 24. There were no clinically meaningful changes in </w:t>
      </w:r>
      <w:r w:rsidR="002D797A">
        <w:t>two</w:t>
      </w:r>
      <w:r w:rsidR="00E9584A">
        <w:t xml:space="preserve"> </w:t>
      </w:r>
      <w:r>
        <w:t xml:space="preserve">hour or </w:t>
      </w:r>
      <w:proofErr w:type="gramStart"/>
      <w:r>
        <w:t>24</w:t>
      </w:r>
      <w:r w:rsidR="00E9584A">
        <w:t xml:space="preserve"> </w:t>
      </w:r>
      <w:r>
        <w:t>hour</w:t>
      </w:r>
      <w:proofErr w:type="gramEnd"/>
      <w:r>
        <w:t xml:space="preserve"> phosphorus excretion in any of the treatment groups during the study.</w:t>
      </w:r>
    </w:p>
    <w:p w14:paraId="767FB224" w14:textId="04B7A5D6" w:rsidR="00A8460B" w:rsidRDefault="00A8460B" w:rsidP="00A8460B">
      <w:pPr>
        <w:pStyle w:val="TableTitle"/>
      </w:pPr>
      <w:bookmarkStart w:id="45" w:name="_Ref92365400"/>
      <w:r>
        <w:lastRenderedPageBreak/>
        <w:t xml:space="preserve">Table </w:t>
      </w:r>
      <w:r>
        <w:fldChar w:fldCharType="begin"/>
      </w:r>
      <w:r>
        <w:instrText>SEQ Table \* ARABIC</w:instrText>
      </w:r>
      <w:r>
        <w:fldChar w:fldCharType="separate"/>
      </w:r>
      <w:r w:rsidR="00604074">
        <w:rPr>
          <w:noProof/>
        </w:rPr>
        <w:t>4</w:t>
      </w:r>
      <w:r>
        <w:fldChar w:fldCharType="end"/>
      </w:r>
      <w:bookmarkEnd w:id="45"/>
      <w:r>
        <w:t xml:space="preserve">: </w:t>
      </w:r>
      <w:r w:rsidRPr="00A8460B">
        <w:t>Study UX023-CL303</w:t>
      </w:r>
      <w:r w:rsidR="00B56404">
        <w:t xml:space="preserve"> K</w:t>
      </w:r>
      <w:r w:rsidRPr="00A8460B">
        <w:t>ey secondary endpoints at Week 24</w:t>
      </w:r>
    </w:p>
    <w:p w14:paraId="019A843D" w14:textId="3948278D" w:rsidR="00A8460B" w:rsidRDefault="00A8460B" w:rsidP="00C232F5">
      <w:r w:rsidRPr="005337D7">
        <w:rPr>
          <w:noProof/>
          <w:lang w:val="en-GB" w:eastAsia="en-GB"/>
        </w:rPr>
        <w:drawing>
          <wp:inline distT="0" distB="0" distL="0" distR="0" wp14:anchorId="578A478F" wp14:editId="10153337">
            <wp:extent cx="5208105" cy="4749381"/>
            <wp:effectExtent l="0" t="0" r="0" b="0"/>
            <wp:docPr id="48" name="Picture 48" descr="Study UX023-CL303 Key secondary endpoints at We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Study UX023-CL303 Key secondary endpoints at Week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3843" cy="4763733"/>
                    </a:xfrm>
                    <a:prstGeom prst="rect">
                      <a:avLst/>
                    </a:prstGeom>
                    <a:noFill/>
                    <a:ln>
                      <a:noFill/>
                    </a:ln>
                  </pic:spPr>
                </pic:pic>
              </a:graphicData>
            </a:graphic>
          </wp:inline>
        </w:drawing>
      </w:r>
    </w:p>
    <w:p w14:paraId="202214FB" w14:textId="7A503765" w:rsidR="00F80C3E" w:rsidRPr="00F80C3E" w:rsidRDefault="00B46716" w:rsidP="00F80C3E">
      <w:pPr>
        <w:pStyle w:val="TableDescription"/>
      </w:pPr>
      <w:r>
        <w:t xml:space="preserve">BPI = Brief Pain Inventory; LS = least squares; </w:t>
      </w:r>
      <w:r w:rsidR="00F80C3E" w:rsidRPr="00F80C3E">
        <w:t>SD</w:t>
      </w:r>
      <w:r>
        <w:t xml:space="preserve"> =</w:t>
      </w:r>
      <w:r w:rsidR="00F80C3E" w:rsidRPr="00F80C3E">
        <w:t xml:space="preserve"> standard deviation</w:t>
      </w:r>
      <w:r>
        <w:t>;</w:t>
      </w:r>
      <w:r w:rsidR="00F80C3E" w:rsidRPr="00F80C3E">
        <w:t xml:space="preserve"> SE</w:t>
      </w:r>
      <w:r>
        <w:t xml:space="preserve"> =</w:t>
      </w:r>
      <w:r w:rsidR="00F80C3E" w:rsidRPr="00F80C3E">
        <w:t xml:space="preserve"> standard error</w:t>
      </w:r>
      <w:r>
        <w:t>; WOMAC = Western Ontario and McMaster Universities Osteoarthritis Index</w:t>
      </w:r>
    </w:p>
    <w:p w14:paraId="283AF41E" w14:textId="726A1FEA" w:rsidR="00A8460B" w:rsidRDefault="00A63971" w:rsidP="00A8460B">
      <w:pPr>
        <w:pStyle w:val="Heading5"/>
      </w:pPr>
      <w:r>
        <w:t>S</w:t>
      </w:r>
      <w:r w:rsidR="00A8460B" w:rsidRPr="00A8460B">
        <w:t>tudy UX023-CL304</w:t>
      </w:r>
      <w:r w:rsidR="00B46716">
        <w:t xml:space="preserve"> (supportive)</w:t>
      </w:r>
    </w:p>
    <w:p w14:paraId="36A68E44" w14:textId="3A9660C6" w:rsidR="00EB273C" w:rsidRDefault="00A8460B" w:rsidP="00A8460B">
      <w:r>
        <w:t>Study UX023-CL304 was a multinational, multicentre, open</w:t>
      </w:r>
      <w:r w:rsidR="00C07413">
        <w:t xml:space="preserve"> </w:t>
      </w:r>
      <w:r>
        <w:t xml:space="preserve">label, single arm, </w:t>
      </w:r>
      <w:r w:rsidR="00A63971">
        <w:t>P</w:t>
      </w:r>
      <w:r>
        <w:t xml:space="preserve">hase </w:t>
      </w:r>
      <w:r w:rsidR="00A63971">
        <w:t xml:space="preserve">III </w:t>
      </w:r>
      <w:r>
        <w:t xml:space="preserve">study to evaluate the effects of </w:t>
      </w:r>
      <w:proofErr w:type="spellStart"/>
      <w:r>
        <w:t>burosumab</w:t>
      </w:r>
      <w:proofErr w:type="spellEnd"/>
      <w:r>
        <w:t xml:space="preserve"> on </w:t>
      </w:r>
      <w:proofErr w:type="spellStart"/>
      <w:r>
        <w:t>osteomalacia</w:t>
      </w:r>
      <w:proofErr w:type="spellEnd"/>
      <w:r>
        <w:t xml:space="preserve"> in adults with XLH. The primary objective was to establish the effect of </w:t>
      </w:r>
      <w:proofErr w:type="spellStart"/>
      <w:r>
        <w:t>burosumab</w:t>
      </w:r>
      <w:proofErr w:type="spellEnd"/>
      <w:r>
        <w:t xml:space="preserve"> treatment on improvement in XLH-associated </w:t>
      </w:r>
      <w:proofErr w:type="spellStart"/>
      <w:r>
        <w:t>osteomalacia</w:t>
      </w:r>
      <w:proofErr w:type="spellEnd"/>
      <w:r>
        <w:t xml:space="preserve"> as determined by osteoid volume/bone volume (OV/BV). The key secondary efficacy objectives were to establish the effect of </w:t>
      </w:r>
      <w:proofErr w:type="spellStart"/>
      <w:r>
        <w:t>burosumab</w:t>
      </w:r>
      <w:proofErr w:type="spellEnd"/>
      <w:r>
        <w:t xml:space="preserve"> treatment on increasing serum phosphorus levels. The main difference between study populations in </w:t>
      </w:r>
      <w:r w:rsidR="00A63971">
        <w:t xml:space="preserve">Study </w:t>
      </w:r>
      <w:r>
        <w:t xml:space="preserve">UX023-CL304 and </w:t>
      </w:r>
      <w:r w:rsidR="00A63971">
        <w:t xml:space="preserve">Study </w:t>
      </w:r>
      <w:r>
        <w:t xml:space="preserve">UX023-CL303 was that </w:t>
      </w:r>
      <w:r w:rsidR="00A63971">
        <w:t xml:space="preserve">Study </w:t>
      </w:r>
      <w:r>
        <w:t xml:space="preserve">UX023-CL304 excluded subjects who had used oral phosphate/active vitamin D within the </w:t>
      </w:r>
      <w:r w:rsidR="00F80C3E">
        <w:t>two</w:t>
      </w:r>
      <w:r>
        <w:t xml:space="preserve"> years prior </w:t>
      </w:r>
      <w:proofErr w:type="gramStart"/>
      <w:r>
        <w:t>in order to</w:t>
      </w:r>
      <w:proofErr w:type="gramEnd"/>
      <w:r>
        <w:t xml:space="preserve"> avoid the confounding effects of conventional therapy on bone tissue</w:t>
      </w:r>
      <w:r w:rsidR="00EB273C">
        <w:t>.</w:t>
      </w:r>
    </w:p>
    <w:p w14:paraId="2F5E48C1" w14:textId="360B5177" w:rsidR="00EB273C" w:rsidRDefault="00A8460B" w:rsidP="00A8460B">
      <w:r>
        <w:t xml:space="preserve">Subjects were treated with open label </w:t>
      </w:r>
      <w:proofErr w:type="spellStart"/>
      <w:r>
        <w:t>burosumab</w:t>
      </w:r>
      <w:proofErr w:type="spellEnd"/>
      <w:r>
        <w:t xml:space="preserve"> 1 mg/kg </w:t>
      </w:r>
      <w:r w:rsidR="00F02D6E">
        <w:t xml:space="preserve">once </w:t>
      </w:r>
      <w:r w:rsidR="00F80C3E">
        <w:t>every four weeks</w:t>
      </w:r>
      <w:r>
        <w:t>. The study comprised three treatment periods: an open</w:t>
      </w:r>
      <w:r w:rsidR="00C07413">
        <w:t xml:space="preserve"> </w:t>
      </w:r>
      <w:r>
        <w:t>label treatment period (48 weeks), followed by an initial treatment extension period (I) (48 weeks) and an additional treatment extension period (II) for US</w:t>
      </w:r>
      <w:r w:rsidR="00F80C3E">
        <w:t>A</w:t>
      </w:r>
      <w:r>
        <w:t xml:space="preserve"> sites only (45 weeks)</w:t>
      </w:r>
      <w:r w:rsidR="00EB273C">
        <w:t>.</w:t>
      </w:r>
    </w:p>
    <w:p w14:paraId="38C345D4" w14:textId="6C574885" w:rsidR="00A8460B" w:rsidRDefault="00A8460B" w:rsidP="00A8460B">
      <w:r>
        <w:t xml:space="preserve">The study enrolled male and female adult subjects ≥ 18 years of age with a diagnosis of XLH. Key inclusion criteria were similar to </w:t>
      </w:r>
      <w:proofErr w:type="gramStart"/>
      <w:r>
        <w:t>those outline</w:t>
      </w:r>
      <w:proofErr w:type="gramEnd"/>
      <w:r>
        <w:t xml:space="preserve"> for </w:t>
      </w:r>
      <w:r w:rsidR="00A63971">
        <w:t>S</w:t>
      </w:r>
      <w:r>
        <w:t>tudy UX023-CL303. Key exclusion criteria included treatment with oral phosphate, vitamin D therapy or bisphosphonates within the two years prior to screening as well as evidence of hyperparathyroidism or the use of medication to suppress hyperparathyroidism within 60</w:t>
      </w:r>
      <w:r w:rsidR="00B46716">
        <w:t> </w:t>
      </w:r>
      <w:r>
        <w:t>days before screening.</w:t>
      </w:r>
    </w:p>
    <w:p w14:paraId="365A9DCC" w14:textId="6B860189" w:rsidR="00A8460B" w:rsidRDefault="00B46716" w:rsidP="00A8460B">
      <w:r>
        <w:lastRenderedPageBreak/>
        <w:t xml:space="preserve">A total of </w:t>
      </w:r>
      <w:r w:rsidR="00A8460B">
        <w:t>25 subjects were screened and 14 were enrolled. 13 subjects completed the 48</w:t>
      </w:r>
      <w:r>
        <w:t> </w:t>
      </w:r>
      <w:r w:rsidR="00A8460B">
        <w:t>week</w:t>
      </w:r>
      <w:r w:rsidR="00F02D6E">
        <w:t>s</w:t>
      </w:r>
      <w:r w:rsidR="00A8460B">
        <w:t xml:space="preserve"> treatment period, of these subjects, </w:t>
      </w:r>
      <w:r w:rsidR="00F02D6E">
        <w:t>five</w:t>
      </w:r>
      <w:r w:rsidR="00A8460B">
        <w:t xml:space="preserve"> completed treatment extension period I. The remaining </w:t>
      </w:r>
      <w:r w:rsidR="00F02D6E">
        <w:t>eight</w:t>
      </w:r>
      <w:r w:rsidR="00A8460B">
        <w:t xml:space="preserve"> subjects from US</w:t>
      </w:r>
      <w:r w:rsidR="00F02D6E">
        <w:t>A</w:t>
      </w:r>
      <w:r w:rsidR="00A8460B">
        <w:t xml:space="preserve"> sites, completed treatment extension period II.</w:t>
      </w:r>
    </w:p>
    <w:p w14:paraId="3193B243" w14:textId="0EF5E247" w:rsidR="00EB273C" w:rsidRDefault="00A8460B" w:rsidP="00A8460B">
      <w:r>
        <w:t>The mean age of subjects was 40 years (range:</w:t>
      </w:r>
      <w:r w:rsidR="00B46716">
        <w:t xml:space="preserve"> </w:t>
      </w:r>
      <w:r>
        <w:t>25</w:t>
      </w:r>
      <w:r w:rsidR="00F02D6E">
        <w:t xml:space="preserve"> to </w:t>
      </w:r>
      <w:r>
        <w:t xml:space="preserve">52 years). </w:t>
      </w:r>
      <w:proofErr w:type="gramStart"/>
      <w:r>
        <w:t>The majority of</w:t>
      </w:r>
      <w:proofErr w:type="gramEnd"/>
      <w:r>
        <w:t xml:space="preserve"> subjects were female (57%) and </w:t>
      </w:r>
      <w:r w:rsidR="00F02D6E">
        <w:t>W</w:t>
      </w:r>
      <w:r>
        <w:t>hite (64%). The mean (SD) time since XLH diagnosis was 32</w:t>
      </w:r>
      <w:r w:rsidR="00B46716">
        <w:t> </w:t>
      </w:r>
      <w:r>
        <w:t xml:space="preserve">(15.1) years. Most subjects had received therapy with both oral phosphate and active vitamin D metabolites or analogues </w:t>
      </w:r>
      <w:r w:rsidR="00F02D6E">
        <w:t>two</w:t>
      </w:r>
      <w:r>
        <w:t xml:space="preserve"> years prior to screening. </w:t>
      </w:r>
      <w:proofErr w:type="gramStart"/>
      <w:r>
        <w:t>The majority of</w:t>
      </w:r>
      <w:proofErr w:type="gramEnd"/>
      <w:r>
        <w:t xml:space="preserve"> subjects had not received conventional therapy as adults (64%)</w:t>
      </w:r>
      <w:r w:rsidR="00EB273C">
        <w:t>.</w:t>
      </w:r>
    </w:p>
    <w:p w14:paraId="1A8F6F90" w14:textId="1B1AF933" w:rsidR="00EB273C" w:rsidRDefault="00A8460B" w:rsidP="00A8460B">
      <w:r>
        <w:t xml:space="preserve">The primary efficacy endpoint was the percent change from </w:t>
      </w:r>
      <w:r w:rsidR="00A63971">
        <w:t>B</w:t>
      </w:r>
      <w:r>
        <w:t xml:space="preserve">aseline at </w:t>
      </w:r>
      <w:r w:rsidR="00A63971">
        <w:t>W</w:t>
      </w:r>
      <w:r>
        <w:t>eek 48 in osteoid volume</w:t>
      </w:r>
      <w:r w:rsidR="00B46716">
        <w:t>/bone volume</w:t>
      </w:r>
      <w:r>
        <w:t xml:space="preserve"> (OV/BV). For subjects with paired OV/BV data at </w:t>
      </w:r>
      <w:r w:rsidR="00A63971">
        <w:t>B</w:t>
      </w:r>
      <w:r>
        <w:t xml:space="preserve">aseline and </w:t>
      </w:r>
      <w:r w:rsidR="00A63971">
        <w:t>W</w:t>
      </w:r>
      <w:r>
        <w:t xml:space="preserve">eek 48, there was a mean reduction of 54.2% (95% </w:t>
      </w:r>
      <w:r w:rsidR="00F70BB5">
        <w:t>confidence interval (</w:t>
      </w:r>
      <w:r>
        <w:t>CI</w:t>
      </w:r>
      <w:r w:rsidR="00F70BB5">
        <w:t>)</w:t>
      </w:r>
      <w:r>
        <w:t>: 39.72, 68.64; nominal p&lt; 0.0001)</w:t>
      </w:r>
      <w:r w:rsidR="00EB273C">
        <w:t>.</w:t>
      </w:r>
    </w:p>
    <w:p w14:paraId="59FF4202" w14:textId="46BC4132" w:rsidR="00A8460B" w:rsidRDefault="00A8460B" w:rsidP="00A8460B">
      <w:r>
        <w:t xml:space="preserve">The key secondary endpoint was the proportion of subjects achieving mean serum phosphorus levels above the LLN at the mid-point of the dose interval as averaged across dose cycles between baseline and </w:t>
      </w:r>
      <w:r w:rsidR="002D797A">
        <w:t>W</w:t>
      </w:r>
      <w:r>
        <w:t xml:space="preserve">eek 24. 13 subjects (93% </w:t>
      </w:r>
      <w:r w:rsidR="00F02D6E">
        <w:t>(</w:t>
      </w:r>
      <w:r>
        <w:t>95% CI: 68.5%, 98.7%</w:t>
      </w:r>
      <w:r w:rsidR="00F02D6E">
        <w:t>)</w:t>
      </w:r>
      <w:r>
        <w:t>; nominal p &lt; 0.0001) achieved the key secondary endpoint (</w:t>
      </w:r>
      <w:r>
        <w:fldChar w:fldCharType="begin"/>
      </w:r>
      <w:r>
        <w:instrText xml:space="preserve"> REF _Ref92365642 \h </w:instrText>
      </w:r>
      <w:r>
        <w:fldChar w:fldCharType="separate"/>
      </w:r>
      <w:r w:rsidR="00604074">
        <w:t xml:space="preserve">Table </w:t>
      </w:r>
      <w:r w:rsidR="00604074">
        <w:rPr>
          <w:noProof/>
        </w:rPr>
        <w:t>5</w:t>
      </w:r>
      <w:r>
        <w:fldChar w:fldCharType="end"/>
      </w:r>
      <w:r>
        <w:t>).</w:t>
      </w:r>
    </w:p>
    <w:p w14:paraId="0E7997D2" w14:textId="501BE0B8" w:rsidR="00A8460B" w:rsidRDefault="00A8460B" w:rsidP="00A8460B">
      <w:r>
        <w:t xml:space="preserve">Burosumab treatment also had a positive effect on change from </w:t>
      </w:r>
      <w:r w:rsidR="00A63971">
        <w:t>B</w:t>
      </w:r>
      <w:r>
        <w:t xml:space="preserve">aseline at Week 48 in the additional </w:t>
      </w:r>
      <w:proofErr w:type="spellStart"/>
      <w:r>
        <w:t>osteomalacia</w:t>
      </w:r>
      <w:proofErr w:type="spellEnd"/>
      <w:r>
        <w:t xml:space="preserve">-defining </w:t>
      </w:r>
      <w:proofErr w:type="spellStart"/>
      <w:r>
        <w:t>histomorphometric</w:t>
      </w:r>
      <w:proofErr w:type="spellEnd"/>
      <w:r>
        <w:t xml:space="preserve"> secondary efficacy endpoints of osteoid thickness, osteoid surface/bone volume, and mineralisation lag time.</w:t>
      </w:r>
    </w:p>
    <w:p w14:paraId="048DBC0A" w14:textId="54B7D76E" w:rsidR="00A8460B" w:rsidRDefault="00A8460B" w:rsidP="00A8460B">
      <w:pPr>
        <w:pStyle w:val="TableTitle"/>
      </w:pPr>
      <w:bookmarkStart w:id="46" w:name="_Ref92365642"/>
      <w:r>
        <w:t xml:space="preserve">Table </w:t>
      </w:r>
      <w:r>
        <w:fldChar w:fldCharType="begin"/>
      </w:r>
      <w:r>
        <w:instrText>SEQ Table \* ARABIC</w:instrText>
      </w:r>
      <w:r>
        <w:fldChar w:fldCharType="separate"/>
      </w:r>
      <w:r w:rsidR="00604074">
        <w:rPr>
          <w:noProof/>
        </w:rPr>
        <w:t>5</w:t>
      </w:r>
      <w:r>
        <w:fldChar w:fldCharType="end"/>
      </w:r>
      <w:bookmarkEnd w:id="46"/>
      <w:r>
        <w:t xml:space="preserve">: </w:t>
      </w:r>
      <w:r w:rsidRPr="00A8460B">
        <w:t>Study UX023-CL304</w:t>
      </w:r>
      <w:r w:rsidR="00B56404">
        <w:t xml:space="preserve"> </w:t>
      </w:r>
      <w:r w:rsidRPr="00A8460B">
        <w:t xml:space="preserve">Summary of primary and secondary </w:t>
      </w:r>
      <w:proofErr w:type="spellStart"/>
      <w:r w:rsidRPr="00A8460B">
        <w:t>histomorphometric</w:t>
      </w:r>
      <w:proofErr w:type="spellEnd"/>
      <w:r w:rsidRPr="00A8460B">
        <w:t xml:space="preserve"> endpoints</w:t>
      </w:r>
    </w:p>
    <w:p w14:paraId="6D85F3A0" w14:textId="63B0C2E1" w:rsidR="00A8460B" w:rsidRDefault="00A8460B" w:rsidP="00C232F5">
      <w:r w:rsidRPr="008F369B">
        <w:rPr>
          <w:noProof/>
          <w:lang w:val="en-GB" w:eastAsia="en-GB"/>
        </w:rPr>
        <w:drawing>
          <wp:inline distT="0" distB="0" distL="0" distR="0" wp14:anchorId="7AD63988" wp14:editId="44D0EF8A">
            <wp:extent cx="5398908" cy="2101850"/>
            <wp:effectExtent l="0" t="0" r="0" b="0"/>
            <wp:docPr id="76" name="Picture 76" descr="Study UX023-CL304 Summary of primary and secondary histomorphometric end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Study UX023-CL304 Summary of primary and secondary histomorphometric endpoints."/>
                    <pic:cNvPicPr>
                      <a:picLocks noChangeAspect="1" noChangeArrowheads="1"/>
                    </pic:cNvPicPr>
                  </pic:nvPicPr>
                  <pic:blipFill rotWithShape="1">
                    <a:blip r:embed="rId18">
                      <a:extLst>
                        <a:ext uri="{28A0092B-C50C-407E-A947-70E740481C1C}">
                          <a14:useLocalDpi xmlns:a14="http://schemas.microsoft.com/office/drawing/2010/main" val="0"/>
                        </a:ext>
                      </a:extLst>
                    </a:blip>
                    <a:srcRect b="15389"/>
                    <a:stretch/>
                  </pic:blipFill>
                  <pic:spPr bwMode="auto">
                    <a:xfrm>
                      <a:off x="0" y="0"/>
                      <a:ext cx="5400040" cy="2102291"/>
                    </a:xfrm>
                    <a:prstGeom prst="rect">
                      <a:avLst/>
                    </a:prstGeom>
                    <a:noFill/>
                    <a:ln>
                      <a:noFill/>
                    </a:ln>
                    <a:extLst>
                      <a:ext uri="{53640926-AAD7-44D8-BBD7-CCE9431645EC}">
                        <a14:shadowObscured xmlns:a14="http://schemas.microsoft.com/office/drawing/2010/main"/>
                      </a:ext>
                    </a:extLst>
                  </pic:spPr>
                </pic:pic>
              </a:graphicData>
            </a:graphic>
          </wp:inline>
        </w:drawing>
      </w:r>
    </w:p>
    <w:p w14:paraId="53DBFD78" w14:textId="54F04CC2" w:rsidR="00B46716" w:rsidRDefault="00B46716" w:rsidP="00F02D6E">
      <w:pPr>
        <w:pStyle w:val="TableDescription"/>
      </w:pPr>
      <w:r>
        <w:t>Min = minimum; max = maximum; SD = standard deviation.</w:t>
      </w:r>
    </w:p>
    <w:p w14:paraId="0F311133" w14:textId="09F67ADD" w:rsidR="00F02D6E" w:rsidRDefault="00F02D6E" w:rsidP="00F02D6E">
      <w:pPr>
        <w:pStyle w:val="TableDescription"/>
      </w:pPr>
      <w:r>
        <w:t xml:space="preserve">The percent change from Baseline is based on </w:t>
      </w:r>
      <w:r w:rsidR="00B46716">
        <w:t>b</w:t>
      </w:r>
      <w:r>
        <w:t xml:space="preserve">aseline of the subjects who had non-missing results at both </w:t>
      </w:r>
      <w:r w:rsidR="002D797A">
        <w:t>b</w:t>
      </w:r>
      <w:r>
        <w:t>aseline and Week 48 visits.</w:t>
      </w:r>
    </w:p>
    <w:p w14:paraId="431B027A" w14:textId="0033EB09" w:rsidR="00F02D6E" w:rsidRPr="00F02D6E" w:rsidRDefault="00F02D6E" w:rsidP="00F02D6E">
      <w:pPr>
        <w:pStyle w:val="TableDescription"/>
      </w:pPr>
      <w:proofErr w:type="spellStart"/>
      <w:r>
        <w:t>a</w:t>
      </w:r>
      <w:proofErr w:type="spellEnd"/>
      <w:r>
        <w:t xml:space="preserve"> Using imputed results if reported results are missing</w:t>
      </w:r>
    </w:p>
    <w:p w14:paraId="07179B53" w14:textId="2AD00659" w:rsidR="00A8460B" w:rsidRDefault="00A8460B" w:rsidP="00A8460B">
      <w:r w:rsidRPr="00A8460B">
        <w:t>Other secondary and exploratory efficacy results are discussed in the clinical evaluation report.</w:t>
      </w:r>
    </w:p>
    <w:p w14:paraId="099045D3" w14:textId="18A35F0F" w:rsidR="00A8460B" w:rsidRDefault="00B46716" w:rsidP="005C4B85">
      <w:pPr>
        <w:pStyle w:val="Heading5"/>
      </w:pPr>
      <w:r>
        <w:t>S</w:t>
      </w:r>
      <w:r w:rsidR="00F31663" w:rsidRPr="00F31663">
        <w:t>tudy X023-CL203</w:t>
      </w:r>
      <w:r>
        <w:t xml:space="preserve"> (supportive)</w:t>
      </w:r>
    </w:p>
    <w:p w14:paraId="1235A4CC" w14:textId="2DD7D8AC" w:rsidR="005C4B85" w:rsidRDefault="005C4B85" w:rsidP="005C4B85">
      <w:r>
        <w:t>Study X023-CL203 was an open</w:t>
      </w:r>
      <w:r w:rsidR="00715390">
        <w:t xml:space="preserve"> </w:t>
      </w:r>
      <w:r>
        <w:t xml:space="preserve">label, long term extension study to evaluate the safety and </w:t>
      </w:r>
      <w:r w:rsidR="00715390">
        <w:t xml:space="preserve">PD </w:t>
      </w:r>
      <w:r>
        <w:t xml:space="preserve">of </w:t>
      </w:r>
      <w:proofErr w:type="spellStart"/>
      <w:r>
        <w:t>burosumab</w:t>
      </w:r>
      <w:proofErr w:type="spellEnd"/>
      <w:r>
        <w:t xml:space="preserve"> in adults subjects with XLH. The primary objectives related to the </w:t>
      </w:r>
      <w:proofErr w:type="gramStart"/>
      <w:r>
        <w:t>long</w:t>
      </w:r>
      <w:r w:rsidR="00715390">
        <w:t xml:space="preserve"> </w:t>
      </w:r>
      <w:r>
        <w:t>term</w:t>
      </w:r>
      <w:proofErr w:type="gramEnd"/>
      <w:r>
        <w:t xml:space="preserve"> safety, PD and immunogenicity of </w:t>
      </w:r>
      <w:proofErr w:type="spellStart"/>
      <w:r>
        <w:t>burosumab</w:t>
      </w:r>
      <w:proofErr w:type="spellEnd"/>
      <w:r>
        <w:t>. The study included exploratory efficacy objectives relating to patient reported outcomes and changes in bone disease as assessed by radiography.</w:t>
      </w:r>
    </w:p>
    <w:p w14:paraId="1EEABB59" w14:textId="4C9FFEC6" w:rsidR="00EB273C" w:rsidRDefault="005C4B85" w:rsidP="005C4B85">
      <w:r>
        <w:t xml:space="preserve">Subjects who had participated in the completed </w:t>
      </w:r>
      <w:r w:rsidR="00A63971">
        <w:t>S</w:t>
      </w:r>
      <w:r>
        <w:t>tud</w:t>
      </w:r>
      <w:r w:rsidR="00715390">
        <w:t>y</w:t>
      </w:r>
      <w:r>
        <w:t xml:space="preserve"> KRN23-INT-001 or were eligible for study inclusion. </w:t>
      </w:r>
      <w:r w:rsidR="00C9385A">
        <w:t xml:space="preserve">The </w:t>
      </w:r>
      <w:r>
        <w:t xml:space="preserve">eGFR requirements were the same as those outlined for other studies </w:t>
      </w:r>
      <w:r>
        <w:lastRenderedPageBreak/>
        <w:t xml:space="preserve">above. Key exclusion criteria were a safety related event in the preceding studies or the presence of </w:t>
      </w:r>
      <w:proofErr w:type="spellStart"/>
      <w:r>
        <w:t>nephrocalcinosis</w:t>
      </w:r>
      <w:proofErr w:type="spellEnd"/>
      <w:r>
        <w:t xml:space="preserve"> on renal ultrasound</w:t>
      </w:r>
      <w:r w:rsidR="00EB273C">
        <w:t>.</w:t>
      </w:r>
    </w:p>
    <w:p w14:paraId="6BC84709" w14:textId="57B6FFF7" w:rsidR="00EB273C" w:rsidRDefault="005C4B85" w:rsidP="005C4B85">
      <w:r>
        <w:t xml:space="preserve">Subjects received starting does of </w:t>
      </w:r>
      <w:proofErr w:type="spellStart"/>
      <w:r>
        <w:t>burosumab</w:t>
      </w:r>
      <w:proofErr w:type="spellEnd"/>
      <w:r>
        <w:t xml:space="preserve"> of 0.3, 0.6 or 1 mg/kg every </w:t>
      </w:r>
      <w:r w:rsidR="002D797A">
        <w:t>four</w:t>
      </w:r>
      <w:r>
        <w:t xml:space="preserve"> weeks that matched their last dose in the preceding studies. Doses were titrated according to serum phosphorus levels</w:t>
      </w:r>
      <w:r w:rsidR="00EB273C">
        <w:t>.</w:t>
      </w:r>
    </w:p>
    <w:p w14:paraId="3F508752" w14:textId="42826A75" w:rsidR="005C4B85" w:rsidRDefault="005C4B85" w:rsidP="005C4B85">
      <w:r>
        <w:t xml:space="preserve">A total of 20 subjects were enrolled, and 19 (95%) subjects completed the study. The mean (SD) age was 49.8 (12.9) years. Most subjects were female (70%) and </w:t>
      </w:r>
      <w:r w:rsidR="00CA165A">
        <w:t>W</w:t>
      </w:r>
      <w:r>
        <w:t xml:space="preserve">hite (95%). The mean (SD) time since XLH diagnosis was 40.7 (16.2) years and mean (SD) time since first XLH symptoms was 47.9 (13.5) years. All 20 enrolled subjects received </w:t>
      </w:r>
      <w:proofErr w:type="spellStart"/>
      <w:r>
        <w:t>burosumab</w:t>
      </w:r>
      <w:proofErr w:type="spellEnd"/>
      <w:r>
        <w:t xml:space="preserve"> through Week 68.</w:t>
      </w:r>
    </w:p>
    <w:p w14:paraId="0F642CD5" w14:textId="129EE054" w:rsidR="005C4B85" w:rsidRDefault="005C4B85" w:rsidP="005C4B85">
      <w:r>
        <w:t xml:space="preserve">Efficacy endpoints were exploratory only. There were primary PD endpoints relating to serum phosphorus, 1,25(OH)2D, </w:t>
      </w:r>
      <w:r w:rsidR="00EC4EA2">
        <w:t>intact parathyroid hormone</w:t>
      </w:r>
      <w:r>
        <w:t>, and FGF23, urinalysis parameters (</w:t>
      </w:r>
      <w:proofErr w:type="spellStart"/>
      <w:r>
        <w:t>TmP</w:t>
      </w:r>
      <w:proofErr w:type="spellEnd"/>
      <w:r>
        <w:t xml:space="preserve">/GFR, TRP, calcium, creatinine, phosphorus), bone biomarkers (total ALP, </w:t>
      </w:r>
      <w:r w:rsidR="00715390">
        <w:t>b</w:t>
      </w:r>
      <w:r w:rsidR="0036247F">
        <w:t>one</w:t>
      </w:r>
      <w:r w:rsidR="00715390">
        <w:t xml:space="preserve"> </w:t>
      </w:r>
      <w:r w:rsidR="0036247F">
        <w:t xml:space="preserve">specific alkaline phosphatase </w:t>
      </w:r>
      <w:r w:rsidR="00C1439C">
        <w:t>carboxy terminal cross-linked telopeptide of type I collagen</w:t>
      </w:r>
      <w:r>
        <w:t xml:space="preserve"> and </w:t>
      </w:r>
      <w:r w:rsidR="00C1439C">
        <w:t xml:space="preserve">procollagen type N- </w:t>
      </w:r>
      <w:proofErr w:type="spellStart"/>
      <w:r w:rsidR="00C1439C">
        <w:t>propeptide</w:t>
      </w:r>
      <w:proofErr w:type="spellEnd"/>
      <w:r>
        <w:t xml:space="preserve"> and fractional excretion of phosphorus (FEP)</w:t>
      </w:r>
      <w:r w:rsidR="00C1439C">
        <w:t>.</w:t>
      </w:r>
    </w:p>
    <w:p w14:paraId="05A64E2D" w14:textId="094F9797" w:rsidR="00EB273C" w:rsidRDefault="005C4B85" w:rsidP="005C4B85">
      <w:r>
        <w:t xml:space="preserve">At midpoint visits throughout the study most subjects (85% </w:t>
      </w:r>
      <w:r w:rsidR="00CA165A">
        <w:t>(</w:t>
      </w:r>
      <w:r>
        <w:t>17</w:t>
      </w:r>
      <w:r w:rsidR="00CA165A">
        <w:t xml:space="preserve"> out of </w:t>
      </w:r>
      <w:r>
        <w:t>20</w:t>
      </w:r>
      <w:r w:rsidR="00CA165A">
        <w:t>)</w:t>
      </w:r>
      <w:r>
        <w:t xml:space="preserve"> to 100% </w:t>
      </w:r>
      <w:r w:rsidR="00CA165A">
        <w:t>(</w:t>
      </w:r>
      <w:r>
        <w:t>20</w:t>
      </w:r>
      <w:r w:rsidR="00CA165A">
        <w:t xml:space="preserve"> out of </w:t>
      </w:r>
      <w:r>
        <w:t>20</w:t>
      </w:r>
      <w:r w:rsidR="00CA165A">
        <w:t>)</w:t>
      </w:r>
      <w:r>
        <w:t xml:space="preserve"> had serum phosphorus levels in the normal range. The mean (SE) serum phosphorus concentration at the midpoints of </w:t>
      </w:r>
      <w:proofErr w:type="spellStart"/>
      <w:r>
        <w:t>burosumab</w:t>
      </w:r>
      <w:proofErr w:type="spellEnd"/>
      <w:r>
        <w:t xml:space="preserve"> dosing was 3.10 (0.079) mg/dL, with a mean increase from </w:t>
      </w:r>
      <w:r w:rsidR="00C1439C">
        <w:t>B</w:t>
      </w:r>
      <w:r>
        <w:t>aseline of +</w:t>
      </w:r>
      <w:r w:rsidR="00CA165A">
        <w:t xml:space="preserve"> </w:t>
      </w:r>
      <w:r>
        <w:t>1.21 mg/dL. Mean serum phosphorus concentrations were consistently above baseline throughout the study</w:t>
      </w:r>
      <w:r w:rsidR="00EB273C">
        <w:t>.</w:t>
      </w:r>
    </w:p>
    <w:p w14:paraId="3A8B1996" w14:textId="7A69066E" w:rsidR="00EB273C" w:rsidRDefault="005C4B85" w:rsidP="005C4B85">
      <w:r>
        <w:t xml:space="preserve">Mean serum 1,25(OH)2D concentrations increased from </w:t>
      </w:r>
      <w:r w:rsidR="00C1439C">
        <w:t>B</w:t>
      </w:r>
      <w:r>
        <w:t xml:space="preserve">aseline to Weeks 12 and 24 with </w:t>
      </w:r>
      <w:proofErr w:type="spellStart"/>
      <w:r>
        <w:t>burosumab</w:t>
      </w:r>
      <w:proofErr w:type="spellEnd"/>
      <w:r>
        <w:t xml:space="preserve"> treatment, then returned to </w:t>
      </w:r>
      <w:r w:rsidR="002D797A">
        <w:t>b</w:t>
      </w:r>
      <w:r>
        <w:t xml:space="preserve">aseline levels at Week 36 and remained near </w:t>
      </w:r>
      <w:r w:rsidR="002D797A">
        <w:t>b</w:t>
      </w:r>
      <w:r>
        <w:t>aseline levels through the rest of the study</w:t>
      </w:r>
      <w:r w:rsidR="00EB273C">
        <w:t>.</w:t>
      </w:r>
    </w:p>
    <w:p w14:paraId="05CAAB47" w14:textId="29D0146D" w:rsidR="00EB273C" w:rsidRDefault="005C4B85" w:rsidP="005C4B85">
      <w:r>
        <w:t xml:space="preserve">Mean urinary </w:t>
      </w:r>
      <w:proofErr w:type="gramStart"/>
      <w:r w:rsidR="002E39C1">
        <w:t xml:space="preserve">two </w:t>
      </w:r>
      <w:r>
        <w:t>hour</w:t>
      </w:r>
      <w:proofErr w:type="gramEnd"/>
      <w:r>
        <w:t xml:space="preserve"> </w:t>
      </w:r>
      <w:proofErr w:type="spellStart"/>
      <w:r>
        <w:t>TmP</w:t>
      </w:r>
      <w:proofErr w:type="spellEnd"/>
      <w:r>
        <w:t xml:space="preserve">/GFR improved from </w:t>
      </w:r>
      <w:r w:rsidR="00C1439C">
        <w:t>B</w:t>
      </w:r>
      <w:r>
        <w:t xml:space="preserve">aseline at all visits with </w:t>
      </w:r>
      <w:proofErr w:type="spellStart"/>
      <w:r>
        <w:t>burosumab</w:t>
      </w:r>
      <w:proofErr w:type="spellEnd"/>
      <w:r>
        <w:t xml:space="preserve"> treatment. The mean (SE) </w:t>
      </w:r>
      <w:proofErr w:type="spellStart"/>
      <w:r>
        <w:t>TmP</w:t>
      </w:r>
      <w:proofErr w:type="spellEnd"/>
      <w:r>
        <w:t xml:space="preserve">/GFR was 1.583 (0.0574) mg/dL at </w:t>
      </w:r>
      <w:r w:rsidR="00C1439C">
        <w:t>B</w:t>
      </w:r>
      <w:r>
        <w:t>aseline (n</w:t>
      </w:r>
      <w:r w:rsidR="002E39C1">
        <w:t xml:space="preserve"> </w:t>
      </w:r>
      <w:r>
        <w:t>=</w:t>
      </w:r>
      <w:r w:rsidR="002E39C1">
        <w:t xml:space="preserve"> </w:t>
      </w:r>
      <w:r>
        <w:t>20) and 2.039 (0.0769) mg/dL at EOS (n</w:t>
      </w:r>
      <w:r w:rsidR="002E39C1">
        <w:t xml:space="preserve"> </w:t>
      </w:r>
      <w:r>
        <w:t>=</w:t>
      </w:r>
      <w:r w:rsidR="002E39C1">
        <w:t xml:space="preserve"> </w:t>
      </w:r>
      <w:r>
        <w:t xml:space="preserve">19), with the increase from </w:t>
      </w:r>
      <w:r w:rsidR="00C1439C">
        <w:t>B</w:t>
      </w:r>
      <w:r>
        <w:t xml:space="preserve">aseline to </w:t>
      </w:r>
      <w:r w:rsidR="00C1439C">
        <w:t xml:space="preserve">end of study </w:t>
      </w:r>
      <w:r>
        <w:t>being 0.48 (0.076) mg/dL</w:t>
      </w:r>
      <w:r w:rsidR="00EB273C">
        <w:t>.</w:t>
      </w:r>
    </w:p>
    <w:p w14:paraId="1D6CF649" w14:textId="4072AEA2" w:rsidR="005C4B85" w:rsidRDefault="005C4B85" w:rsidP="005C4B85">
      <w:r>
        <w:t xml:space="preserve">No clinically meaningful changes from </w:t>
      </w:r>
      <w:r w:rsidR="00C1439C">
        <w:t>B</w:t>
      </w:r>
      <w:r>
        <w:t xml:space="preserve">aseline in mean urinary </w:t>
      </w:r>
      <w:proofErr w:type="gramStart"/>
      <w:r w:rsidR="002E39C1">
        <w:t xml:space="preserve">two </w:t>
      </w:r>
      <w:r>
        <w:t>hour</w:t>
      </w:r>
      <w:proofErr w:type="gramEnd"/>
      <w:r>
        <w:t xml:space="preserve"> tubular reabsorption fraction (TRP) or FEP occurred over the course of the study. At </w:t>
      </w:r>
      <w:r w:rsidR="00C1439C">
        <w:t>B</w:t>
      </w:r>
      <w:r>
        <w:t xml:space="preserve">aseline, the mean urinary </w:t>
      </w:r>
      <w:proofErr w:type="gramStart"/>
      <w:r w:rsidR="002E39C1">
        <w:t xml:space="preserve">two </w:t>
      </w:r>
      <w:r>
        <w:t>hour</w:t>
      </w:r>
      <w:proofErr w:type="gramEnd"/>
      <w:r>
        <w:t xml:space="preserve"> TRP was 0.78 (range: 0.66</w:t>
      </w:r>
      <w:r w:rsidR="00715390">
        <w:t xml:space="preserve"> to </w:t>
      </w:r>
      <w:r>
        <w:t xml:space="preserve">0.96), and the LS mean change from </w:t>
      </w:r>
      <w:r w:rsidR="00C1439C">
        <w:t>B</w:t>
      </w:r>
      <w:r>
        <w:t>aseline ranged from -</w:t>
      </w:r>
      <w:r w:rsidR="002E39C1">
        <w:t xml:space="preserve"> </w:t>
      </w:r>
      <w:r>
        <w:t>0.01 to +</w:t>
      </w:r>
      <w:r w:rsidR="002E39C1">
        <w:t xml:space="preserve"> </w:t>
      </w:r>
      <w:r>
        <w:t xml:space="preserve">0.05. At </w:t>
      </w:r>
      <w:r w:rsidR="00C1439C">
        <w:t>B</w:t>
      </w:r>
      <w:r>
        <w:t xml:space="preserve">aseline, the mean urinary </w:t>
      </w:r>
      <w:proofErr w:type="gramStart"/>
      <w:r w:rsidR="002E39C1">
        <w:t xml:space="preserve">two </w:t>
      </w:r>
      <w:r>
        <w:t>hour</w:t>
      </w:r>
      <w:proofErr w:type="gramEnd"/>
      <w:r>
        <w:t xml:space="preserve"> FEP was 0.22 (range: 0.04</w:t>
      </w:r>
      <w:r w:rsidR="00715390">
        <w:t xml:space="preserve"> to</w:t>
      </w:r>
      <w:r>
        <w:t xml:space="preserve"> 0.34), and the LS mean change from </w:t>
      </w:r>
      <w:r w:rsidR="00C1439C">
        <w:t>B</w:t>
      </w:r>
      <w:r>
        <w:t>aseline ranged from -</w:t>
      </w:r>
      <w:r w:rsidR="002E39C1">
        <w:t xml:space="preserve"> </w:t>
      </w:r>
      <w:r>
        <w:t>0.05 to +</w:t>
      </w:r>
      <w:r w:rsidR="002E39C1">
        <w:t xml:space="preserve"> </w:t>
      </w:r>
      <w:r>
        <w:t>0.01.</w:t>
      </w:r>
    </w:p>
    <w:p w14:paraId="7831164C" w14:textId="5FBF4637" w:rsidR="005C4B85" w:rsidRDefault="00C1439C" w:rsidP="005C4B85">
      <w:r>
        <w:t xml:space="preserve">The </w:t>
      </w:r>
      <w:r w:rsidR="00715390" w:rsidRPr="00715390">
        <w:t>C-</w:t>
      </w:r>
      <w:r w:rsidR="00715390">
        <w:t>t</w:t>
      </w:r>
      <w:r w:rsidR="00715390" w:rsidRPr="00715390">
        <w:t xml:space="preserve">erminal </w:t>
      </w:r>
      <w:proofErr w:type="gramStart"/>
      <w:r w:rsidR="00715390">
        <w:t>t</w:t>
      </w:r>
      <w:r w:rsidR="00715390" w:rsidRPr="00715390">
        <w:t xml:space="preserve">elopeptide </w:t>
      </w:r>
      <w:r w:rsidR="005C4B85">
        <w:t xml:space="preserve"> levels</w:t>
      </w:r>
      <w:proofErr w:type="gramEnd"/>
      <w:r w:rsidR="005C4B85">
        <w:t xml:space="preserve"> increased from Baseline only at Week 24, while </w:t>
      </w:r>
      <w:r w:rsidR="00EC4EA2">
        <w:t>p</w:t>
      </w:r>
      <w:r w:rsidR="00EC4EA2" w:rsidRPr="00A6572E">
        <w:t>rocollagen type N-</w:t>
      </w:r>
      <w:proofErr w:type="spellStart"/>
      <w:r w:rsidR="00EC4EA2" w:rsidRPr="00A6572E">
        <w:t>propeptide</w:t>
      </w:r>
      <w:proofErr w:type="spellEnd"/>
      <w:r w:rsidR="00EC4EA2" w:rsidRPr="00EC4EA2">
        <w:t xml:space="preserve"> </w:t>
      </w:r>
      <w:r w:rsidR="005C4B85">
        <w:t xml:space="preserve">levels increased from </w:t>
      </w:r>
      <w:r>
        <w:t>B</w:t>
      </w:r>
      <w:r w:rsidR="005C4B85">
        <w:t xml:space="preserve">aseline at Weeks 24 through 96. </w:t>
      </w:r>
      <w:r>
        <w:t xml:space="preserve">The </w:t>
      </w:r>
      <w:r w:rsidR="005C4B85">
        <w:t xml:space="preserve">ALP and </w:t>
      </w:r>
      <w:r w:rsidR="004A36CB">
        <w:t>bone</w:t>
      </w:r>
      <w:r w:rsidR="00715390">
        <w:t xml:space="preserve"> </w:t>
      </w:r>
      <w:r w:rsidR="004A36CB">
        <w:t xml:space="preserve">specific alkaline phosphatase </w:t>
      </w:r>
      <w:r w:rsidR="005C4B85">
        <w:t xml:space="preserve">levels decreased from </w:t>
      </w:r>
      <w:r>
        <w:t>B</w:t>
      </w:r>
      <w:r w:rsidR="005C4B85">
        <w:t>aseline at Week</w:t>
      </w:r>
      <w:r w:rsidR="00715390">
        <w:t> </w:t>
      </w:r>
      <w:r w:rsidR="005C4B85">
        <w:t xml:space="preserve">72 through Week 168 and </w:t>
      </w:r>
      <w:r w:rsidR="00674F81">
        <w:t>extension of time</w:t>
      </w:r>
      <w:r w:rsidR="005C4B85">
        <w:t>.</w:t>
      </w:r>
    </w:p>
    <w:p w14:paraId="494EAB60" w14:textId="69B6FD77" w:rsidR="005C4B85" w:rsidRDefault="005C4B85" w:rsidP="005C4B85">
      <w:pPr>
        <w:pStyle w:val="Heading4"/>
      </w:pPr>
      <w:r w:rsidRPr="005C4B85">
        <w:t>Efficacy in children</w:t>
      </w:r>
    </w:p>
    <w:p w14:paraId="2C26A6FB" w14:textId="4E8273E7" w:rsidR="005C4B85" w:rsidRDefault="0084507F" w:rsidP="005C4B85">
      <w:pPr>
        <w:pStyle w:val="Heading5"/>
      </w:pPr>
      <w:r>
        <w:t>S</w:t>
      </w:r>
      <w:r w:rsidR="005C4B85" w:rsidRPr="005C4B85">
        <w:t>tudy UX023-CL301</w:t>
      </w:r>
      <w:r w:rsidR="00B46716">
        <w:t xml:space="preserve"> (pivotal)</w:t>
      </w:r>
    </w:p>
    <w:p w14:paraId="4F7313A0" w14:textId="47F59FF8" w:rsidR="005C4B85" w:rsidRDefault="005C4B85" w:rsidP="00003F1C">
      <w:r>
        <w:t>Study UX023-CL301 was a randomised, open</w:t>
      </w:r>
      <w:r w:rsidR="00715390">
        <w:t xml:space="preserve"> </w:t>
      </w:r>
      <w:r>
        <w:t xml:space="preserve">label, Phase </w:t>
      </w:r>
      <w:r w:rsidR="0084507F">
        <w:t>III</w:t>
      </w:r>
      <w:r>
        <w:t xml:space="preserve"> </w:t>
      </w:r>
      <w:bookmarkStart w:id="47" w:name="_Hlk93060871"/>
      <w:r>
        <w:t xml:space="preserve">study to assess the efficacy and safety of </w:t>
      </w:r>
      <w:proofErr w:type="spellStart"/>
      <w:r>
        <w:t>burosumab</w:t>
      </w:r>
      <w:proofErr w:type="spellEnd"/>
      <w:r>
        <w:t xml:space="preserve"> v</w:t>
      </w:r>
      <w:r w:rsidR="0084507F">
        <w:t>ersus</w:t>
      </w:r>
      <w:r>
        <w:t xml:space="preserve"> oral phosphate and active vitamin D treatment in paediatric patients with XLH aged </w:t>
      </w:r>
      <w:r w:rsidR="002D797A">
        <w:t>one</w:t>
      </w:r>
      <w:r>
        <w:t xml:space="preserve"> to ≤ 12 years old.</w:t>
      </w:r>
      <w:bookmarkEnd w:id="47"/>
      <w:r>
        <w:t xml:space="preserve"> The primary objective was to evaluate the effect of </w:t>
      </w:r>
      <w:proofErr w:type="spellStart"/>
      <w:r>
        <w:t>burosumab</w:t>
      </w:r>
      <w:proofErr w:type="spellEnd"/>
      <w:r>
        <w:t xml:space="preserve"> therapy in improving rickets in children with XLH compared to active control. The secondary objectives were to evaluate the effects of </w:t>
      </w:r>
      <w:proofErr w:type="spellStart"/>
      <w:r>
        <w:t>burosumab</w:t>
      </w:r>
      <w:proofErr w:type="spellEnd"/>
      <w:r>
        <w:t xml:space="preserve"> compared to active control </w:t>
      </w:r>
      <w:proofErr w:type="gramStart"/>
      <w:r>
        <w:t>on:</w:t>
      </w:r>
      <w:proofErr w:type="gramEnd"/>
      <w:r>
        <w:t xml:space="preserve"> growth velocity and lower extremity deformity, PD markers that reflect phosphate homeostasis, biochemical markers of bone turnover </w:t>
      </w:r>
      <w:r>
        <w:lastRenderedPageBreak/>
        <w:t>that reflect rickets severity and walking ability and patient/parent reported pain, fatigue and physical function/mobility outcomes.</w:t>
      </w:r>
    </w:p>
    <w:p w14:paraId="0DD02CE8" w14:textId="70D772DF" w:rsidR="005C4B85" w:rsidRDefault="005C4B85" w:rsidP="00003F1C">
      <w:r>
        <w:t xml:space="preserve">The study consisted of treatment period (64 weeks), followed by a treatment extension period in which all subjects received </w:t>
      </w:r>
      <w:proofErr w:type="spellStart"/>
      <w:r>
        <w:t>burosumab</w:t>
      </w:r>
      <w:proofErr w:type="spellEnd"/>
      <w:r>
        <w:t>. Only subjects from Europe, the US</w:t>
      </w:r>
      <w:r w:rsidR="005162FB">
        <w:t>A</w:t>
      </w:r>
      <w:r>
        <w:t xml:space="preserve">, </w:t>
      </w:r>
      <w:proofErr w:type="gramStart"/>
      <w:r>
        <w:t>Canada</w:t>
      </w:r>
      <w:proofErr w:type="gramEnd"/>
      <w:r>
        <w:t xml:space="preserve"> and Australia were eligible to enter the treatment extension period (</w:t>
      </w:r>
      <w:r w:rsidR="00003F1C">
        <w:fldChar w:fldCharType="begin"/>
      </w:r>
      <w:r w:rsidR="00003F1C">
        <w:instrText xml:space="preserve"> REF _Ref92366639 \h </w:instrText>
      </w:r>
      <w:r w:rsidR="00003F1C">
        <w:fldChar w:fldCharType="separate"/>
      </w:r>
      <w:r w:rsidR="00604074">
        <w:t xml:space="preserve">Figure </w:t>
      </w:r>
      <w:r w:rsidR="00604074">
        <w:rPr>
          <w:noProof/>
        </w:rPr>
        <w:t>3</w:t>
      </w:r>
      <w:r w:rsidR="00003F1C">
        <w:fldChar w:fldCharType="end"/>
      </w:r>
      <w:r>
        <w:t>). The study was open</w:t>
      </w:r>
      <w:r w:rsidR="00A26C47">
        <w:t xml:space="preserve"> </w:t>
      </w:r>
      <w:r>
        <w:t>label but the radiologists who assessed radiographs for efficacy parameters were blinded to treatment group and baseline information.</w:t>
      </w:r>
    </w:p>
    <w:p w14:paraId="691043DC" w14:textId="1D32C6F7" w:rsidR="00003F1C" w:rsidRDefault="00003F1C" w:rsidP="00003F1C">
      <w:pPr>
        <w:pStyle w:val="FigureTitle"/>
      </w:pPr>
      <w:bookmarkStart w:id="48" w:name="_Ref92366639"/>
      <w:r>
        <w:t xml:space="preserve">Figure </w:t>
      </w:r>
      <w:r>
        <w:fldChar w:fldCharType="begin"/>
      </w:r>
      <w:r>
        <w:instrText>SEQ Figure \* ARABIC</w:instrText>
      </w:r>
      <w:r>
        <w:fldChar w:fldCharType="separate"/>
      </w:r>
      <w:r w:rsidR="00604074">
        <w:rPr>
          <w:noProof/>
        </w:rPr>
        <w:t>3</w:t>
      </w:r>
      <w:r>
        <w:fldChar w:fldCharType="end"/>
      </w:r>
      <w:bookmarkEnd w:id="48"/>
      <w:r>
        <w:t xml:space="preserve">: </w:t>
      </w:r>
      <w:r w:rsidRPr="00B56404">
        <w:t xml:space="preserve">Study UX023-CL301 </w:t>
      </w:r>
      <w:r w:rsidR="00B56404" w:rsidRPr="00B56404">
        <w:t xml:space="preserve">Designed to study to assess the efficacy and safety of </w:t>
      </w:r>
      <w:proofErr w:type="spellStart"/>
      <w:r w:rsidR="00B56404" w:rsidRPr="00B56404">
        <w:t>burosumab</w:t>
      </w:r>
      <w:proofErr w:type="spellEnd"/>
      <w:r w:rsidR="00B56404" w:rsidRPr="00B56404">
        <w:t xml:space="preserve"> versus oral phosphate and active vitamin D treatment in paediatric patients with </w:t>
      </w:r>
      <w:r w:rsidR="005162FB">
        <w:t>X</w:t>
      </w:r>
      <w:r w:rsidR="005162FB">
        <w:noBreakHyphen/>
        <w:t xml:space="preserve">linked </w:t>
      </w:r>
      <w:proofErr w:type="spellStart"/>
      <w:r w:rsidR="005162FB">
        <w:t>hypophosphataemia</w:t>
      </w:r>
      <w:proofErr w:type="spellEnd"/>
      <w:r w:rsidR="005162FB" w:rsidRPr="00B56404">
        <w:t xml:space="preserve"> </w:t>
      </w:r>
      <w:r w:rsidR="00B56404" w:rsidRPr="00B56404">
        <w:t xml:space="preserve">aged </w:t>
      </w:r>
      <w:r w:rsidR="002D797A">
        <w:t>one</w:t>
      </w:r>
      <w:r w:rsidR="00B56404" w:rsidRPr="00B56404">
        <w:t xml:space="preserve"> to </w:t>
      </w:r>
      <w:r w:rsidR="005162FB">
        <w:t>under</w:t>
      </w:r>
      <w:r w:rsidR="00B56404" w:rsidRPr="00B56404">
        <w:t xml:space="preserve"> 12 years old</w:t>
      </w:r>
    </w:p>
    <w:p w14:paraId="2DFDA7FC" w14:textId="24289C70" w:rsidR="00003F1C" w:rsidRDefault="00003F1C" w:rsidP="00C232F5">
      <w:r w:rsidRPr="00F657CA">
        <w:rPr>
          <w:noProof/>
          <w:lang w:val="en-GB" w:eastAsia="en-GB"/>
        </w:rPr>
        <w:drawing>
          <wp:inline distT="0" distB="0" distL="0" distR="0" wp14:anchorId="7B3D8FB4" wp14:editId="7A0C3FFF">
            <wp:extent cx="5399673" cy="2628900"/>
            <wp:effectExtent l="0" t="0" r="0" b="0"/>
            <wp:docPr id="79" name="Picture 79" descr="Randomised, open-label, repeat dose, active control arm study design for children between 1 to ≤ 12 years old with XLH. The duration of treatment was repeat dose upto 124 weeks. Following screening patients were randomised in a 1:1 ratio (30 patients per intervention group) to recieve either burosumab every 2 weeks, or to recieve oral phosphate and active vitamin D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Randomised, open-label, repeat dose, active control arm study design for children between 1 to ≤ 12 years old with XLH. The duration of treatment was repeat dose upto 124 weeks."/>
                    <pic:cNvPicPr>
                      <a:picLocks noChangeAspect="1" noChangeArrowheads="1"/>
                    </pic:cNvPicPr>
                  </pic:nvPicPr>
                  <pic:blipFill rotWithShape="1">
                    <a:blip r:embed="rId19">
                      <a:extLst>
                        <a:ext uri="{28A0092B-C50C-407E-A947-70E740481C1C}">
                          <a14:useLocalDpi xmlns:a14="http://schemas.microsoft.com/office/drawing/2010/main" val="0"/>
                        </a:ext>
                      </a:extLst>
                    </a:blip>
                    <a:srcRect b="6462"/>
                    <a:stretch/>
                  </pic:blipFill>
                  <pic:spPr bwMode="auto">
                    <a:xfrm>
                      <a:off x="0" y="0"/>
                      <a:ext cx="5400040" cy="2629079"/>
                    </a:xfrm>
                    <a:prstGeom prst="rect">
                      <a:avLst/>
                    </a:prstGeom>
                    <a:noFill/>
                    <a:ln>
                      <a:noFill/>
                    </a:ln>
                    <a:extLst>
                      <a:ext uri="{53640926-AAD7-44D8-BBD7-CCE9431645EC}">
                        <a14:shadowObscured xmlns:a14="http://schemas.microsoft.com/office/drawing/2010/main"/>
                      </a:ext>
                    </a:extLst>
                  </pic:spPr>
                </pic:pic>
              </a:graphicData>
            </a:graphic>
          </wp:inline>
        </w:drawing>
      </w:r>
    </w:p>
    <w:p w14:paraId="450634D3" w14:textId="01EA78B4" w:rsidR="00972DB1" w:rsidRDefault="00972DB1" w:rsidP="00C232F5">
      <w:pPr>
        <w:pStyle w:val="FigureDescription"/>
      </w:pPr>
      <w:r>
        <w:t xml:space="preserve">EOS = </w:t>
      </w:r>
      <w:r w:rsidR="005162FB">
        <w:t>e</w:t>
      </w:r>
      <w:r>
        <w:t xml:space="preserve">nd of </w:t>
      </w:r>
      <w:r w:rsidR="005162FB">
        <w:t>s</w:t>
      </w:r>
      <w:r>
        <w:t>tudy</w:t>
      </w:r>
      <w:r w:rsidR="005162FB">
        <w:t>;</w:t>
      </w:r>
      <w:r>
        <w:t xml:space="preserve"> Q2W = every 2 weeks</w:t>
      </w:r>
    </w:p>
    <w:p w14:paraId="1D25042C" w14:textId="1B254E89" w:rsidR="00251415" w:rsidRDefault="00251415" w:rsidP="00251415">
      <w:r>
        <w:t xml:space="preserve">The study included male and female subjects ages </w:t>
      </w:r>
      <w:r w:rsidR="002D797A">
        <w:t>one</w:t>
      </w:r>
      <w:r>
        <w:t xml:space="preserve"> to ≤ 12 years of age with radiographic evidence of rickets with a </w:t>
      </w:r>
      <w:r w:rsidR="00A26C47">
        <w:t>Rickets Severity Score (</w:t>
      </w:r>
      <w:r>
        <w:t>RSS</w:t>
      </w:r>
      <w:r w:rsidR="00A26C47">
        <w:t>)</w:t>
      </w:r>
      <w:r>
        <w:t xml:space="preserve"> total score of ≥</w:t>
      </w:r>
      <w:r w:rsidR="00A26C47">
        <w:t> </w:t>
      </w:r>
      <w:r>
        <w:t xml:space="preserve">2 and </w:t>
      </w:r>
      <w:r w:rsidRPr="008C7415">
        <w:rPr>
          <w:i/>
        </w:rPr>
        <w:t>PHEX</w:t>
      </w:r>
      <w:r>
        <w:t xml:space="preserve"> mutation or variant of uncertain significance in either the subject or in a directly related family member with appropriate X-linked inheritance. Subjects were required to have a serum phosphorus concentration &lt; 3 mg/dL (&lt; 0.97 mmol/L) and serum 25(OH)D concentration above the lower limit of normal (≥ 16 </w:t>
      </w:r>
      <w:r w:rsidR="002D797A">
        <w:t>m</w:t>
      </w:r>
      <w:r>
        <w:t>g/mL) at the screening visit. Subjects also were required to have open epiphyses and to have received oral phosphate/active vitamin D therapy prior to the study. Key exclusion criteria included: evidence of hyperparathyroidism; hypocalcaemia or hypercalcaemia; height percentile &gt;</w:t>
      </w:r>
      <w:r w:rsidR="00A26C47">
        <w:t> </w:t>
      </w:r>
      <w:r>
        <w:t>50</w:t>
      </w:r>
      <w:r w:rsidRPr="008C7415">
        <w:t>th</w:t>
      </w:r>
      <w:r>
        <w:t xml:space="preserve">; Tanner </w:t>
      </w:r>
      <w:r w:rsidR="00972DB1">
        <w:t>S</w:t>
      </w:r>
      <w:r>
        <w:t xml:space="preserve">tage </w:t>
      </w:r>
      <w:r w:rsidR="00F00C8A">
        <w:t>4</w:t>
      </w:r>
      <w:r>
        <w:t xml:space="preserve"> or higher; Grade </w:t>
      </w:r>
      <w:r w:rsidR="00F00C8A">
        <w:t>4</w:t>
      </w:r>
      <w:r>
        <w:t xml:space="preserve"> </w:t>
      </w:r>
      <w:proofErr w:type="spellStart"/>
      <w:r>
        <w:t>nephrocalcinosis</w:t>
      </w:r>
      <w:proofErr w:type="spellEnd"/>
      <w:r>
        <w:t>; and planned orthopaedic surgery. Subjects were excluded if they had received or were currently receiving drugs known to delay puberty. Potential subjects receiving therapies that affected phosphorus metabolism or growth were eligible to enrol only after appropriate wash-out periods.</w:t>
      </w:r>
    </w:p>
    <w:p w14:paraId="2B81BF3D" w14:textId="014299A5" w:rsidR="00EB273C" w:rsidRDefault="00251415" w:rsidP="00251415">
      <w:r>
        <w:t xml:space="preserve">Eligible subjects discontinued oral phosphate and active vitamin D therapy </w:t>
      </w:r>
      <w:r w:rsidR="00972DB1">
        <w:t>seven</w:t>
      </w:r>
      <w:r>
        <w:t xml:space="preserve"> days prior to randomisation. Subjects were randomised 1:1 to receive either open</w:t>
      </w:r>
      <w:r w:rsidR="00972DB1">
        <w:t xml:space="preserve"> </w:t>
      </w:r>
      <w:r>
        <w:t xml:space="preserve">label </w:t>
      </w:r>
      <w:proofErr w:type="spellStart"/>
      <w:r>
        <w:t>burosumab</w:t>
      </w:r>
      <w:proofErr w:type="spellEnd"/>
      <w:r>
        <w:t xml:space="preserve"> SC </w:t>
      </w:r>
      <w:r w:rsidR="00972DB1">
        <w:t xml:space="preserve">once every </w:t>
      </w:r>
      <w:r w:rsidR="002D797A">
        <w:t>two</w:t>
      </w:r>
      <w:r w:rsidR="00972DB1">
        <w:t xml:space="preserve"> weeks</w:t>
      </w:r>
      <w:r>
        <w:t xml:space="preserve"> or oral phosphate/active vitamin D therapy daily for a total of 64 weeks. Randomisation was stratified by baseline rickets severity, </w:t>
      </w:r>
      <w:proofErr w:type="gramStart"/>
      <w:r>
        <w:t>age</w:t>
      </w:r>
      <w:proofErr w:type="gramEnd"/>
      <w:r>
        <w:t xml:space="preserve"> and region. The starting dose of </w:t>
      </w:r>
      <w:proofErr w:type="spellStart"/>
      <w:r>
        <w:t>burosumab</w:t>
      </w:r>
      <w:proofErr w:type="spellEnd"/>
      <w:r>
        <w:t xml:space="preserve"> was 0.8 mg/kg, which could be increased to 1.2</w:t>
      </w:r>
      <w:r w:rsidR="000D7F3A">
        <w:t> </w:t>
      </w:r>
      <w:r>
        <w:t xml:space="preserve">mg/kg. The maximum allowable dose of </w:t>
      </w:r>
      <w:proofErr w:type="spellStart"/>
      <w:r>
        <w:t>burosumab</w:t>
      </w:r>
      <w:proofErr w:type="spellEnd"/>
      <w:r>
        <w:t xml:space="preserve"> per administration was 90 mg. Active control treatment was individualised for each subject at the </w:t>
      </w:r>
      <w:r w:rsidR="0084507F">
        <w:t>i</w:t>
      </w:r>
      <w:r>
        <w:t>nvestigator’s discretion</w:t>
      </w:r>
      <w:r w:rsidR="00EB273C">
        <w:t>.</w:t>
      </w:r>
    </w:p>
    <w:p w14:paraId="04C1CFF1" w14:textId="730CF813" w:rsidR="00251415" w:rsidRDefault="0084507F" w:rsidP="00251415">
      <w:r>
        <w:t xml:space="preserve">A total of </w:t>
      </w:r>
      <w:r w:rsidR="00251415">
        <w:t xml:space="preserve">122 subjects were screened and 61 were randomised 1:1 to </w:t>
      </w:r>
      <w:proofErr w:type="spellStart"/>
      <w:r w:rsidR="00251415">
        <w:t>burosumab</w:t>
      </w:r>
      <w:proofErr w:type="spellEnd"/>
      <w:r w:rsidR="00251415">
        <w:t xml:space="preserve"> (29</w:t>
      </w:r>
      <w:r w:rsidR="000D7F3A">
        <w:t> </w:t>
      </w:r>
      <w:r w:rsidR="00251415">
        <w:t xml:space="preserve">subjects) or active control (32 subjects). All 61 subjects completed 64 weeks of treatment and were included in the efficacy and safety analysis. 51 subjects entered the </w:t>
      </w:r>
      <w:r w:rsidR="00251415">
        <w:lastRenderedPageBreak/>
        <w:t xml:space="preserve">extension treatment period (26 from the active control group and 25 from the </w:t>
      </w:r>
      <w:proofErr w:type="spellStart"/>
      <w:r w:rsidR="00251415">
        <w:t>burosumab</w:t>
      </w:r>
      <w:proofErr w:type="spellEnd"/>
      <w:r w:rsidR="00251415">
        <w:t xml:space="preserve"> group).</w:t>
      </w:r>
    </w:p>
    <w:p w14:paraId="1A5308E6" w14:textId="38B46884" w:rsidR="00251415" w:rsidRDefault="00251415" w:rsidP="00251415">
      <w:r>
        <w:t xml:space="preserve">The mean (SD) subject age was 6.3 </w:t>
      </w:r>
      <w:r w:rsidR="00972DB1">
        <w:t>(</w:t>
      </w:r>
      <w:r>
        <w:t>3.31</w:t>
      </w:r>
      <w:r w:rsidR="00972DB1">
        <w:t>)</w:t>
      </w:r>
      <w:r>
        <w:t xml:space="preserve"> years (range 1 to 12.9 years). 44.3% of subjects were male and 55.7% were female. The key baseline demographics factors were reasonably well balanced between the two treatment groups. The XLH medical history of the two treatment groups were generally comparable, although there were numerical differences of note (≥ 10% difference between the two groups) for some conditions (</w:t>
      </w:r>
      <w:r w:rsidR="00C33AB6">
        <w:t>that is</w:t>
      </w:r>
      <w:r>
        <w:t>, in-toeing, joint stiffness, craniosynostosis). Most subjects (55</w:t>
      </w:r>
      <w:r w:rsidR="00C33AB6">
        <w:t xml:space="preserve"> out of </w:t>
      </w:r>
      <w:r>
        <w:t xml:space="preserve">61 </w:t>
      </w:r>
      <w:r w:rsidR="00C33AB6">
        <w:t>(</w:t>
      </w:r>
      <w:r>
        <w:t>90%</w:t>
      </w:r>
      <w:r w:rsidR="00C33AB6">
        <w:t>)</w:t>
      </w:r>
      <w:r>
        <w:t xml:space="preserve">) were positive for pathogenic mutations in the </w:t>
      </w:r>
      <w:r w:rsidRPr="00C33AB6">
        <w:rPr>
          <w:i/>
          <w:iCs/>
        </w:rPr>
        <w:t>PHEX</w:t>
      </w:r>
      <w:r>
        <w:t xml:space="preserve"> gene. </w:t>
      </w:r>
      <w:r w:rsidR="000D7F3A">
        <w:t xml:space="preserve">Ricketts Severity Score </w:t>
      </w:r>
      <w:r>
        <w:t xml:space="preserve">at </w:t>
      </w:r>
      <w:r w:rsidR="002E12AF">
        <w:t>B</w:t>
      </w:r>
      <w:r>
        <w:t xml:space="preserve">aseline was similar in the two treatment groups. </w:t>
      </w:r>
      <w:proofErr w:type="gramStart"/>
      <w:r>
        <w:t>The majority of</w:t>
      </w:r>
      <w:proofErr w:type="gramEnd"/>
      <w:r>
        <w:t xml:space="preserve"> subjects in both treatment groups had radiographic abnormalities at all examined sites.</w:t>
      </w:r>
    </w:p>
    <w:p w14:paraId="10FC0212" w14:textId="47EC7907" w:rsidR="00003F1C" w:rsidRDefault="00251415" w:rsidP="00251415">
      <w:r>
        <w:t xml:space="preserve">The primary efficacy endpoint was the change in </w:t>
      </w:r>
      <w:r w:rsidR="00F70BB5">
        <w:t xml:space="preserve">RSS </w:t>
      </w:r>
      <w:r>
        <w:t xml:space="preserve">at Week 40 as assessed by the disease specific </w:t>
      </w:r>
      <w:r w:rsidR="00F70BB5">
        <w:t>r</w:t>
      </w:r>
      <w:r>
        <w:t xml:space="preserve">adiographic </w:t>
      </w:r>
      <w:r w:rsidR="00F70BB5">
        <w:t>g</w:t>
      </w:r>
      <w:r>
        <w:t xml:space="preserve">lobal </w:t>
      </w:r>
      <w:r w:rsidR="00F70BB5">
        <w:t>i</w:t>
      </w:r>
      <w:r>
        <w:t xml:space="preserve">mpression of </w:t>
      </w:r>
      <w:r w:rsidR="00F70BB5">
        <w:t>c</w:t>
      </w:r>
      <w:r>
        <w:t>hange (RGI-C) global score. Burosumab was associated with statistically significantly greater healing compared to the active control group at Week 40 (</w:t>
      </w:r>
      <w:r w:rsidR="00DB7560">
        <w:t>least square</w:t>
      </w:r>
      <w:r w:rsidR="000D7F3A">
        <w:t>s</w:t>
      </w:r>
      <w:r w:rsidR="00DB7560">
        <w:t xml:space="preserve"> means (</w:t>
      </w:r>
      <w:r>
        <w:t>LSM</w:t>
      </w:r>
      <w:r w:rsidR="00DB7560">
        <w:t>)</w:t>
      </w:r>
      <w:r>
        <w:t xml:space="preserve"> difference = 1.14 </w:t>
      </w:r>
      <w:r w:rsidR="00C33AB6">
        <w:t>(</w:t>
      </w:r>
      <w:r>
        <w:t>95% CI: 0.83, 1.45</w:t>
      </w:r>
      <w:r w:rsidR="00C33AB6">
        <w:t>)</w:t>
      </w:r>
      <w:r>
        <w:t>, p</w:t>
      </w:r>
      <w:r w:rsidR="004E3CB5">
        <w:t xml:space="preserve"> </w:t>
      </w:r>
      <w:r>
        <w:t>&lt;</w:t>
      </w:r>
      <w:r w:rsidR="00C33AB6">
        <w:t xml:space="preserve"> </w:t>
      </w:r>
      <w:r>
        <w:t xml:space="preserve">0.0001), and continued improvement was seen at Week 64 in the </w:t>
      </w:r>
      <w:proofErr w:type="spellStart"/>
      <w:r>
        <w:t>burosumab</w:t>
      </w:r>
      <w:proofErr w:type="spellEnd"/>
      <w:r>
        <w:t xml:space="preserve"> compared to the active control group (LSM difference = 1.02 </w:t>
      </w:r>
      <w:r w:rsidR="00C33AB6">
        <w:t>(</w:t>
      </w:r>
      <w:r>
        <w:t>95</w:t>
      </w:r>
      <w:proofErr w:type="gramStart"/>
      <w:r>
        <w:t xml:space="preserve">% </w:t>
      </w:r>
      <w:r w:rsidR="00062FC7">
        <w:t xml:space="preserve"> </w:t>
      </w:r>
      <w:r>
        <w:t>:</w:t>
      </w:r>
      <w:proofErr w:type="gramEnd"/>
      <w:r>
        <w:t xml:space="preserve"> 0.72, 1.33</w:t>
      </w:r>
      <w:r w:rsidR="00C33AB6">
        <w:t>)</w:t>
      </w:r>
      <w:r>
        <w:t>, p</w:t>
      </w:r>
      <w:r w:rsidR="000D7F3A">
        <w:t> </w:t>
      </w:r>
      <w:r>
        <w:t>&lt;</w:t>
      </w:r>
      <w:r w:rsidR="000D7F3A">
        <w:t> </w:t>
      </w:r>
      <w:r>
        <w:t>0.0001) (</w:t>
      </w:r>
      <w:r w:rsidR="00BA6158">
        <w:fldChar w:fldCharType="begin"/>
      </w:r>
      <w:r w:rsidR="00BA6158">
        <w:instrText xml:space="preserve"> REF _Ref92367156 \h </w:instrText>
      </w:r>
      <w:r w:rsidR="00BA6158">
        <w:fldChar w:fldCharType="separate"/>
      </w:r>
      <w:r w:rsidR="00604074">
        <w:t xml:space="preserve">Table </w:t>
      </w:r>
      <w:r w:rsidR="00604074">
        <w:rPr>
          <w:noProof/>
        </w:rPr>
        <w:t>6</w:t>
      </w:r>
      <w:r w:rsidR="00BA6158">
        <w:fldChar w:fldCharType="end"/>
      </w:r>
      <w:r>
        <w:t xml:space="preserve">). The efficacy results for the subgroup analyses based on the </w:t>
      </w:r>
      <w:r w:rsidR="000D7F3A">
        <w:t>Radiographic Global Impression of Change (</w:t>
      </w:r>
      <w:r>
        <w:t>RGI-C</w:t>
      </w:r>
      <w:r w:rsidR="000D7F3A">
        <w:t>)</w:t>
      </w:r>
      <w:r>
        <w:t xml:space="preserve"> global scores were consistent with efficacy results for the analysis in the overall study population.</w:t>
      </w:r>
    </w:p>
    <w:p w14:paraId="0C6BAE77" w14:textId="1EC1E46D" w:rsidR="00BA6158" w:rsidRPr="0038562F" w:rsidRDefault="00BA6158" w:rsidP="00BA6158">
      <w:pPr>
        <w:pStyle w:val="TableTitle"/>
      </w:pPr>
      <w:bookmarkStart w:id="49" w:name="_Ref92367156"/>
      <w:r>
        <w:t xml:space="preserve">Table </w:t>
      </w:r>
      <w:r>
        <w:fldChar w:fldCharType="begin"/>
      </w:r>
      <w:r>
        <w:instrText>SEQ Table \* ARABIC</w:instrText>
      </w:r>
      <w:r>
        <w:fldChar w:fldCharType="separate"/>
      </w:r>
      <w:r w:rsidR="00604074">
        <w:rPr>
          <w:noProof/>
        </w:rPr>
        <w:t>6</w:t>
      </w:r>
      <w:r>
        <w:fldChar w:fldCharType="end"/>
      </w:r>
      <w:bookmarkEnd w:id="49"/>
      <w:r>
        <w:t xml:space="preserve">: </w:t>
      </w:r>
      <w:r w:rsidR="002E12AF" w:rsidRPr="0038562F">
        <w:t xml:space="preserve">Study </w:t>
      </w:r>
      <w:r w:rsidRPr="0038562F">
        <w:t>UX023-CL301</w:t>
      </w:r>
      <w:r w:rsidR="00CF3FC9" w:rsidRPr="0038562F">
        <w:t xml:space="preserve"> </w:t>
      </w:r>
      <w:r w:rsidRPr="0038562F">
        <w:t xml:space="preserve">Improvement in rickets as assessed by the </w:t>
      </w:r>
      <w:r w:rsidR="0038562F" w:rsidRPr="0038562F">
        <w:t xml:space="preserve">Radiographic Global Impression of Change </w:t>
      </w:r>
      <w:r w:rsidRPr="0038562F">
        <w:t xml:space="preserve">global score, primary assessment at Week 40, </w:t>
      </w:r>
      <w:r w:rsidR="0038562F" w:rsidRPr="0038562F">
        <w:t>analysis of covariance</w:t>
      </w:r>
      <w:r w:rsidR="00C33AB6">
        <w:t xml:space="preserve"> </w:t>
      </w:r>
      <w:r w:rsidRPr="0038562F">
        <w:t xml:space="preserve">and </w:t>
      </w:r>
      <w:r w:rsidR="0038562F" w:rsidRPr="0038562F">
        <w:t>generalised estimating equation</w:t>
      </w:r>
      <w:r w:rsidRPr="0038562F">
        <w:t xml:space="preserve"> models.</w:t>
      </w:r>
    </w:p>
    <w:p w14:paraId="453BBFCD" w14:textId="0C4B8978" w:rsidR="00BA6158" w:rsidRDefault="00BA6158" w:rsidP="00C232F5">
      <w:r w:rsidRPr="00C335F8">
        <w:rPr>
          <w:noProof/>
          <w:lang w:val="en-GB" w:eastAsia="en-GB"/>
        </w:rPr>
        <w:drawing>
          <wp:inline distT="0" distB="0" distL="0" distR="0" wp14:anchorId="6603D0E8" wp14:editId="73E6C5BB">
            <wp:extent cx="5400040" cy="2470282"/>
            <wp:effectExtent l="0" t="0" r="0" b="6350"/>
            <wp:docPr id="112" name="Picture 112" descr="Study UX023-CL301 Improvement in rickets as assessed by the Radiographic Global Impression of Change (RGI-C) global score, primary assessment at Week 40, analysis of covariance (ANCOVA) and generalised estimating equation (GEE)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descr="Study UX023-CL301 Improvement in rickets as assessed by the Radiographic Global Impression of Change (RGI-C) global score, primary assessment at Week 40, analysis of covariance (ANCOVA) and generalised estimating equation (GEE) model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2470282"/>
                    </a:xfrm>
                    <a:prstGeom prst="rect">
                      <a:avLst/>
                    </a:prstGeom>
                    <a:noFill/>
                    <a:ln>
                      <a:noFill/>
                    </a:ln>
                  </pic:spPr>
                </pic:pic>
              </a:graphicData>
            </a:graphic>
          </wp:inline>
        </w:drawing>
      </w:r>
    </w:p>
    <w:p w14:paraId="51F1D51D" w14:textId="7D428357" w:rsidR="00BA6158" w:rsidRDefault="00BA6158" w:rsidP="00BA6158">
      <w:pPr>
        <w:pStyle w:val="TableDescription"/>
      </w:pPr>
      <w:r>
        <w:t>ANCOVA = analysis of covariance, CI = confidence interval, GEE = generalised estimation equation, LS = least squares, RGI-C = Radiographic Global Impression of Change, SE = standard error, SD</w:t>
      </w:r>
      <w:r w:rsidR="00062FC7">
        <w:t> </w:t>
      </w:r>
      <w:r>
        <w:t>= standard deviation.</w:t>
      </w:r>
    </w:p>
    <w:p w14:paraId="283B9EB6" w14:textId="061FEA88" w:rsidR="00EB273C" w:rsidRDefault="00BA6158" w:rsidP="00BA6158">
      <w:pPr>
        <w:pStyle w:val="TableDescription"/>
      </w:pPr>
      <w:r>
        <w:t>a. The RGI-C score was based on a 7-point ordinal scale ranging from -</w:t>
      </w:r>
      <w:r w:rsidR="009418F8">
        <w:t xml:space="preserve"> </w:t>
      </w:r>
      <w:r>
        <w:t>3 (very much worse, or severe worsening of rickets) to +</w:t>
      </w:r>
      <w:r w:rsidR="009418F8">
        <w:t xml:space="preserve"> </w:t>
      </w:r>
      <w:r>
        <w:t>3 (very much better, or complete or near complete healing of rickets)</w:t>
      </w:r>
      <w:r w:rsidR="00EB273C">
        <w:t>.</w:t>
      </w:r>
    </w:p>
    <w:p w14:paraId="4C969CA3" w14:textId="2B9257B6" w:rsidR="00BA6158" w:rsidRDefault="00BA6158" w:rsidP="00BA6158">
      <w:pPr>
        <w:pStyle w:val="TableDescription"/>
      </w:pPr>
      <w:r>
        <w:t xml:space="preserve">b. LS mean, SE, CI, and 2-sided p value per ANCOVA model, which included RGI-C as the dependent variable, treatment group and baseline age stratification factor as independent variables and Baseline RSS score as a continuous covariate </w:t>
      </w:r>
    </w:p>
    <w:p w14:paraId="48E57BA3" w14:textId="373FD189" w:rsidR="00BA6158" w:rsidRDefault="00BA6158" w:rsidP="00BA6158">
      <w:pPr>
        <w:pStyle w:val="TableDescription"/>
      </w:pPr>
      <w:r>
        <w:t xml:space="preserve">c. LS Mean, SE, </w:t>
      </w:r>
      <w:proofErr w:type="gramStart"/>
      <w:r>
        <w:t>CI</w:t>
      </w:r>
      <w:proofErr w:type="gramEnd"/>
      <w:r>
        <w:t xml:space="preserve"> and 2-sided p-value per GEE model, which included RGI-C as the dependent variable, treatment, visit, treatment by visit interaction and baseline age stratification factor as factors, Baseline RSS score as a continuous covariate, with exchangeable covariate structure.</w:t>
      </w:r>
    </w:p>
    <w:p w14:paraId="27A897BE" w14:textId="7BB58DFF" w:rsidR="00BA6158" w:rsidRDefault="00BA6158" w:rsidP="00BA6158">
      <w:r>
        <w:t xml:space="preserve">The key secondary efficacy endpoints were change in lower extremity skeletal abnormalities as assessed by the RGI-C long leg score, change from </w:t>
      </w:r>
      <w:r w:rsidR="002E12AF">
        <w:t>B</w:t>
      </w:r>
      <w:r>
        <w:t xml:space="preserve">aseline in standing </w:t>
      </w:r>
      <w:r>
        <w:lastRenderedPageBreak/>
        <w:t xml:space="preserve">height/recumbent length Z score, change from </w:t>
      </w:r>
      <w:r w:rsidR="002E12AF">
        <w:t>B</w:t>
      </w:r>
      <w:r>
        <w:t xml:space="preserve">aseline in RSS total score, change in serum phosphorus from </w:t>
      </w:r>
      <w:r w:rsidR="002E12AF">
        <w:t>B</w:t>
      </w:r>
      <w:r>
        <w:t>aseline to mean post</w:t>
      </w:r>
      <w:r w:rsidR="00062FC7">
        <w:t xml:space="preserve"> </w:t>
      </w:r>
      <w:r>
        <w:t xml:space="preserve">baseline values, and change from </w:t>
      </w:r>
      <w:r w:rsidR="002E12AF">
        <w:t>B</w:t>
      </w:r>
      <w:r>
        <w:t>aseline in serum ALP levels. There was no multiplicity adjustment for statistical analyses of the key secondary efficacy endpoints. Consequently, all p-values for the pairwise comparisons between the two treatment groups were nominal rather than confirmatory.</w:t>
      </w:r>
    </w:p>
    <w:p w14:paraId="65DA4775" w14:textId="77777777" w:rsidR="00EB273C" w:rsidRDefault="00BA6158" w:rsidP="00BA6158">
      <w:r>
        <w:t xml:space="preserve">The mean RSS total score decreased from </w:t>
      </w:r>
      <w:r w:rsidR="002E12AF">
        <w:t>B</w:t>
      </w:r>
      <w:r>
        <w:t xml:space="preserve">aseline to Week 40 to a greater extent in the </w:t>
      </w:r>
      <w:proofErr w:type="spellStart"/>
      <w:r>
        <w:t>burosumab</w:t>
      </w:r>
      <w:proofErr w:type="spellEnd"/>
      <w:r>
        <w:t xml:space="preserve"> group compared to the active control group (decrease indicating improvement), with the percent mean decrease being 64% in the </w:t>
      </w:r>
      <w:proofErr w:type="spellStart"/>
      <w:r>
        <w:t>burosumab</w:t>
      </w:r>
      <w:proofErr w:type="spellEnd"/>
      <w:r>
        <w:t xml:space="preserve"> group and 23% in the active control group. The mean RSS total score improved further in both treatment groups through to Week 64, with the percent mean decrease from </w:t>
      </w:r>
      <w:r w:rsidR="002E12AF">
        <w:t>B</w:t>
      </w:r>
      <w:r>
        <w:t xml:space="preserve">aseline at Week 64 being 70% in the </w:t>
      </w:r>
      <w:proofErr w:type="spellStart"/>
      <w:r>
        <w:t>burosumab</w:t>
      </w:r>
      <w:proofErr w:type="spellEnd"/>
      <w:r>
        <w:t xml:space="preserve"> group and 32% in the active control group</w:t>
      </w:r>
      <w:r w:rsidR="00EB273C">
        <w:t>.</w:t>
      </w:r>
    </w:p>
    <w:p w14:paraId="0F93599C" w14:textId="7750B836" w:rsidR="00EB273C" w:rsidRDefault="00BA6158" w:rsidP="00BA6158">
      <w:r>
        <w:t xml:space="preserve">Change from </w:t>
      </w:r>
      <w:r w:rsidR="002E12AF">
        <w:t>B</w:t>
      </w:r>
      <w:r>
        <w:t xml:space="preserve">aseline to Week 64 in lower limb deformity, assessed by the RGI-C lower limb deformity score, showed greater healing in the </w:t>
      </w:r>
      <w:proofErr w:type="spellStart"/>
      <w:r>
        <w:t>burosumab</w:t>
      </w:r>
      <w:proofErr w:type="spellEnd"/>
      <w:r>
        <w:t xml:space="preserve"> group compared to the active control group. The improvement in lower limb deformity score in </w:t>
      </w:r>
      <w:r w:rsidRPr="002F38C7">
        <w:t xml:space="preserve">the </w:t>
      </w:r>
      <w:proofErr w:type="spellStart"/>
      <w:r w:rsidRPr="002F38C7">
        <w:t>burosumab</w:t>
      </w:r>
      <w:proofErr w:type="spellEnd"/>
      <w:r>
        <w:t xml:space="preserve"> group observed at Week 64 was maintained at Week 88, while switching from active control to </w:t>
      </w:r>
      <w:proofErr w:type="spellStart"/>
      <w:r>
        <w:t>burosumab</w:t>
      </w:r>
      <w:proofErr w:type="spellEnd"/>
      <w:r>
        <w:t xml:space="preserve"> after Week 64 resulted in additional improvement at Week 88 (</w:t>
      </w:r>
      <w:r w:rsidRPr="002F38C7">
        <w:t>active control</w:t>
      </w:r>
      <w:r w:rsidR="002F38C7" w:rsidRPr="002F38C7">
        <w:t xml:space="preserve"> switched over to </w:t>
      </w:r>
      <w:proofErr w:type="spellStart"/>
      <w:r w:rsidRPr="002F38C7">
        <w:t>burosumab</w:t>
      </w:r>
      <w:proofErr w:type="spellEnd"/>
      <w:r w:rsidRPr="002F38C7">
        <w:t>)</w:t>
      </w:r>
      <w:r>
        <w:t xml:space="preserve"> compared to Week 64 (active control). In addition, lower extremity skeletal abnormalities, assessed by RGI-C in standing long leg radiographs, showed greater healing in the </w:t>
      </w:r>
      <w:proofErr w:type="spellStart"/>
      <w:r>
        <w:t>burosumab</w:t>
      </w:r>
      <w:proofErr w:type="spellEnd"/>
      <w:r>
        <w:t xml:space="preserve"> group compared to the active control group at Week 64</w:t>
      </w:r>
      <w:r w:rsidR="00EB273C">
        <w:t>.</w:t>
      </w:r>
    </w:p>
    <w:p w14:paraId="3D4976F2" w14:textId="48C3387B" w:rsidR="00EB273C" w:rsidRDefault="00BA6158" w:rsidP="00BA6158">
      <w:r>
        <w:t xml:space="preserve">Change from </w:t>
      </w:r>
      <w:r w:rsidR="002E12AF">
        <w:t>B</w:t>
      </w:r>
      <w:r>
        <w:t xml:space="preserve">aseline to Week 64 in standing height/recumbent length Z score showed a greater increase in the </w:t>
      </w:r>
      <w:proofErr w:type="spellStart"/>
      <w:r>
        <w:t>burosumab</w:t>
      </w:r>
      <w:proofErr w:type="spellEnd"/>
      <w:r>
        <w:t xml:space="preserve"> group compared to the active control, with minimal further increase through to Week 88 in both the </w:t>
      </w:r>
      <w:proofErr w:type="spellStart"/>
      <w:r>
        <w:t>burosumab</w:t>
      </w:r>
      <w:proofErr w:type="spellEnd"/>
      <w:r>
        <w:t xml:space="preserve"> group and the active control</w:t>
      </w:r>
      <w:r w:rsidR="002F38C7">
        <w:t xml:space="preserve"> switched over to </w:t>
      </w:r>
      <w:proofErr w:type="spellStart"/>
      <w:r>
        <w:t>burosumab</w:t>
      </w:r>
      <w:proofErr w:type="spellEnd"/>
      <w:r>
        <w:t xml:space="preserve"> group. The results for growth velocity assessed by the Z score were consistent with the results in standing height/recumbent length Z score</w:t>
      </w:r>
      <w:r w:rsidR="00EB273C">
        <w:t>.</w:t>
      </w:r>
    </w:p>
    <w:p w14:paraId="09F6E3A1" w14:textId="2248593B" w:rsidR="00BA6158" w:rsidRDefault="00BA6158" w:rsidP="00BA6158">
      <w:r>
        <w:t xml:space="preserve">Change in serum phosphorus from </w:t>
      </w:r>
      <w:r w:rsidR="002F38C7">
        <w:t>B</w:t>
      </w:r>
      <w:r>
        <w:t xml:space="preserve">aseline to Week 40 was notably greater in the </w:t>
      </w:r>
      <w:proofErr w:type="spellStart"/>
      <w:r>
        <w:t>burosumab</w:t>
      </w:r>
      <w:proofErr w:type="spellEnd"/>
      <w:r>
        <w:t xml:space="preserve"> group than in the active control group, and the difference was maintained through to Week 64. The improvement in serum phosphorous level observed at Week 64 in the </w:t>
      </w:r>
      <w:proofErr w:type="spellStart"/>
      <w:r>
        <w:t>burosumab</w:t>
      </w:r>
      <w:proofErr w:type="spellEnd"/>
      <w:r>
        <w:t xml:space="preserve"> group was maintained at Week 88, while switching from active control to </w:t>
      </w:r>
      <w:proofErr w:type="spellStart"/>
      <w:r>
        <w:t>burosumab</w:t>
      </w:r>
      <w:proofErr w:type="spellEnd"/>
      <w:r>
        <w:t xml:space="preserve"> after Week 64 resulted in a notable increase in serum phosphorous level at Week 88 (active control</w:t>
      </w:r>
      <w:r w:rsidR="002F38C7">
        <w:t xml:space="preserve"> switched over to </w:t>
      </w:r>
      <w:proofErr w:type="spellStart"/>
      <w:r>
        <w:t>burosumab</w:t>
      </w:r>
      <w:proofErr w:type="spellEnd"/>
      <w:r>
        <w:t>) compared to Week 64 (active control).</w:t>
      </w:r>
    </w:p>
    <w:p w14:paraId="5F875561" w14:textId="4774A241" w:rsidR="00BA6158" w:rsidRDefault="00BA6158" w:rsidP="00BA6158">
      <w:r>
        <w:t xml:space="preserve">Change in serum ALP from </w:t>
      </w:r>
      <w:r w:rsidR="009418F8">
        <w:t>B</w:t>
      </w:r>
      <w:r>
        <w:t xml:space="preserve">aseline to Week 40 was notably greater in the </w:t>
      </w:r>
      <w:proofErr w:type="spellStart"/>
      <w:r>
        <w:t>burosumab</w:t>
      </w:r>
      <w:proofErr w:type="spellEnd"/>
      <w:r>
        <w:t xml:space="preserve"> group than in the active control group, and the difference was maintained through to Week 64. The mean percentage reduction in the serum ALP levels from </w:t>
      </w:r>
      <w:r w:rsidR="009418F8">
        <w:t>B</w:t>
      </w:r>
      <w:r>
        <w:t xml:space="preserve">aseline to Week 40 and Week 64 were 24% and 33%, respectively, in the </w:t>
      </w:r>
      <w:proofErr w:type="spellStart"/>
      <w:r>
        <w:t>burosumab</w:t>
      </w:r>
      <w:proofErr w:type="spellEnd"/>
      <w:r>
        <w:t xml:space="preserve"> group compared to 7% and 5%, respectively, in the active control group. The reduction in serum ALP level observed at Week 64 in the </w:t>
      </w:r>
      <w:proofErr w:type="spellStart"/>
      <w:r w:rsidRPr="002F38C7">
        <w:t>burosumab</w:t>
      </w:r>
      <w:proofErr w:type="spellEnd"/>
      <w:r w:rsidRPr="002F38C7">
        <w:t xml:space="preserve"> group</w:t>
      </w:r>
      <w:r>
        <w:t xml:space="preserve"> was maintained at Week 88 (32%), while switching from active control to </w:t>
      </w:r>
      <w:proofErr w:type="spellStart"/>
      <w:r>
        <w:t>burosumab</w:t>
      </w:r>
      <w:proofErr w:type="spellEnd"/>
      <w:r>
        <w:t xml:space="preserve"> after Week 64 resulted in a notable decrease in serum ALP level from </w:t>
      </w:r>
      <w:r w:rsidR="009418F8">
        <w:t>B</w:t>
      </w:r>
      <w:r>
        <w:t xml:space="preserve">aseline at Week 88 (29% reduction in the active </w:t>
      </w:r>
      <w:r w:rsidRPr="002F38C7">
        <w:t>control</w:t>
      </w:r>
      <w:r w:rsidR="002F38C7" w:rsidRPr="002F38C7">
        <w:t xml:space="preserve"> which were switched over to </w:t>
      </w:r>
      <w:proofErr w:type="spellStart"/>
      <w:r w:rsidRPr="002F38C7">
        <w:t>burosumab</w:t>
      </w:r>
      <w:proofErr w:type="spellEnd"/>
      <w:r w:rsidRPr="002F38C7">
        <w:t xml:space="preserve"> group)</w:t>
      </w:r>
      <w:r>
        <w:t xml:space="preserve"> compared to Week 64 (5% reduction in the active control group).</w:t>
      </w:r>
    </w:p>
    <w:p w14:paraId="07895FD7" w14:textId="32AFF447" w:rsidR="00BA6158" w:rsidRDefault="002E12AF" w:rsidP="00BA6158">
      <w:pPr>
        <w:pStyle w:val="Heading5"/>
      </w:pPr>
      <w:r>
        <w:t>S</w:t>
      </w:r>
      <w:r w:rsidR="00BA6158" w:rsidRPr="00BA6158">
        <w:t>tudy UX023-CL205</w:t>
      </w:r>
      <w:r w:rsidR="006B5683">
        <w:t xml:space="preserve"> (supportive)</w:t>
      </w:r>
    </w:p>
    <w:p w14:paraId="2929A329" w14:textId="406E50EE" w:rsidR="00EB273C" w:rsidRDefault="00BA6158" w:rsidP="00BA6158">
      <w:r>
        <w:t>Study UX023-CL205 was a US</w:t>
      </w:r>
      <w:r w:rsidR="009418F8">
        <w:t>A</w:t>
      </w:r>
      <w:r w:rsidR="000D7F3A">
        <w:t>-based</w:t>
      </w:r>
      <w:r>
        <w:t>, multicentre, open</w:t>
      </w:r>
      <w:r w:rsidR="009418F8">
        <w:t xml:space="preserve"> </w:t>
      </w:r>
      <w:r>
        <w:t>label, single</w:t>
      </w:r>
      <w:r w:rsidR="009418F8">
        <w:t xml:space="preserve"> </w:t>
      </w:r>
      <w:r>
        <w:t xml:space="preserve">arm, Phase </w:t>
      </w:r>
      <w:r w:rsidR="002E12AF">
        <w:t>II</w:t>
      </w:r>
      <w:r>
        <w:t xml:space="preserve"> study in children aged </w:t>
      </w:r>
      <w:r w:rsidR="004E3CB5">
        <w:t>one</w:t>
      </w:r>
      <w:r>
        <w:t xml:space="preserve"> to </w:t>
      </w:r>
      <w:r w:rsidR="004E3CB5">
        <w:t>four</w:t>
      </w:r>
      <w:r>
        <w:t xml:space="preserve"> years with XLH, who were naive to therapy or had previously received standard therapy with oral phosphate and active vitamin D. The primary efficacy endpoint was the change from </w:t>
      </w:r>
      <w:r w:rsidR="002E12AF">
        <w:t>B</w:t>
      </w:r>
      <w:r>
        <w:t xml:space="preserve">aseline in serum phosphorous. The secondary efficacy endpoints included assessment of rickets, growth, lower extremity deformity, </w:t>
      </w:r>
      <w:proofErr w:type="gramStart"/>
      <w:r>
        <w:t>height</w:t>
      </w:r>
      <w:proofErr w:type="gramEnd"/>
      <w:r>
        <w:t xml:space="preserve"> and serum ALP levels. The study comprised a </w:t>
      </w:r>
      <w:proofErr w:type="gramStart"/>
      <w:r>
        <w:t>64</w:t>
      </w:r>
      <w:r w:rsidR="009418F8">
        <w:t xml:space="preserve"> </w:t>
      </w:r>
      <w:r>
        <w:t>week</w:t>
      </w:r>
      <w:proofErr w:type="gramEnd"/>
      <w:r>
        <w:t xml:space="preserve"> treatment period followed by a 96</w:t>
      </w:r>
      <w:r w:rsidR="009418F8">
        <w:t xml:space="preserve"> </w:t>
      </w:r>
      <w:r>
        <w:t>week extension period</w:t>
      </w:r>
      <w:r w:rsidR="00EB273C">
        <w:t>.</w:t>
      </w:r>
    </w:p>
    <w:p w14:paraId="3101F62B" w14:textId="2E5F8CF3" w:rsidR="00BA6158" w:rsidRDefault="00BA6158" w:rsidP="00BA6158">
      <w:r>
        <w:lastRenderedPageBreak/>
        <w:t xml:space="preserve">Eligible subjects were children, between </w:t>
      </w:r>
      <w:r w:rsidR="004E3CB5">
        <w:t>one</w:t>
      </w:r>
      <w:r>
        <w:t xml:space="preserve"> and </w:t>
      </w:r>
      <w:r w:rsidR="004E3CB5">
        <w:t>four</w:t>
      </w:r>
      <w:r>
        <w:t xml:space="preserve"> years old, inclusive, with clinical findings consistent with XLH, and a confirmed </w:t>
      </w:r>
      <w:r w:rsidRPr="002E12AF">
        <w:rPr>
          <w:i/>
          <w:iCs/>
        </w:rPr>
        <w:t>PHEX</w:t>
      </w:r>
      <w:r>
        <w:t xml:space="preserve"> mutation or variant of uncertain significance. Subjects receiving oral phosphate and active vitamin D therapy discontinued treatment during screening and for the duration of the study.</w:t>
      </w:r>
    </w:p>
    <w:p w14:paraId="334D941B" w14:textId="26839C51" w:rsidR="00BA6158" w:rsidRDefault="00BA6158" w:rsidP="00BA6158">
      <w:r>
        <w:t xml:space="preserve">Subjects received </w:t>
      </w:r>
      <w:proofErr w:type="spellStart"/>
      <w:r>
        <w:t>burosumab</w:t>
      </w:r>
      <w:proofErr w:type="spellEnd"/>
      <w:r>
        <w:t xml:space="preserve"> at a starting dose of 0.8 mg/kg SC </w:t>
      </w:r>
      <w:r w:rsidR="009418F8">
        <w:t xml:space="preserve">once every </w:t>
      </w:r>
      <w:r w:rsidR="004E3CB5">
        <w:t>two</w:t>
      </w:r>
      <w:r w:rsidR="009418F8">
        <w:t xml:space="preserve"> weeks</w:t>
      </w:r>
      <w:r>
        <w:t>. The dose was increased to 1.2 mg/kg at any time during the study when a subject met dosing adjustment criteria.</w:t>
      </w:r>
    </w:p>
    <w:p w14:paraId="4237AA66" w14:textId="233B0E14" w:rsidR="00BA6158" w:rsidRDefault="002E12AF" w:rsidP="00BA6158">
      <w:r>
        <w:t xml:space="preserve">A total of </w:t>
      </w:r>
      <w:r w:rsidR="00BA6158">
        <w:t xml:space="preserve">13 paediatric subjects aged </w:t>
      </w:r>
      <w:r w:rsidR="004E3CB5">
        <w:t>one</w:t>
      </w:r>
      <w:r>
        <w:t xml:space="preserve"> to </w:t>
      </w:r>
      <w:r w:rsidR="004E3CB5">
        <w:t>five</w:t>
      </w:r>
      <w:r w:rsidR="00BA6158">
        <w:t xml:space="preserve"> years were enrolled. All 13 subjects completed the </w:t>
      </w:r>
      <w:proofErr w:type="gramStart"/>
      <w:r w:rsidR="00BA6158">
        <w:t>64</w:t>
      </w:r>
      <w:r w:rsidR="009418F8">
        <w:t xml:space="preserve"> </w:t>
      </w:r>
      <w:r w:rsidR="00BA6158">
        <w:t>week</w:t>
      </w:r>
      <w:proofErr w:type="gramEnd"/>
      <w:r w:rsidR="00BA6158">
        <w:t xml:space="preserve"> </w:t>
      </w:r>
      <w:r>
        <w:t>t</w:t>
      </w:r>
      <w:r w:rsidR="00BA6158">
        <w:t xml:space="preserve">reatment </w:t>
      </w:r>
      <w:r>
        <w:t>p</w:t>
      </w:r>
      <w:r w:rsidR="00BA6158">
        <w:t xml:space="preserve">eriod, and 12 subjects continued to receive </w:t>
      </w:r>
      <w:proofErr w:type="spellStart"/>
      <w:r w:rsidR="00BA6158">
        <w:t>burosumab</w:t>
      </w:r>
      <w:proofErr w:type="spellEnd"/>
      <w:r w:rsidR="00BA6158">
        <w:t xml:space="preserve"> for an additional 96 weeks during the extension period for a maximum duration of 160 weeks. One subject was withdrawn after transitioning to commercially available </w:t>
      </w:r>
      <w:proofErr w:type="spellStart"/>
      <w:r w:rsidR="00BA6158">
        <w:t>burosumab</w:t>
      </w:r>
      <w:proofErr w:type="spellEnd"/>
      <w:r w:rsidR="00BA6158">
        <w:t xml:space="preserve">. At </w:t>
      </w:r>
      <w:r>
        <w:t>B</w:t>
      </w:r>
      <w:r w:rsidR="00BA6158">
        <w:t xml:space="preserve">aseline, mean (SD) age was 2.9 (1.15) years (range: 1.2, 4.9 years), male/female subject distribution was </w:t>
      </w:r>
      <w:r w:rsidR="00173F06">
        <w:t>nine</w:t>
      </w:r>
      <w:r w:rsidR="00BA6158">
        <w:t xml:space="preserve"> (69%)</w:t>
      </w:r>
      <w:r w:rsidR="004E3CB5">
        <w:t xml:space="preserve"> out of </w:t>
      </w:r>
      <w:r w:rsidR="00173F06">
        <w:t>four</w:t>
      </w:r>
      <w:r w:rsidR="00BA6158">
        <w:t xml:space="preserve"> (31%), and most subjects were </w:t>
      </w:r>
      <w:r w:rsidR="009418F8">
        <w:t>W</w:t>
      </w:r>
      <w:r w:rsidR="00BA6158">
        <w:t xml:space="preserve">hite </w:t>
      </w:r>
      <w:r w:rsidR="00823099">
        <w:t>(</w:t>
      </w:r>
      <w:r w:rsidR="00BA6158">
        <w:t xml:space="preserve">12 </w:t>
      </w:r>
      <w:r w:rsidR="00823099">
        <w:t xml:space="preserve">subjects; </w:t>
      </w:r>
      <w:r w:rsidR="00BA6158">
        <w:t xml:space="preserve">92%). All subjects showed signs of XLH disease at </w:t>
      </w:r>
      <w:r w:rsidR="00E5568D">
        <w:t>B</w:t>
      </w:r>
      <w:r w:rsidR="00BA6158">
        <w:t>aseline by multiple measures.</w:t>
      </w:r>
    </w:p>
    <w:p w14:paraId="6C55BB4A" w14:textId="7F157754" w:rsidR="00EB273C" w:rsidRDefault="00BA6158" w:rsidP="00BA6158">
      <w:r>
        <w:t xml:space="preserve">The primary efficacy endpoint was the change from </w:t>
      </w:r>
      <w:r w:rsidR="00E5568D">
        <w:t>B</w:t>
      </w:r>
      <w:r>
        <w:t>aseline in serum phosphorus. The mean (SD) phosphorous level increased from 2.51 (0.284) mg/dL to 3.47 (0.485) mg/dL (n</w:t>
      </w:r>
      <w:r w:rsidR="00F04EC7">
        <w:t> </w:t>
      </w:r>
      <w:r>
        <w:t>=</w:t>
      </w:r>
      <w:r w:rsidR="009418F8">
        <w:t xml:space="preserve"> </w:t>
      </w:r>
      <w:r>
        <w:t xml:space="preserve">13) at </w:t>
      </w:r>
      <w:r w:rsidR="009418F8">
        <w:t>W</w:t>
      </w:r>
      <w:r>
        <w:t xml:space="preserve">eek 40. The LSM change from </w:t>
      </w:r>
      <w:r w:rsidR="00E5568D">
        <w:t>B</w:t>
      </w:r>
      <w:r>
        <w:t>aseline was 0.96 mg/dL (95% CI: 0.73, 1.19)</w:t>
      </w:r>
      <w:r w:rsidR="00EB273C">
        <w:t>.</w:t>
      </w:r>
    </w:p>
    <w:p w14:paraId="7F63410A" w14:textId="77777777" w:rsidR="00F04EC7" w:rsidRDefault="00BA6158" w:rsidP="00BA6158">
      <w:r>
        <w:t xml:space="preserve">The secondary efficacy endpoints were: </w:t>
      </w:r>
    </w:p>
    <w:p w14:paraId="0C57C02C" w14:textId="0B4600EA" w:rsidR="00F04EC7" w:rsidRDefault="00BA6158" w:rsidP="00F04EC7">
      <w:pPr>
        <w:pStyle w:val="ListBullet"/>
      </w:pPr>
      <w:r>
        <w:t xml:space="preserve"> change in rickets as assessed by the RGI-C global score at Weeks 40 and </w:t>
      </w:r>
      <w:proofErr w:type="gramStart"/>
      <w:r>
        <w:t>64;</w:t>
      </w:r>
      <w:proofErr w:type="gramEnd"/>
    </w:p>
    <w:p w14:paraId="20877F6C" w14:textId="54EB1E2A" w:rsidR="00F04EC7" w:rsidRDefault="00BA6158" w:rsidP="00F04EC7">
      <w:pPr>
        <w:pStyle w:val="ListBullet"/>
      </w:pPr>
      <w:r>
        <w:t xml:space="preserve">change from </w:t>
      </w:r>
      <w:r w:rsidR="00E5568D">
        <w:t>B</w:t>
      </w:r>
      <w:r>
        <w:t xml:space="preserve">aseline in RSS total score at Weeks 40 and </w:t>
      </w:r>
      <w:proofErr w:type="gramStart"/>
      <w:r>
        <w:t>64;</w:t>
      </w:r>
      <w:proofErr w:type="gramEnd"/>
    </w:p>
    <w:p w14:paraId="01C0C89F" w14:textId="5AF119C8" w:rsidR="00F04EC7" w:rsidRDefault="00BA6158" w:rsidP="00F04EC7">
      <w:pPr>
        <w:pStyle w:val="ListBullet"/>
      </w:pPr>
      <w:r>
        <w:t xml:space="preserve">change in lower extremity skeletal abnormalities, including genu varum and genu valgus, as determined by the RGI-C long leg score at Weeks 40 and </w:t>
      </w:r>
      <w:proofErr w:type="gramStart"/>
      <w:r>
        <w:t>64;</w:t>
      </w:r>
      <w:proofErr w:type="gramEnd"/>
    </w:p>
    <w:p w14:paraId="6E781F99" w14:textId="6E76F667" w:rsidR="00F04EC7" w:rsidRDefault="00BA6158" w:rsidP="00F04EC7">
      <w:pPr>
        <w:pStyle w:val="ListBullet"/>
      </w:pPr>
      <w:r>
        <w:t xml:space="preserve">change in recumbent length/standing height (cm) from </w:t>
      </w:r>
      <w:r w:rsidR="00E5568D">
        <w:t>B</w:t>
      </w:r>
      <w:r>
        <w:t>aseline to post</w:t>
      </w:r>
      <w:r w:rsidR="009418F8">
        <w:t xml:space="preserve"> </w:t>
      </w:r>
      <w:r>
        <w:t>treatment study time points, height</w:t>
      </w:r>
      <w:r w:rsidR="009418F8">
        <w:t xml:space="preserve"> </w:t>
      </w:r>
      <w:r>
        <w:t>for</w:t>
      </w:r>
      <w:r w:rsidR="009418F8">
        <w:t xml:space="preserve"> </w:t>
      </w:r>
      <w:r>
        <w:t>age Z scores, and percentiles based on age and gender;</w:t>
      </w:r>
      <w:r w:rsidR="00F04EC7">
        <w:t xml:space="preserve"> and</w:t>
      </w:r>
    </w:p>
    <w:p w14:paraId="0B62711F" w14:textId="355D314E" w:rsidR="00BA6158" w:rsidRDefault="00BA6158" w:rsidP="00C40A3B">
      <w:pPr>
        <w:pStyle w:val="ListBullet"/>
      </w:pPr>
      <w:r>
        <w:t xml:space="preserve">change and percentage change from </w:t>
      </w:r>
      <w:r w:rsidR="00E5568D">
        <w:t>B</w:t>
      </w:r>
      <w:r>
        <w:t>aseline over time in ALP.</w:t>
      </w:r>
    </w:p>
    <w:p w14:paraId="5A9A5DF2" w14:textId="2B3572A5" w:rsidR="00BA6158" w:rsidRDefault="00BA6158" w:rsidP="00BA6158">
      <w:r>
        <w:t xml:space="preserve">There was substantial healing of rickets at Week 40 (defined as RGI-C score ≥ +2). </w:t>
      </w:r>
      <w:r w:rsidR="00823099">
        <w:t xml:space="preserve">Least squares </w:t>
      </w:r>
      <w:proofErr w:type="gramStart"/>
      <w:r w:rsidR="00823099">
        <w:t>means</w:t>
      </w:r>
      <w:proofErr w:type="gramEnd"/>
      <w:r w:rsidR="00823099">
        <w:t xml:space="preserve"> </w:t>
      </w:r>
      <w:r>
        <w:t xml:space="preserve">(SE) RGI-C global score at Week 40, the primary assessment time point, was +2.21 (0.071) (nominal p &lt; 0.0001, GEE model). Results were sustained </w:t>
      </w:r>
      <w:r w:rsidRPr="009418F8">
        <w:t>at</w:t>
      </w:r>
      <w:r>
        <w:t xml:space="preserve"> later time points: LSM (SE) RGI-C global scores at Weeks 64, 112, and 160 were +2.23 (0.111), +2.23 (0.076), and +2.14 (0.114), respectively (nominal p &lt; 0.0001 at </w:t>
      </w:r>
      <w:proofErr w:type="spellStart"/>
      <w:r>
        <w:t>all time</w:t>
      </w:r>
      <w:proofErr w:type="spellEnd"/>
      <w:r w:rsidR="00F04EC7">
        <w:t xml:space="preserve"> </w:t>
      </w:r>
      <w:r>
        <w:t>points, GEE model).</w:t>
      </w:r>
    </w:p>
    <w:p w14:paraId="62CD8C04" w14:textId="3C7BF0F8" w:rsidR="00EB273C" w:rsidRDefault="00BA6158" w:rsidP="00BA6158">
      <w:r>
        <w:t xml:space="preserve">There was also a reduction in rickets severity at </w:t>
      </w:r>
      <w:r w:rsidR="009418F8">
        <w:t>W</w:t>
      </w:r>
      <w:r>
        <w:t xml:space="preserve">eek 40. Mean (SD) total RSS decreased from 2.92 (1.367) to 1.19 (0.522) at </w:t>
      </w:r>
      <w:r w:rsidR="009418F8">
        <w:t>W</w:t>
      </w:r>
      <w:r>
        <w:t xml:space="preserve">eek 40. Effects were sustained to </w:t>
      </w:r>
      <w:r w:rsidR="009418F8">
        <w:t>W</w:t>
      </w:r>
      <w:r>
        <w:t xml:space="preserve">eek 160. The LSM (SE) change in RSS total score from </w:t>
      </w:r>
      <w:r w:rsidR="009418F8">
        <w:t>B</w:t>
      </w:r>
      <w:r>
        <w:t>aseline to Week 40 was -1.75 (0.116) (nominal p &lt; 0.0001, GEE model)</w:t>
      </w:r>
      <w:r w:rsidR="00EB273C">
        <w:t>.</w:t>
      </w:r>
    </w:p>
    <w:p w14:paraId="4292F2A4" w14:textId="79D82971" w:rsidR="00BA6158" w:rsidRDefault="00BA6158" w:rsidP="00BA6158">
      <w:r>
        <w:t xml:space="preserve">There were improvements in abnormalities observed in long leg radiographs starting at Week 40. LSM (SE) RGI-C lower limb deformity from </w:t>
      </w:r>
      <w:r w:rsidR="00CC49CB">
        <w:t>B</w:t>
      </w:r>
      <w:r>
        <w:t>aseline to Week 40 was +1.21 (0.155) (nominal p &lt; 0.0001, GEE model). Healing of lower limb deformities was sustained at later time</w:t>
      </w:r>
      <w:r w:rsidR="00F04EC7">
        <w:t xml:space="preserve"> </w:t>
      </w:r>
      <w:r>
        <w:t xml:space="preserve">points. At Week 40, lower limb deformities present at </w:t>
      </w:r>
      <w:r w:rsidR="00CC49CB">
        <w:t>B</w:t>
      </w:r>
      <w:r>
        <w:t xml:space="preserve">aseline (left </w:t>
      </w:r>
      <w:r w:rsidR="009418F8">
        <w:t>(</w:t>
      </w:r>
      <w:r>
        <w:t>L</w:t>
      </w:r>
      <w:r w:rsidR="009418F8">
        <w:t>)</w:t>
      </w:r>
      <w:r>
        <w:t xml:space="preserve">/right </w:t>
      </w:r>
      <w:r w:rsidR="009418F8">
        <w:t>(</w:t>
      </w:r>
      <w:r>
        <w:t>R</w:t>
      </w:r>
      <w:r w:rsidR="009418F8">
        <w:t>)</w:t>
      </w:r>
      <w:r>
        <w:t xml:space="preserve"> legs) showed improvement for most subjects for the tibia (L/R: 85%/92%) and the femur (L/R: 62%/62%), but improvements were noted less frequently for the fibula (L/R: 29%/29%). At Weeks 112 and 160, all abnormalities present at </w:t>
      </w:r>
      <w:r w:rsidR="00CC49CB">
        <w:t>B</w:t>
      </w:r>
      <w:r>
        <w:t xml:space="preserve">aseline in all </w:t>
      </w:r>
      <w:r w:rsidR="009418F8">
        <w:t>six</w:t>
      </w:r>
      <w:r>
        <w:t xml:space="preserve"> lower limb bones showed improvement, </w:t>
      </w:r>
      <w:proofErr w:type="gramStart"/>
      <w:r>
        <w:t>with the exception of</w:t>
      </w:r>
      <w:proofErr w:type="gramEnd"/>
      <w:r>
        <w:t xml:space="preserve"> </w:t>
      </w:r>
      <w:r w:rsidR="009418F8">
        <w:t>one</w:t>
      </w:r>
      <w:r>
        <w:t xml:space="preserve"> subject each for abnormalities in the left and right femur at Week 160.</w:t>
      </w:r>
    </w:p>
    <w:p w14:paraId="1A734B48" w14:textId="3FD9BED0" w:rsidR="00BA6158" w:rsidRDefault="00BA6158" w:rsidP="00BA6158">
      <w:r>
        <w:t xml:space="preserve">The mean (SD) increase in recumbent length/standing height from </w:t>
      </w:r>
      <w:r w:rsidR="00CC49CB">
        <w:t>B</w:t>
      </w:r>
      <w:r>
        <w:t xml:space="preserve">aseline to Week 160 was 19 (4.21) cm, with a range of 13.6 to 26.6 cm. The mean (SD) recumbent </w:t>
      </w:r>
      <w:r>
        <w:lastRenderedPageBreak/>
        <w:t>length/standing height Z score was -</w:t>
      </w:r>
      <w:r w:rsidR="009418F8">
        <w:t xml:space="preserve"> </w:t>
      </w:r>
      <w:r>
        <w:t xml:space="preserve">1.54 (1.088) at Week 160: LSM (SE) change from </w:t>
      </w:r>
      <w:r w:rsidR="00CC49CB">
        <w:t>B</w:t>
      </w:r>
      <w:r>
        <w:t>aseline of -</w:t>
      </w:r>
      <w:r w:rsidR="009418F8">
        <w:t xml:space="preserve"> </w:t>
      </w:r>
      <w:r>
        <w:t xml:space="preserve">0.08 (0.183). Changes in recumbent length/standing height Z scores did not significantly differ from </w:t>
      </w:r>
      <w:r w:rsidR="009418F8">
        <w:t>B</w:t>
      </w:r>
      <w:r>
        <w:t xml:space="preserve">aseline at any time-point during the study (Weeks 40, 64, 112 and 160). Changes in recumbent length/standing height Z scores did not significantly differ from </w:t>
      </w:r>
      <w:r w:rsidR="00CC49CB">
        <w:t>B</w:t>
      </w:r>
      <w:r>
        <w:t>aseline at any time-point during the study.</w:t>
      </w:r>
    </w:p>
    <w:p w14:paraId="3089354C" w14:textId="3ABBDDFC" w:rsidR="00BA6158" w:rsidRDefault="00BA6158" w:rsidP="00BA6158">
      <w:r>
        <w:t xml:space="preserve">Mean (SD) serum total ALP activity decreased from 549 (194) U/L at </w:t>
      </w:r>
      <w:r w:rsidR="00CC49CB">
        <w:t>B</w:t>
      </w:r>
      <w:r>
        <w:t>aseline to 335</w:t>
      </w:r>
      <w:r w:rsidR="00823099">
        <w:t> </w:t>
      </w:r>
      <w:r>
        <w:t>(88)</w:t>
      </w:r>
      <w:r w:rsidR="00823099">
        <w:t> </w:t>
      </w:r>
      <w:r>
        <w:t>U/L at Week 40. Decreases in serum ALP concentrations were sustained over the course of the study.</w:t>
      </w:r>
    </w:p>
    <w:p w14:paraId="4395C88B" w14:textId="543FDAB2" w:rsidR="00BA6158" w:rsidRDefault="00CC49CB" w:rsidP="00BA6158">
      <w:pPr>
        <w:pStyle w:val="Heading5"/>
      </w:pPr>
      <w:r>
        <w:t>S</w:t>
      </w:r>
      <w:r w:rsidR="00BA6158" w:rsidRPr="00BA6158">
        <w:t>tudy KRN23-003</w:t>
      </w:r>
      <w:r w:rsidR="006B5683">
        <w:t xml:space="preserve"> (supportive)</w:t>
      </w:r>
    </w:p>
    <w:p w14:paraId="365E5B53" w14:textId="0197E539" w:rsidR="00EB273C" w:rsidRDefault="00BA6158" w:rsidP="00BA6158">
      <w:r>
        <w:t>Study KRN23-003 is an ongoing, multicentre, open</w:t>
      </w:r>
      <w:r w:rsidR="00F04EC7">
        <w:t xml:space="preserve"> </w:t>
      </w:r>
      <w:r>
        <w:t>label, single</w:t>
      </w:r>
      <w:r w:rsidR="00F04EC7">
        <w:t xml:space="preserve"> </w:t>
      </w:r>
      <w:r>
        <w:t xml:space="preserve">arm, Phase </w:t>
      </w:r>
      <w:r w:rsidR="00CB60F5">
        <w:t>III</w:t>
      </w:r>
      <w:r>
        <w:t xml:space="preserve"> study designed to assess the PD and safety of </w:t>
      </w:r>
      <w:proofErr w:type="spellStart"/>
      <w:r>
        <w:t>burosumab</w:t>
      </w:r>
      <w:proofErr w:type="spellEnd"/>
      <w:r>
        <w:t xml:space="preserve"> in Japanese children (</w:t>
      </w:r>
      <w:r w:rsidR="004E3CB5">
        <w:t>one</w:t>
      </w:r>
      <w:r>
        <w:t xml:space="preserve"> to 12 years of age) with XLH. The study included a screening period, a treatment period (through to Week 40), an extended treatment period (through to Week 88), and a follow</w:t>
      </w:r>
      <w:r w:rsidR="00F04EC7">
        <w:t xml:space="preserve"> </w:t>
      </w:r>
      <w:r>
        <w:t xml:space="preserve">up period (every 12 Weeks after the last dose). The primary objective of the study was to evaluate the safety of </w:t>
      </w:r>
      <w:proofErr w:type="spellStart"/>
      <w:r>
        <w:t>burosumab</w:t>
      </w:r>
      <w:proofErr w:type="spellEnd"/>
      <w:r>
        <w:t xml:space="preserve"> SC </w:t>
      </w:r>
      <w:r w:rsidR="005312B4">
        <w:t>once every two weeks</w:t>
      </w:r>
      <w:r>
        <w:t xml:space="preserve"> in Japanese children with XLH rickets/</w:t>
      </w:r>
      <w:proofErr w:type="spellStart"/>
      <w:r>
        <w:t>osteomalacia</w:t>
      </w:r>
      <w:proofErr w:type="spellEnd"/>
      <w:r>
        <w:t xml:space="preserve">. The secondary objectives were to the evaluate effects of </w:t>
      </w:r>
      <w:proofErr w:type="spellStart"/>
      <w:r>
        <w:t>burosumab</w:t>
      </w:r>
      <w:proofErr w:type="spellEnd"/>
      <w:r>
        <w:t xml:space="preserve"> SC </w:t>
      </w:r>
      <w:r w:rsidR="005312B4">
        <w:t>once every two weeks</w:t>
      </w:r>
      <w:r>
        <w:t xml:space="preserve"> on biochemical markers, rickets, motor function, and growth</w:t>
      </w:r>
      <w:r w:rsidR="00EB273C">
        <w:t>.</w:t>
      </w:r>
    </w:p>
    <w:p w14:paraId="6FAB7168" w14:textId="31F4618E" w:rsidR="00EB273C" w:rsidRDefault="00BA6158" w:rsidP="00BA6158">
      <w:r>
        <w:t xml:space="preserve">Burosumab was administered by SC injection </w:t>
      </w:r>
      <w:r w:rsidR="005312B4">
        <w:t>once every two weeks</w:t>
      </w:r>
      <w:r>
        <w:t xml:space="preserve"> for up to 88 weeks at a starting dose of 0.8 mg/kg. The dose could be escalated up to 1.2 mg/kg according to dose adjustment criteria</w:t>
      </w:r>
      <w:r w:rsidR="00EB273C">
        <w:t>.</w:t>
      </w:r>
    </w:p>
    <w:p w14:paraId="6A45BC4F" w14:textId="30B5C9D0" w:rsidR="00BA6158" w:rsidRDefault="00BA6158" w:rsidP="00BA6158">
      <w:r>
        <w:t xml:space="preserve">The study enrolled subjects aged ≥ </w:t>
      </w:r>
      <w:r w:rsidR="004E3CB5">
        <w:t>one</w:t>
      </w:r>
      <w:r>
        <w:t xml:space="preserve"> and ≤ 12 years with a diagnosis of XLH and a </w:t>
      </w:r>
      <w:r w:rsidRPr="00CB60F5">
        <w:rPr>
          <w:i/>
          <w:iCs/>
        </w:rPr>
        <w:t>PHEX</w:t>
      </w:r>
      <w:r>
        <w:t xml:space="preserve"> mutation identified in either the subject or in a directly related family member with appropriate X-linked inheritance or serum </w:t>
      </w:r>
      <w:r w:rsidR="00FD70F7">
        <w:t>i</w:t>
      </w:r>
      <w:r w:rsidR="00FD70F7" w:rsidRPr="00A6572E">
        <w:t xml:space="preserve">ntact </w:t>
      </w:r>
      <w:r w:rsidR="00F04EC7">
        <w:t>FGF23</w:t>
      </w:r>
      <w:r w:rsidR="00FD70F7">
        <w:t xml:space="preserve"> </w:t>
      </w:r>
      <w:r>
        <w:t xml:space="preserve">level at screening ≥ 30 </w:t>
      </w:r>
      <w:proofErr w:type="spellStart"/>
      <w:r>
        <w:t>pg</w:t>
      </w:r>
      <w:proofErr w:type="spellEnd"/>
      <w:r>
        <w:t>/</w:t>
      </w:r>
      <w:proofErr w:type="spellStart"/>
      <w:r>
        <w:t>mL.</w:t>
      </w:r>
      <w:proofErr w:type="spellEnd"/>
      <w:r>
        <w:t xml:space="preserve"> Subjects were required to have radiographic evidence of open growth plates and clinical symptoms of rickets at screening, serum phosphorus levels &lt;</w:t>
      </w:r>
      <w:r w:rsidR="00F04EC7">
        <w:t> </w:t>
      </w:r>
      <w:r>
        <w:t>3</w:t>
      </w:r>
      <w:r w:rsidR="00F04EC7">
        <w:t> </w:t>
      </w:r>
      <w:r>
        <w:t>mg/dL, serum creatinine levels within the age</w:t>
      </w:r>
      <w:r w:rsidR="005312B4">
        <w:t xml:space="preserve"> </w:t>
      </w:r>
      <w:r>
        <w:t>adjusted normal limits, and serum 25(OH)D levels ≥ 16 ng/</w:t>
      </w:r>
      <w:proofErr w:type="spellStart"/>
      <w:r>
        <w:t>mL.</w:t>
      </w:r>
      <w:proofErr w:type="spellEnd"/>
      <w:r>
        <w:t xml:space="preserve"> Exclusion criteria included height percentile &gt; 50</w:t>
      </w:r>
      <w:r w:rsidRPr="008C7415">
        <w:t>th</w:t>
      </w:r>
      <w:r w:rsidRPr="00F04EC7">
        <w:t xml:space="preserve"> </w:t>
      </w:r>
      <w:r>
        <w:t>percentile based on age</w:t>
      </w:r>
      <w:r w:rsidR="005312B4">
        <w:t xml:space="preserve"> </w:t>
      </w:r>
      <w:r>
        <w:t xml:space="preserve">adjusted Japanese norms at screening. There were also exclusions relating to medications, biochemical parameters, the presence of Grade </w:t>
      </w:r>
      <w:r w:rsidR="00F00C8A">
        <w:t>4</w:t>
      </w:r>
      <w:r>
        <w:t xml:space="preserve"> </w:t>
      </w:r>
      <w:proofErr w:type="spellStart"/>
      <w:r>
        <w:t>nephrocalcinosis</w:t>
      </w:r>
      <w:proofErr w:type="spellEnd"/>
      <w:r>
        <w:t xml:space="preserve"> and planned or recommended orthopaedic surgery during the study period.</w:t>
      </w:r>
    </w:p>
    <w:p w14:paraId="10561DF6" w14:textId="1FD1A345" w:rsidR="00BA6158" w:rsidRDefault="00BA6158" w:rsidP="00BA6158">
      <w:r>
        <w:t xml:space="preserve">Efficacy outcomes were secondary endpoints in this study. The following endpoints were assessed at each time point: changes from </w:t>
      </w:r>
      <w:r w:rsidR="00CB60F5">
        <w:t>B</w:t>
      </w:r>
      <w:r>
        <w:t xml:space="preserve">aseline in serum levels of phosphorus, 1,25(OH)2D, and ALP and urinary levels of phosphorus, TRP, and </w:t>
      </w:r>
      <w:proofErr w:type="spellStart"/>
      <w:r>
        <w:t>TmP</w:t>
      </w:r>
      <w:proofErr w:type="spellEnd"/>
      <w:r>
        <w:t xml:space="preserve">/GFR; improvement in rickets based on the RGI-C global score; changes from </w:t>
      </w:r>
      <w:r w:rsidR="00CB60F5">
        <w:t>B</w:t>
      </w:r>
      <w:r>
        <w:t xml:space="preserve">aseline in RSS total score; changes from </w:t>
      </w:r>
      <w:r w:rsidR="00CB60F5">
        <w:t>B</w:t>
      </w:r>
      <w:r>
        <w:t>aseline in motor function (</w:t>
      </w:r>
      <w:proofErr w:type="gramStart"/>
      <w:r>
        <w:t>6</w:t>
      </w:r>
      <w:r w:rsidR="00FF2748">
        <w:t xml:space="preserve"> minute</w:t>
      </w:r>
      <w:proofErr w:type="gramEnd"/>
      <w:r w:rsidR="00FF2748">
        <w:t xml:space="preserve"> walk test</w:t>
      </w:r>
      <w:r>
        <w:t xml:space="preserve">) and changes from </w:t>
      </w:r>
      <w:r w:rsidR="00CB60F5">
        <w:t>B</w:t>
      </w:r>
      <w:r>
        <w:t xml:space="preserve">aseline in </w:t>
      </w:r>
      <w:r w:rsidR="00F04EC7">
        <w:t>Z</w:t>
      </w:r>
      <w:r w:rsidR="00883EC1">
        <w:t xml:space="preserve"> </w:t>
      </w:r>
      <w:r>
        <w:t>score of height (LMS method).</w:t>
      </w:r>
    </w:p>
    <w:p w14:paraId="52C81220" w14:textId="39FCA8C1" w:rsidR="00BA6158" w:rsidRDefault="00BA6158" w:rsidP="00BA6158">
      <w:r>
        <w:t xml:space="preserve">Mean (SD) serum phosphorus level increased from 2.61 (0.32) mg/dL at </w:t>
      </w:r>
      <w:r w:rsidR="00CB60F5">
        <w:t>B</w:t>
      </w:r>
      <w:r>
        <w:t>aseline to a maximum of 3.73 (0.54) mg/dL at Week 4. Thereafter, there was no marked change in serum phosphorus level. The mean (SD) level at Week 40 was 3.51 (0.45) mg/dL.</w:t>
      </w:r>
    </w:p>
    <w:p w14:paraId="606C3276" w14:textId="13BBFE8C" w:rsidR="00BA6158" w:rsidRDefault="00BA6158" w:rsidP="00BA6158">
      <w:r>
        <w:t xml:space="preserve">Mean (SD) 1,25(OH)2D level increased from 24.65 (12.70) </w:t>
      </w:r>
      <w:proofErr w:type="spellStart"/>
      <w:r>
        <w:t>pg</w:t>
      </w:r>
      <w:proofErr w:type="spellEnd"/>
      <w:r>
        <w:t xml:space="preserve">/mL at </w:t>
      </w:r>
      <w:r w:rsidR="00CB60F5">
        <w:t>B</w:t>
      </w:r>
      <w:r>
        <w:t xml:space="preserve">aseline to a maximum of 70.81 (21.49) </w:t>
      </w:r>
      <w:proofErr w:type="spellStart"/>
      <w:r>
        <w:t>pg</w:t>
      </w:r>
      <w:proofErr w:type="spellEnd"/>
      <w:r>
        <w:t xml:space="preserve">/mL at Week 1. Thereafter, there was no marked change in 1,25(OH)2D levels. The mean (SD) level was 62.19 (12.50) </w:t>
      </w:r>
      <w:proofErr w:type="spellStart"/>
      <w:r>
        <w:t>pg</w:t>
      </w:r>
      <w:proofErr w:type="spellEnd"/>
      <w:r>
        <w:t>/mL at Week 40.</w:t>
      </w:r>
    </w:p>
    <w:p w14:paraId="4017C22D" w14:textId="77777777" w:rsidR="00EB273C" w:rsidRDefault="00BA6158" w:rsidP="00BA6158">
      <w:r>
        <w:t xml:space="preserve">Mean (SD) ALP decreased from 1589.3 (366.9) U/L at </w:t>
      </w:r>
      <w:r w:rsidR="00CB60F5">
        <w:t>B</w:t>
      </w:r>
      <w:r>
        <w:t>aseline to 1131.3 (263.6 U/L) at Week 40</w:t>
      </w:r>
      <w:r w:rsidR="00EB273C">
        <w:t>.</w:t>
      </w:r>
    </w:p>
    <w:p w14:paraId="73CBF6CE" w14:textId="65AE2D53" w:rsidR="00EB273C" w:rsidRDefault="00BA6158" w:rsidP="00BA6158">
      <w:r>
        <w:t>The RGI-C global score was assessed based on findings in the wrists and knees. At Week</w:t>
      </w:r>
      <w:r w:rsidR="006B5683">
        <w:t> </w:t>
      </w:r>
      <w:r>
        <w:t>40, the mean (SD) RGI-C global score was +1.51 (0.80). The mean (SD) RGI-C leg deformity score was +0.73 (0.85) at Week 40. The mean (SD) baseline RSS total score was +1.29 (1.17) and decreased to +</w:t>
      </w:r>
      <w:r w:rsidR="005312B4">
        <w:t xml:space="preserve"> </w:t>
      </w:r>
      <w:r>
        <w:t>0.62 (0.58) at Week 40</w:t>
      </w:r>
      <w:r w:rsidR="00EB273C">
        <w:t>.</w:t>
      </w:r>
    </w:p>
    <w:p w14:paraId="7460A908" w14:textId="230393FC" w:rsidR="00BA6158" w:rsidRDefault="00BA6158" w:rsidP="00BA6158">
      <w:r>
        <w:lastRenderedPageBreak/>
        <w:t xml:space="preserve">Mean (SD) </w:t>
      </w:r>
      <w:proofErr w:type="gramStart"/>
      <w:r>
        <w:t>6</w:t>
      </w:r>
      <w:r w:rsidR="00FF2748">
        <w:t xml:space="preserve"> minute</w:t>
      </w:r>
      <w:proofErr w:type="gramEnd"/>
      <w:r w:rsidR="00FF2748">
        <w:t xml:space="preserve"> walk test</w:t>
      </w:r>
      <w:r>
        <w:t xml:space="preserve"> increased from 425 (81.3) metres at </w:t>
      </w:r>
      <w:r w:rsidR="00CB60F5">
        <w:t>B</w:t>
      </w:r>
      <w:r>
        <w:t xml:space="preserve">aseline to 461.1 (58.2) metres at Week 24 and 437.6 (77.3) metres at Week 40, with the mean increases from </w:t>
      </w:r>
      <w:r w:rsidR="00CB60F5">
        <w:t>B</w:t>
      </w:r>
      <w:r>
        <w:t>aseline being 24.1 (60.7) metres at Week 24 and 12.6 (75.5) metres at Week 40.</w:t>
      </w:r>
    </w:p>
    <w:p w14:paraId="58E4A266" w14:textId="5B50F6BF" w:rsidR="00BA6158" w:rsidRDefault="00BA6158" w:rsidP="00BA6158">
      <w:r>
        <w:t xml:space="preserve">There were no clinically meaningful changes in height based on the </w:t>
      </w:r>
      <w:r w:rsidR="00F04EC7">
        <w:t xml:space="preserve">Z </w:t>
      </w:r>
      <w:r>
        <w:t>scores.</w:t>
      </w:r>
    </w:p>
    <w:p w14:paraId="34DB26A3" w14:textId="1B209B2C" w:rsidR="00241C1D" w:rsidRDefault="00241C1D" w:rsidP="00241C1D">
      <w:pPr>
        <w:pStyle w:val="Heading4"/>
      </w:pPr>
      <w:r w:rsidRPr="00241C1D">
        <w:t>Safety</w:t>
      </w:r>
    </w:p>
    <w:p w14:paraId="4CEDA6F9" w14:textId="660DBFB0" w:rsidR="00241C1D" w:rsidRDefault="00241C1D" w:rsidP="00241C1D">
      <w:pPr>
        <w:pStyle w:val="Heading5"/>
      </w:pPr>
      <w:r w:rsidRPr="00241C1D">
        <w:t xml:space="preserve">Safety in adults with </w:t>
      </w:r>
      <w:r w:rsidR="006B5683">
        <w:t>X</w:t>
      </w:r>
      <w:r w:rsidR="006B5683">
        <w:noBreakHyphen/>
        <w:t xml:space="preserve">linked </w:t>
      </w:r>
      <w:proofErr w:type="spellStart"/>
      <w:r w:rsidR="006B5683">
        <w:t>hypophosphataemia</w:t>
      </w:r>
      <w:proofErr w:type="spellEnd"/>
    </w:p>
    <w:p w14:paraId="43E3A02F" w14:textId="73507B51" w:rsidR="00241C1D" w:rsidRDefault="00241C1D" w:rsidP="00DC1FE9">
      <w:r>
        <w:t>Five studies provided evaluable safety data in 175 unique adult subjects with XLH exposed to repeat</w:t>
      </w:r>
      <w:r w:rsidR="00F04EC7">
        <w:t xml:space="preserve"> </w:t>
      </w:r>
      <w:r>
        <w:t xml:space="preserve">dose </w:t>
      </w:r>
      <w:proofErr w:type="spellStart"/>
      <w:r>
        <w:t>burosumab</w:t>
      </w:r>
      <w:proofErr w:type="spellEnd"/>
      <w:r>
        <w:t xml:space="preserve">. Key safety data in adults is provided by </w:t>
      </w:r>
      <w:r w:rsidR="006B5683">
        <w:t>p</w:t>
      </w:r>
      <w:r>
        <w:t xml:space="preserve">ivotal </w:t>
      </w:r>
      <w:r w:rsidR="00A44716">
        <w:t>S</w:t>
      </w:r>
      <w:r>
        <w:t>tudy</w:t>
      </w:r>
      <w:r w:rsidR="006B5683">
        <w:t> </w:t>
      </w:r>
      <w:r>
        <w:t>UX023</w:t>
      </w:r>
      <w:r w:rsidR="006B5683">
        <w:noBreakHyphen/>
      </w:r>
      <w:r>
        <w:t xml:space="preserve">CL303 in 134 subjects treated with </w:t>
      </w:r>
      <w:proofErr w:type="spellStart"/>
      <w:r>
        <w:t>burosumab</w:t>
      </w:r>
      <w:proofErr w:type="spellEnd"/>
      <w:r>
        <w:t xml:space="preserve"> with supporting safety data from </w:t>
      </w:r>
      <w:r w:rsidR="00A44716">
        <w:t xml:space="preserve">Study </w:t>
      </w:r>
      <w:r>
        <w:t xml:space="preserve">UX023-CL203 (20 subjects), </w:t>
      </w:r>
      <w:r w:rsidR="00A44716">
        <w:t xml:space="preserve">Study </w:t>
      </w:r>
      <w:r>
        <w:t xml:space="preserve">UX023-CL304 (14 subjects), and </w:t>
      </w:r>
      <w:r w:rsidR="00A44716">
        <w:t>Study</w:t>
      </w:r>
      <w:r w:rsidR="006B5683">
        <w:t> </w:t>
      </w:r>
      <w:r>
        <w:t>KRN23-INT-001/002 (28 subjects; 20 of these subjects also participated in Study</w:t>
      </w:r>
      <w:r w:rsidR="006B5683">
        <w:t> </w:t>
      </w:r>
      <w:r>
        <w:t>UX023-CL203).</w:t>
      </w:r>
    </w:p>
    <w:p w14:paraId="0E84F28F" w14:textId="5387A4A1" w:rsidR="00241C1D" w:rsidRDefault="00241C1D" w:rsidP="00DC1FE9">
      <w:r>
        <w:t xml:space="preserve">Mean (SE) exposure to </w:t>
      </w:r>
      <w:proofErr w:type="spellStart"/>
      <w:r>
        <w:t>burosumab</w:t>
      </w:r>
      <w:proofErr w:type="spellEnd"/>
      <w:r>
        <w:t xml:space="preserve"> was 771.3 (21.97) days in </w:t>
      </w:r>
      <w:r w:rsidRPr="002F38C7">
        <w:t xml:space="preserve">the </w:t>
      </w:r>
      <w:proofErr w:type="spellStart"/>
      <w:r w:rsidRPr="002F38C7">
        <w:t>burosumab</w:t>
      </w:r>
      <w:proofErr w:type="spellEnd"/>
      <w:r w:rsidRPr="002F38C7">
        <w:t xml:space="preserve"> group (143.60 subject</w:t>
      </w:r>
      <w:r w:rsidR="005312B4" w:rsidRPr="002F38C7">
        <w:t xml:space="preserve"> </w:t>
      </w:r>
      <w:r w:rsidRPr="002F38C7">
        <w:t xml:space="preserve">years of exposure to </w:t>
      </w:r>
      <w:proofErr w:type="spellStart"/>
      <w:r w:rsidRPr="002F38C7">
        <w:t>burosumab</w:t>
      </w:r>
      <w:proofErr w:type="spellEnd"/>
      <w:r w:rsidRPr="002F38C7">
        <w:t>) and 625.7 (19.40) days in the placebo</w:t>
      </w:r>
      <w:r w:rsidR="002F38C7" w:rsidRPr="002F38C7">
        <w:t xml:space="preserve"> that were switched over to </w:t>
      </w:r>
      <w:proofErr w:type="spellStart"/>
      <w:r w:rsidRPr="002F38C7">
        <w:t>burosumab</w:t>
      </w:r>
      <w:proofErr w:type="spellEnd"/>
      <w:r w:rsidRPr="002F38C7">
        <w:t xml:space="preserve"> group (113</w:t>
      </w:r>
      <w:r>
        <w:t xml:space="preserve">.07 subject-years of exposure to </w:t>
      </w:r>
      <w:proofErr w:type="spellStart"/>
      <w:r>
        <w:t>burosumab</w:t>
      </w:r>
      <w:proofErr w:type="spellEnd"/>
      <w:r>
        <w:t xml:space="preserve">). In the total </w:t>
      </w:r>
      <w:proofErr w:type="spellStart"/>
      <w:r>
        <w:t>burosumab</w:t>
      </w:r>
      <w:proofErr w:type="spellEnd"/>
      <w:r>
        <w:t xml:space="preserve"> group (all periods combined), the mean (SE) duration of exposure was 699.6 (15.93) days (range: 165</w:t>
      </w:r>
      <w:r w:rsidR="00F04EC7">
        <w:t xml:space="preserve"> to</w:t>
      </w:r>
      <w:r>
        <w:t xml:space="preserve"> 957 days), and the total subject</w:t>
      </w:r>
      <w:r w:rsidR="005312B4">
        <w:t xml:space="preserve"> </w:t>
      </w:r>
      <w:r>
        <w:t xml:space="preserve">years of exposure to </w:t>
      </w:r>
      <w:proofErr w:type="spellStart"/>
      <w:r>
        <w:t>burosumab</w:t>
      </w:r>
      <w:proofErr w:type="spellEnd"/>
      <w:r>
        <w:t xml:space="preserve"> was 256.67.</w:t>
      </w:r>
    </w:p>
    <w:p w14:paraId="071C977C" w14:textId="7197CE34" w:rsidR="00EB273C" w:rsidRDefault="00241C1D" w:rsidP="00DC1FE9">
      <w:r>
        <w:t xml:space="preserve">In the placebo-controlled treatment period, </w:t>
      </w:r>
      <w:r w:rsidR="00681427">
        <w:t>treatment</w:t>
      </w:r>
      <w:r w:rsidR="006B5683">
        <w:noBreakHyphen/>
      </w:r>
      <w:r w:rsidR="00681427">
        <w:t>emergent adverse events (</w:t>
      </w:r>
      <w:r>
        <w:t>TEAEs</w:t>
      </w:r>
      <w:r w:rsidR="00681427">
        <w:t>)</w:t>
      </w:r>
      <w:r>
        <w:t xml:space="preserve"> occurred in 61 (92.4%) subjects in the placebo group and 64 (94.1%) subjects in the </w:t>
      </w:r>
      <w:proofErr w:type="spellStart"/>
      <w:r>
        <w:t>burosumab</w:t>
      </w:r>
      <w:proofErr w:type="spellEnd"/>
      <w:r>
        <w:t xml:space="preserve"> group. </w:t>
      </w:r>
      <w:r w:rsidR="00681427">
        <w:t xml:space="preserve">The </w:t>
      </w:r>
      <w:r>
        <w:t xml:space="preserve">TEAEs considered to be related to study drug were reported in 30 (44.1%) subjects in the </w:t>
      </w:r>
      <w:proofErr w:type="spellStart"/>
      <w:r>
        <w:t>burosumab</w:t>
      </w:r>
      <w:proofErr w:type="spellEnd"/>
      <w:r>
        <w:t xml:space="preserve"> group and 27 (40.9%) subjects in the placebo group. Serious TEAEs were reported in </w:t>
      </w:r>
      <w:r w:rsidR="005312B4">
        <w:t>one</w:t>
      </w:r>
      <w:r>
        <w:t xml:space="preserve"> (1.5%) subject in the placebo group and </w:t>
      </w:r>
      <w:r w:rsidR="005312B4">
        <w:t>two</w:t>
      </w:r>
      <w:r>
        <w:t xml:space="preserve"> (2.9%) subjects in the </w:t>
      </w:r>
      <w:proofErr w:type="spellStart"/>
      <w:r>
        <w:t>burosumab</w:t>
      </w:r>
      <w:proofErr w:type="spellEnd"/>
      <w:r>
        <w:t xml:space="preserve"> group. No TEAEs leading to study discontinuation or treatment discontinuation occurred in either treatment group. </w:t>
      </w:r>
      <w:r w:rsidR="00681427">
        <w:t xml:space="preserve">The </w:t>
      </w:r>
      <w:r>
        <w:t>TEAEs reported in ≥</w:t>
      </w:r>
      <w:r w:rsidR="00F04EC7">
        <w:t> </w:t>
      </w:r>
      <w:r>
        <w:t xml:space="preserve">10% of subjects in the </w:t>
      </w:r>
      <w:proofErr w:type="spellStart"/>
      <w:r>
        <w:t>burosumab</w:t>
      </w:r>
      <w:proofErr w:type="spellEnd"/>
      <w:r>
        <w:t xml:space="preserve"> group v</w:t>
      </w:r>
      <w:r w:rsidR="00681427">
        <w:t>ersus</w:t>
      </w:r>
      <w:r>
        <w:t xml:space="preserve"> the placebo group, respectively, were nasopharyngitis, back pain, headache, tooth abscess, dizziness, restless legs syndrome, and nausea. Each of the TEAEs reported in ≥ 10% of subjects occurred more frequently in the </w:t>
      </w:r>
      <w:proofErr w:type="spellStart"/>
      <w:r>
        <w:t>burosumab</w:t>
      </w:r>
      <w:proofErr w:type="spellEnd"/>
      <w:r>
        <w:t xml:space="preserve"> group compared to the placebo-group</w:t>
      </w:r>
      <w:r w:rsidR="00EB273C">
        <w:t>.</w:t>
      </w:r>
    </w:p>
    <w:p w14:paraId="736F251C" w14:textId="0C2C27B0" w:rsidR="00EB273C" w:rsidRDefault="00241C1D" w:rsidP="00DC1FE9">
      <w:r>
        <w:t xml:space="preserve">In the total </w:t>
      </w:r>
      <w:proofErr w:type="spellStart"/>
      <w:r>
        <w:t>burosumab</w:t>
      </w:r>
      <w:proofErr w:type="spellEnd"/>
      <w:r>
        <w:t xml:space="preserve"> group, 98.5% of subjects reported TEAEs. The most commonly reported TEAEs in the total </w:t>
      </w:r>
      <w:proofErr w:type="spellStart"/>
      <w:r>
        <w:t>burosumab</w:t>
      </w:r>
      <w:proofErr w:type="spellEnd"/>
      <w:r>
        <w:t xml:space="preserve"> group were consistent with those reported in the </w:t>
      </w:r>
      <w:proofErr w:type="spellStart"/>
      <w:r>
        <w:t>burosumab</w:t>
      </w:r>
      <w:proofErr w:type="spellEnd"/>
      <w:r>
        <w:t xml:space="preserve"> group in the </w:t>
      </w:r>
      <w:proofErr w:type="gramStart"/>
      <w:r>
        <w:t>placebo</w:t>
      </w:r>
      <w:r w:rsidR="00F04EC7">
        <w:t xml:space="preserve"> </w:t>
      </w:r>
      <w:r>
        <w:t>controlled</w:t>
      </w:r>
      <w:proofErr w:type="gramEnd"/>
      <w:r>
        <w:t xml:space="preserve"> treatment period. Serious TEAEs occurred in 16.4% (n</w:t>
      </w:r>
      <w:r w:rsidR="005312B4">
        <w:t xml:space="preserve"> </w:t>
      </w:r>
      <w:r>
        <w:t>=</w:t>
      </w:r>
      <w:r w:rsidR="005312B4">
        <w:t xml:space="preserve"> </w:t>
      </w:r>
      <w:r>
        <w:t xml:space="preserve">22) of subjects. One (0.7%) subject in the total </w:t>
      </w:r>
      <w:proofErr w:type="spellStart"/>
      <w:r>
        <w:t>burosumab</w:t>
      </w:r>
      <w:proofErr w:type="spellEnd"/>
      <w:r>
        <w:t xml:space="preserve"> group had a fatal TEAE</w:t>
      </w:r>
      <w:r w:rsidR="00EB273C">
        <w:t>.</w:t>
      </w:r>
    </w:p>
    <w:p w14:paraId="461F90DE" w14:textId="46BB3328" w:rsidR="00EB273C" w:rsidRDefault="00241C1D" w:rsidP="00DC1FE9">
      <w:r>
        <w:t xml:space="preserve">Most events observed with </w:t>
      </w:r>
      <w:proofErr w:type="spellStart"/>
      <w:r>
        <w:t>burosumab</w:t>
      </w:r>
      <w:proofErr w:type="spellEnd"/>
      <w:r>
        <w:t xml:space="preserve"> were mild or moderate in severity. </w:t>
      </w:r>
      <w:r w:rsidR="005312B4">
        <w:t>Eight</w:t>
      </w:r>
      <w:r>
        <w:t xml:space="preserve"> subjects in each treatment group experienced severe (Grade </w:t>
      </w:r>
      <w:r w:rsidR="00F00C8A">
        <w:t>3</w:t>
      </w:r>
      <w:r>
        <w:t xml:space="preserve">) TEAEs. The only Grade </w:t>
      </w:r>
      <w:r w:rsidR="00F00C8A">
        <w:t>3</w:t>
      </w:r>
      <w:r>
        <w:t xml:space="preserve"> TEAE reported in ≥ </w:t>
      </w:r>
      <w:r w:rsidR="00FF2748">
        <w:t>one</w:t>
      </w:r>
      <w:r>
        <w:t xml:space="preserve"> subject in the </w:t>
      </w:r>
      <w:proofErr w:type="gramStart"/>
      <w:r>
        <w:t>placebo</w:t>
      </w:r>
      <w:r w:rsidR="005312B4">
        <w:t xml:space="preserve"> </w:t>
      </w:r>
      <w:r>
        <w:t>controlled</w:t>
      </w:r>
      <w:proofErr w:type="gramEnd"/>
      <w:r>
        <w:t xml:space="preserve"> treatment period was tooth abscess in the </w:t>
      </w:r>
      <w:proofErr w:type="spellStart"/>
      <w:r>
        <w:t>burosumab</w:t>
      </w:r>
      <w:proofErr w:type="spellEnd"/>
      <w:r>
        <w:t xml:space="preserve"> group (</w:t>
      </w:r>
      <w:r w:rsidR="00FF2748">
        <w:t>three</w:t>
      </w:r>
      <w:r>
        <w:t xml:space="preserve"> subjects </w:t>
      </w:r>
      <w:r w:rsidR="005312B4">
        <w:t>(</w:t>
      </w:r>
      <w:r>
        <w:t>4.4%</w:t>
      </w:r>
      <w:r w:rsidR="005312B4">
        <w:t>)</w:t>
      </w:r>
      <w:r>
        <w:t xml:space="preserve">, </w:t>
      </w:r>
      <w:proofErr w:type="spellStart"/>
      <w:r>
        <w:t>burosumab</w:t>
      </w:r>
      <w:proofErr w:type="spellEnd"/>
      <w:r>
        <w:t xml:space="preserve"> v</w:t>
      </w:r>
      <w:r w:rsidR="00681427">
        <w:t>ersus</w:t>
      </w:r>
      <w:r>
        <w:t xml:space="preserve"> </w:t>
      </w:r>
      <w:r w:rsidR="00FF2748">
        <w:t>zero</w:t>
      </w:r>
      <w:r>
        <w:t xml:space="preserve"> subjects </w:t>
      </w:r>
      <w:r w:rsidR="005312B4">
        <w:t>(</w:t>
      </w:r>
      <w:r>
        <w:t>0%</w:t>
      </w:r>
      <w:r w:rsidR="005312B4">
        <w:t>)</w:t>
      </w:r>
      <w:r>
        <w:t xml:space="preserve">, placebo). In the total </w:t>
      </w:r>
      <w:proofErr w:type="spellStart"/>
      <w:r>
        <w:t>burosumab</w:t>
      </w:r>
      <w:proofErr w:type="spellEnd"/>
      <w:r>
        <w:t xml:space="preserve"> group, Grade </w:t>
      </w:r>
      <w:r w:rsidR="00F00C8A">
        <w:t>3</w:t>
      </w:r>
      <w:r>
        <w:t xml:space="preserve"> TEAEs were reported in 40 (29.9%) subjects. No Grade </w:t>
      </w:r>
      <w:r w:rsidR="00F00C8A">
        <w:t>4</w:t>
      </w:r>
      <w:r>
        <w:t xml:space="preserve"> TEAEs were reported. One Grade </w:t>
      </w:r>
      <w:r w:rsidR="00F00C8A">
        <w:t>5</w:t>
      </w:r>
      <w:r>
        <w:t xml:space="preserve"> (fatal) TEAE (road traffic accident) unrelated to treatment occurred in the </w:t>
      </w:r>
      <w:proofErr w:type="spellStart"/>
      <w:r>
        <w:t>burosumab</w:t>
      </w:r>
      <w:proofErr w:type="spellEnd"/>
      <w:r>
        <w:t xml:space="preserve"> group</w:t>
      </w:r>
      <w:r w:rsidR="00EB273C">
        <w:t>.</w:t>
      </w:r>
    </w:p>
    <w:p w14:paraId="200A9BF9" w14:textId="67CEA3CA" w:rsidR="00EB273C" w:rsidRDefault="00241C1D" w:rsidP="00DC1FE9">
      <w:r>
        <w:t xml:space="preserve">Serious TEAEs in the </w:t>
      </w:r>
      <w:proofErr w:type="gramStart"/>
      <w:r>
        <w:t>placebo</w:t>
      </w:r>
      <w:r w:rsidR="00A448A6">
        <w:t xml:space="preserve"> </w:t>
      </w:r>
      <w:r>
        <w:t>controlled</w:t>
      </w:r>
      <w:proofErr w:type="gramEnd"/>
      <w:r>
        <w:t xml:space="preserve"> treatment period were reported in </w:t>
      </w:r>
      <w:r w:rsidR="005312B4">
        <w:t>two</w:t>
      </w:r>
      <w:r>
        <w:t xml:space="preserve"> (2.9%) subjects in the </w:t>
      </w:r>
      <w:proofErr w:type="spellStart"/>
      <w:r>
        <w:t>burosumab</w:t>
      </w:r>
      <w:proofErr w:type="spellEnd"/>
      <w:r>
        <w:t xml:space="preserve"> group and </w:t>
      </w:r>
      <w:r w:rsidR="005312B4">
        <w:t>one</w:t>
      </w:r>
      <w:r>
        <w:t xml:space="preserve"> subject in the placebo group but none of these serious TEAEs were considered to be treatment</w:t>
      </w:r>
      <w:r w:rsidR="005312B4">
        <w:t xml:space="preserve"> </w:t>
      </w:r>
      <w:r>
        <w:t xml:space="preserve">related. Through to the </w:t>
      </w:r>
      <w:r w:rsidR="009E4EF3">
        <w:t>end of study</w:t>
      </w:r>
      <w:r>
        <w:t>, 22</w:t>
      </w:r>
      <w:r w:rsidR="006B5683">
        <w:t> </w:t>
      </w:r>
      <w:r>
        <w:t xml:space="preserve">(16.4%) subjects in the total </w:t>
      </w:r>
      <w:proofErr w:type="spellStart"/>
      <w:r>
        <w:t>burosumab</w:t>
      </w:r>
      <w:proofErr w:type="spellEnd"/>
      <w:r>
        <w:t xml:space="preserve"> group experienced serious TEAEs, with the only events reported in ≥ </w:t>
      </w:r>
      <w:r w:rsidR="00FF2748">
        <w:t>two</w:t>
      </w:r>
      <w:r>
        <w:t xml:space="preserve"> subjects being arthralgia (</w:t>
      </w:r>
      <w:r w:rsidR="00FF2748">
        <w:t>two</w:t>
      </w:r>
      <w:r>
        <w:t xml:space="preserve"> </w:t>
      </w:r>
      <w:r w:rsidR="005312B4">
        <w:t>(</w:t>
      </w:r>
      <w:r>
        <w:t>1.5%</w:t>
      </w:r>
      <w:r w:rsidR="005312B4">
        <w:t>)</w:t>
      </w:r>
      <w:r>
        <w:t>) and myelopathy (</w:t>
      </w:r>
      <w:r w:rsidR="00FF2748">
        <w:t>two</w:t>
      </w:r>
      <w:r>
        <w:t xml:space="preserve"> </w:t>
      </w:r>
      <w:r w:rsidR="005312B4">
        <w:t>(</w:t>
      </w:r>
      <w:r>
        <w:t>1.5%</w:t>
      </w:r>
      <w:r w:rsidR="005312B4">
        <w:t>)</w:t>
      </w:r>
      <w:r>
        <w:t xml:space="preserve">). Only one serious TEAE </w:t>
      </w:r>
      <w:proofErr w:type="gramStart"/>
      <w:r>
        <w:t>was considered to be</w:t>
      </w:r>
      <w:proofErr w:type="gramEnd"/>
      <w:r>
        <w:t xml:space="preserve"> related to treatment (spinal stenosis). Th</w:t>
      </w:r>
      <w:r w:rsidR="00681427">
        <w:t>e patient</w:t>
      </w:r>
      <w:r>
        <w:t xml:space="preserve"> was reported to have an extensive history of spinal column stenosis </w:t>
      </w:r>
      <w:r>
        <w:lastRenderedPageBreak/>
        <w:t xml:space="preserve">and associated spinal surgeries. At the end of the study, all serious TEAEs were assessed as resolved or recovered apart from </w:t>
      </w:r>
      <w:r w:rsidR="005312B4">
        <w:t>one</w:t>
      </w:r>
      <w:r>
        <w:t xml:space="preserve"> event of joint range of motion decreased</w:t>
      </w:r>
      <w:r w:rsidR="00EB273C">
        <w:t>.</w:t>
      </w:r>
    </w:p>
    <w:p w14:paraId="0B064732" w14:textId="16DAD269" w:rsidR="00EB273C" w:rsidRDefault="00681427" w:rsidP="00DC1FE9">
      <w:r>
        <w:t xml:space="preserve">The </w:t>
      </w:r>
      <w:r w:rsidR="00241C1D">
        <w:t xml:space="preserve">TEAEs of interest were injection site reactions (ISRs), hypersensitivity, </w:t>
      </w:r>
      <w:proofErr w:type="spellStart"/>
      <w:r w:rsidR="00241C1D">
        <w:t>hyperphosphataemia</w:t>
      </w:r>
      <w:proofErr w:type="spellEnd"/>
      <w:r w:rsidR="00241C1D">
        <w:t xml:space="preserve">, ectopic mineralisation, and restless legs syndrome (RLS). In the </w:t>
      </w:r>
      <w:proofErr w:type="gramStart"/>
      <w:r w:rsidR="00241C1D">
        <w:t>placebo</w:t>
      </w:r>
      <w:r w:rsidR="00B50E92">
        <w:t xml:space="preserve"> </w:t>
      </w:r>
      <w:r w:rsidR="00241C1D">
        <w:t>controlled</w:t>
      </w:r>
      <w:proofErr w:type="gramEnd"/>
      <w:r w:rsidR="00241C1D">
        <w:t xml:space="preserve"> treatment period, ISRs occurred in </w:t>
      </w:r>
      <w:r w:rsidR="00B50E92">
        <w:t>eight</w:t>
      </w:r>
      <w:r w:rsidR="00241C1D">
        <w:t xml:space="preserve"> subjects in both treatment groups, hypersensitivity in </w:t>
      </w:r>
      <w:r w:rsidR="00B50E92">
        <w:t>four</w:t>
      </w:r>
      <w:r w:rsidR="00241C1D">
        <w:t xml:space="preserve"> subjects in both treatment groups, </w:t>
      </w:r>
      <w:proofErr w:type="spellStart"/>
      <w:r w:rsidR="00241C1D">
        <w:t>hyperphosphataemia</w:t>
      </w:r>
      <w:proofErr w:type="spellEnd"/>
      <w:r w:rsidR="00241C1D">
        <w:t xml:space="preserve"> in </w:t>
      </w:r>
      <w:r w:rsidR="00B50E92">
        <w:t>four</w:t>
      </w:r>
      <w:r w:rsidR="00241C1D">
        <w:t xml:space="preserve"> (5.9%) subjects in the </w:t>
      </w:r>
      <w:proofErr w:type="spellStart"/>
      <w:r w:rsidR="00241C1D">
        <w:t>burosumab</w:t>
      </w:r>
      <w:proofErr w:type="spellEnd"/>
      <w:r w:rsidR="00241C1D">
        <w:t xml:space="preserve"> group and no subjects in the placebo group, RLS in </w:t>
      </w:r>
      <w:r w:rsidR="00FB5479">
        <w:t>six</w:t>
      </w:r>
      <w:r w:rsidR="00241C1D">
        <w:t xml:space="preserve"> (9.1%) and </w:t>
      </w:r>
      <w:r w:rsidR="00FB5479">
        <w:t>eight</w:t>
      </w:r>
      <w:r w:rsidR="00241C1D">
        <w:t xml:space="preserve"> (11.8%) subjects, respectively and ectopic mineralisation occurred in no subjects</w:t>
      </w:r>
      <w:r w:rsidR="00EB273C">
        <w:t>.</w:t>
      </w:r>
    </w:p>
    <w:p w14:paraId="6584BD41" w14:textId="63C6D485" w:rsidR="00241C1D" w:rsidRDefault="00241C1D" w:rsidP="00DC1FE9">
      <w:r>
        <w:t xml:space="preserve">In the total </w:t>
      </w:r>
      <w:proofErr w:type="spellStart"/>
      <w:r>
        <w:t>burosumab</w:t>
      </w:r>
      <w:proofErr w:type="spellEnd"/>
      <w:r>
        <w:t xml:space="preserve"> group through to the end of study, ISRs occurred in 35 (26.1%) subjects, hypersensitivity in 23 (17.2%) subjects, </w:t>
      </w:r>
      <w:proofErr w:type="spellStart"/>
      <w:r>
        <w:t>hyperphosphataemia</w:t>
      </w:r>
      <w:proofErr w:type="spellEnd"/>
      <w:r>
        <w:t xml:space="preserve"> in </w:t>
      </w:r>
      <w:r w:rsidR="00FB5479">
        <w:t>eight</w:t>
      </w:r>
      <w:r>
        <w:t xml:space="preserve"> (6%) subjects, ectopic mineralisation in 11 subjects (8.2%), and RLS in 22 (16.4%) subjects. Estimated exposure adjusted incidence for these events of interest were ISRs = 0.64 events/year; hypersensitivity = 0.19 events/year; </w:t>
      </w:r>
      <w:proofErr w:type="spellStart"/>
      <w:r>
        <w:t>hyperphosphataemia</w:t>
      </w:r>
      <w:proofErr w:type="spellEnd"/>
      <w:r>
        <w:t xml:space="preserve">; ectopic mineralisation in 11 = 0.04 events/year); and RLS = 0.12 events/year). The </w:t>
      </w:r>
      <w:r w:rsidR="00C91E29">
        <w:t>s</w:t>
      </w:r>
      <w:r>
        <w:t xml:space="preserve">ponsor’s review of cases </w:t>
      </w:r>
      <w:r w:rsidR="006B5683">
        <w:t xml:space="preserve">was </w:t>
      </w:r>
      <w:r>
        <w:t xml:space="preserve">not suggestive of an increased risk of ectopic mineralisation with </w:t>
      </w:r>
      <w:proofErr w:type="spellStart"/>
      <w:r>
        <w:t>burosumab</w:t>
      </w:r>
      <w:proofErr w:type="spellEnd"/>
      <w:r>
        <w:t xml:space="preserve"> treatment.</w:t>
      </w:r>
    </w:p>
    <w:p w14:paraId="37756A95" w14:textId="49907E63" w:rsidR="00EB273C" w:rsidRDefault="00241C1D" w:rsidP="00DC1FE9">
      <w:r>
        <w:t xml:space="preserve">Of the 134 subjects in the total </w:t>
      </w:r>
      <w:proofErr w:type="spellStart"/>
      <w:r>
        <w:t>burosumab</w:t>
      </w:r>
      <w:proofErr w:type="spellEnd"/>
      <w:r>
        <w:t xml:space="preserve"> group, 13 (9.7%) subjects were </w:t>
      </w:r>
      <w:r w:rsidR="006B5683">
        <w:t>anti-drug antibody (</w:t>
      </w:r>
      <w:r>
        <w:t>ADA</w:t>
      </w:r>
      <w:r w:rsidR="006B5683">
        <w:t>)</w:t>
      </w:r>
      <w:r>
        <w:t xml:space="preserve"> positive at any visit after initiation of </w:t>
      </w:r>
      <w:proofErr w:type="spellStart"/>
      <w:r>
        <w:t>burosumab</w:t>
      </w:r>
      <w:proofErr w:type="spellEnd"/>
      <w:r>
        <w:t xml:space="preserve">, and all ADA samples were negative for neutralising activity. There was no evidence that the presence of ADAs impacted on the safety profile of </w:t>
      </w:r>
      <w:proofErr w:type="spellStart"/>
      <w:r>
        <w:t>burosumab</w:t>
      </w:r>
      <w:proofErr w:type="spellEnd"/>
      <w:r>
        <w:t xml:space="preserve"> in adults</w:t>
      </w:r>
      <w:r w:rsidR="00EB273C">
        <w:t>.</w:t>
      </w:r>
    </w:p>
    <w:p w14:paraId="120D8180" w14:textId="1E8E4EEB" w:rsidR="00241C1D" w:rsidRDefault="00241C1D" w:rsidP="00DC1FE9">
      <w:r>
        <w:t>Elevated serum phosphorus levels either spontaneously normalised or were successfully managed with protocol</w:t>
      </w:r>
      <w:r w:rsidR="00A448A6">
        <w:t xml:space="preserve"> </w:t>
      </w:r>
      <w:r>
        <w:t xml:space="preserve">defined </w:t>
      </w:r>
      <w:proofErr w:type="spellStart"/>
      <w:r>
        <w:t>burosumab</w:t>
      </w:r>
      <w:proofErr w:type="spellEnd"/>
      <w:r>
        <w:t xml:space="preserve"> dose reductions. In the </w:t>
      </w:r>
      <w:proofErr w:type="gramStart"/>
      <w:r>
        <w:t>placebo</w:t>
      </w:r>
      <w:r w:rsidR="00FB5479">
        <w:t xml:space="preserve"> </w:t>
      </w:r>
      <w:r>
        <w:t>controlled</w:t>
      </w:r>
      <w:proofErr w:type="gramEnd"/>
      <w:r>
        <w:t xml:space="preserve"> treatment period, </w:t>
      </w:r>
      <w:r w:rsidR="00FB5479">
        <w:t>nine</w:t>
      </w:r>
      <w:r>
        <w:t xml:space="preserve"> (13.2%) subjects in the </w:t>
      </w:r>
      <w:proofErr w:type="spellStart"/>
      <w:r>
        <w:t>burosumab</w:t>
      </w:r>
      <w:proofErr w:type="spellEnd"/>
      <w:r>
        <w:t xml:space="preserve"> group had high serum phosphorus levels (&gt; 4.5 mg/dL) at least once, and </w:t>
      </w:r>
      <w:r w:rsidR="00FB5479">
        <w:t>five</w:t>
      </w:r>
      <w:r>
        <w:t xml:space="preserve"> of these </w:t>
      </w:r>
      <w:r w:rsidR="00FB5479">
        <w:t>nine</w:t>
      </w:r>
      <w:r>
        <w:t xml:space="preserve"> subjects required dose reductions. Subsequent serum phosphorus levels for these subjects remained within the reference range. After initiation of </w:t>
      </w:r>
      <w:proofErr w:type="spellStart"/>
      <w:r>
        <w:t>burosumab</w:t>
      </w:r>
      <w:proofErr w:type="spellEnd"/>
      <w:r>
        <w:t xml:space="preserve"> in the open</w:t>
      </w:r>
      <w:r w:rsidR="00FB5479">
        <w:t xml:space="preserve"> </w:t>
      </w:r>
      <w:r>
        <w:t xml:space="preserve">label treatment continuation period, </w:t>
      </w:r>
      <w:r w:rsidR="00FB5479">
        <w:t>eight</w:t>
      </w:r>
      <w:r>
        <w:t xml:space="preserve"> subjects (12.1%) in the </w:t>
      </w:r>
      <w:r w:rsidRPr="002F38C7">
        <w:t>placebo</w:t>
      </w:r>
      <w:r w:rsidR="002F38C7" w:rsidRPr="002F38C7">
        <w:t xml:space="preserve"> which were switched over to </w:t>
      </w:r>
      <w:proofErr w:type="spellStart"/>
      <w:r w:rsidRPr="002F38C7">
        <w:t>burosumab</w:t>
      </w:r>
      <w:proofErr w:type="spellEnd"/>
      <w:r w:rsidRPr="002F38C7">
        <w:t xml:space="preserve"> group had</w:t>
      </w:r>
      <w:r>
        <w:t xml:space="preserve"> high serum phosphorus levels and </w:t>
      </w:r>
      <w:r w:rsidR="00FB5479">
        <w:t>four</w:t>
      </w:r>
      <w:r>
        <w:t xml:space="preserve"> of these </w:t>
      </w:r>
      <w:r w:rsidR="00FB5479">
        <w:t>eight</w:t>
      </w:r>
      <w:r>
        <w:t xml:space="preserve"> subjects required protocol</w:t>
      </w:r>
      <w:r w:rsidR="00FB5479">
        <w:t xml:space="preserve"> </w:t>
      </w:r>
      <w:r>
        <w:t xml:space="preserve">specified dose reductions. In the treatment extension periods, </w:t>
      </w:r>
      <w:r w:rsidR="00FB5479">
        <w:t>three</w:t>
      </w:r>
      <w:r>
        <w:t xml:space="preserve"> subjects had high serum phosphorus levels, but did not require dose reductions.</w:t>
      </w:r>
    </w:p>
    <w:p w14:paraId="241A61B3" w14:textId="5DD3CC01" w:rsidR="00DC1FE9" w:rsidRDefault="00DC1FE9" w:rsidP="00DC1FE9">
      <w:pPr>
        <w:pStyle w:val="Heading5"/>
      </w:pPr>
      <w:r w:rsidRPr="00DC1FE9">
        <w:t xml:space="preserve">Safety in children with </w:t>
      </w:r>
      <w:r w:rsidR="006B5683">
        <w:t>X</w:t>
      </w:r>
      <w:r w:rsidR="006B5683">
        <w:noBreakHyphen/>
        <w:t xml:space="preserve">linked </w:t>
      </w:r>
      <w:proofErr w:type="spellStart"/>
      <w:r w:rsidR="006B5683">
        <w:t>hypophosphataemia</w:t>
      </w:r>
      <w:proofErr w:type="spellEnd"/>
    </w:p>
    <w:p w14:paraId="7F58F76D" w14:textId="1C248C80" w:rsidR="00EB273C" w:rsidRDefault="00DC1FE9" w:rsidP="00DC1FE9">
      <w:r>
        <w:t xml:space="preserve">Safety data were provided for 135 children with XLH aged </w:t>
      </w:r>
      <w:r w:rsidR="00420EA4">
        <w:t>one</w:t>
      </w:r>
      <w:r w:rsidR="00C91E29">
        <w:t xml:space="preserve"> to </w:t>
      </w:r>
      <w:r>
        <w:t xml:space="preserve">12 years. Pivotal </w:t>
      </w:r>
      <w:r w:rsidR="00C91E29">
        <w:t>S</w:t>
      </w:r>
      <w:r>
        <w:t>tudy</w:t>
      </w:r>
      <w:r w:rsidR="006B5683">
        <w:t> </w:t>
      </w:r>
      <w:r>
        <w:t xml:space="preserve">UX023-CL301 contributed 55 subjects aged </w:t>
      </w:r>
      <w:r w:rsidR="00420EA4">
        <w:t>one</w:t>
      </w:r>
      <w:r w:rsidR="00C91E29">
        <w:t xml:space="preserve"> to </w:t>
      </w:r>
      <w:r>
        <w:t xml:space="preserve">12 years, supportive </w:t>
      </w:r>
      <w:r w:rsidR="00C91E29">
        <w:t>S</w:t>
      </w:r>
      <w:r>
        <w:t>tudies</w:t>
      </w:r>
      <w:r w:rsidR="006B5683">
        <w:t> </w:t>
      </w:r>
      <w:r>
        <w:t xml:space="preserve">UX023-CL201, UX023-CL205 and KRN23-003 contributed 52 subjects aged </w:t>
      </w:r>
      <w:r w:rsidR="00420EA4">
        <w:t>five</w:t>
      </w:r>
      <w:r w:rsidR="00C91E29">
        <w:t xml:space="preserve"> to </w:t>
      </w:r>
      <w:r>
        <w:t xml:space="preserve">12 years, 13 aged </w:t>
      </w:r>
      <w:r w:rsidR="00420EA4">
        <w:t>one</w:t>
      </w:r>
      <w:r w:rsidR="00C91E29">
        <w:t xml:space="preserve"> to </w:t>
      </w:r>
      <w:r w:rsidR="00FF2748">
        <w:t>four</w:t>
      </w:r>
      <w:r>
        <w:t xml:space="preserve"> years, and 15 aged </w:t>
      </w:r>
      <w:r w:rsidR="00420EA4">
        <w:t>one</w:t>
      </w:r>
      <w:r w:rsidR="00C91E29">
        <w:t xml:space="preserve"> to </w:t>
      </w:r>
      <w:r>
        <w:t xml:space="preserve">12 years, respectively. 62 subjects were exposed to </w:t>
      </w:r>
      <w:proofErr w:type="spellStart"/>
      <w:r>
        <w:t>burosumab</w:t>
      </w:r>
      <w:proofErr w:type="spellEnd"/>
      <w:r>
        <w:t xml:space="preserve"> for ≥ </w:t>
      </w:r>
      <w:r w:rsidR="00420EA4">
        <w:t>three</w:t>
      </w:r>
      <w:r>
        <w:t xml:space="preserve"> years</w:t>
      </w:r>
      <w:r w:rsidR="00EB273C">
        <w:t>.</w:t>
      </w:r>
    </w:p>
    <w:p w14:paraId="2B3556BA" w14:textId="54765813" w:rsidR="00DC1FE9" w:rsidRDefault="00DC1FE9" w:rsidP="00DC1FE9">
      <w:r>
        <w:t xml:space="preserve">The pivotal safety data were provided by the </w:t>
      </w:r>
      <w:r w:rsidR="00C91E29">
        <w:t>S</w:t>
      </w:r>
      <w:r>
        <w:t xml:space="preserve">tudy UX023-CL301. </w:t>
      </w:r>
      <w:r w:rsidR="00C91E29">
        <w:t>T</w:t>
      </w:r>
      <w:r>
        <w:t>he three supportive studies were consistent with the safety data from this pivotal study.</w:t>
      </w:r>
    </w:p>
    <w:p w14:paraId="384CD624" w14:textId="1EC0D03A" w:rsidR="00DC1FE9" w:rsidRDefault="00DC1FE9" w:rsidP="00DC1FE9">
      <w:r>
        <w:t xml:space="preserve">In Study UX023-CL301, overall mean (SD) duration of exposure to </w:t>
      </w:r>
      <w:proofErr w:type="spellStart"/>
      <w:r>
        <w:t>burosumab</w:t>
      </w:r>
      <w:proofErr w:type="spellEnd"/>
      <w:r>
        <w:t>, was 12.82</w:t>
      </w:r>
      <w:r w:rsidR="006B5683">
        <w:t> </w:t>
      </w:r>
      <w:r>
        <w:t xml:space="preserve">(7.337) months, with a range of 1.5 to 27.7 months. The total duration of exposure to </w:t>
      </w:r>
      <w:proofErr w:type="spellStart"/>
      <w:r>
        <w:t>burosumab</w:t>
      </w:r>
      <w:proofErr w:type="spellEnd"/>
      <w:r>
        <w:t xml:space="preserve"> for this combined group was 58.76 patient-years. During the </w:t>
      </w:r>
      <w:r w:rsidR="006B5683">
        <w:t>66</w:t>
      </w:r>
      <w:r w:rsidR="006B5683">
        <w:noBreakHyphen/>
        <w:t>week</w:t>
      </w:r>
      <w:r>
        <w:t xml:space="preserve"> treatment period 100% (29</w:t>
      </w:r>
      <w:r w:rsidR="00FB5479">
        <w:t xml:space="preserve"> out of </w:t>
      </w:r>
      <w:r>
        <w:t xml:space="preserve">29) of subjects in the </w:t>
      </w:r>
      <w:proofErr w:type="spellStart"/>
      <w:r>
        <w:t>burosumab</w:t>
      </w:r>
      <w:proofErr w:type="spellEnd"/>
      <w:r>
        <w:t xml:space="preserve"> group and 84.4% (27</w:t>
      </w:r>
      <w:r w:rsidR="006B5683">
        <w:t> </w:t>
      </w:r>
      <w:r w:rsidR="00FB5479">
        <w:t xml:space="preserve">out of </w:t>
      </w:r>
      <w:r>
        <w:t xml:space="preserve">32) of subjects in the active control group experienced at least </w:t>
      </w:r>
      <w:r w:rsidR="00FB5479">
        <w:t>one</w:t>
      </w:r>
      <w:r>
        <w:t xml:space="preserve"> TEAE. The majority of TEAEs were mild or moderate in severity. Severe TEAEs (Grade </w:t>
      </w:r>
      <w:r w:rsidR="00F00C8A">
        <w:t>3</w:t>
      </w:r>
      <w:r>
        <w:t xml:space="preserve">) were reported in </w:t>
      </w:r>
      <w:r w:rsidR="00FB5479">
        <w:t>three</w:t>
      </w:r>
      <w:r>
        <w:t xml:space="preserve"> (9.4%) subjects in the active control group and </w:t>
      </w:r>
      <w:r w:rsidR="00FB5479">
        <w:t>four</w:t>
      </w:r>
      <w:r>
        <w:t xml:space="preserve"> (13.8%) subjects in the </w:t>
      </w:r>
      <w:proofErr w:type="spellStart"/>
      <w:r>
        <w:t>burosumab</w:t>
      </w:r>
      <w:proofErr w:type="spellEnd"/>
      <w:r>
        <w:t xml:space="preserve"> group. Serious TEAEs were reported in </w:t>
      </w:r>
      <w:r w:rsidR="00FB5479">
        <w:t>three</w:t>
      </w:r>
      <w:r>
        <w:t xml:space="preserve"> (9.4%) and </w:t>
      </w:r>
      <w:r w:rsidR="00FB5479">
        <w:t>four</w:t>
      </w:r>
      <w:r>
        <w:t xml:space="preserve"> (13.8%) subjects, respectively.</w:t>
      </w:r>
    </w:p>
    <w:p w14:paraId="44B76E02" w14:textId="0CBE0621" w:rsidR="00EB273C" w:rsidRDefault="00DC1FE9" w:rsidP="00DC1FE9">
      <w:r>
        <w:t xml:space="preserve">Serious TEAEs were reported in </w:t>
      </w:r>
      <w:r w:rsidR="00FB5479">
        <w:t>six</w:t>
      </w:r>
      <w:r>
        <w:t xml:space="preserve"> subjects: </w:t>
      </w:r>
      <w:r w:rsidR="00FB5479">
        <w:t>three</w:t>
      </w:r>
      <w:r>
        <w:t xml:space="preserve"> (10.3%) subjects in the </w:t>
      </w:r>
      <w:proofErr w:type="spellStart"/>
      <w:r>
        <w:t>burosumab</w:t>
      </w:r>
      <w:proofErr w:type="spellEnd"/>
      <w:r>
        <w:t xml:space="preserve"> group (craniosynostosis, viral infection, and migraine), and </w:t>
      </w:r>
      <w:r w:rsidR="00FB5479">
        <w:t>three</w:t>
      </w:r>
      <w:r>
        <w:t xml:space="preserve"> (9.4%) subjects in the </w:t>
      </w:r>
      <w:r>
        <w:lastRenderedPageBreak/>
        <w:t xml:space="preserve">active control group (haematuria, craniosynostosis, and knee deformity). The serious events were all mild or moderate in severity, </w:t>
      </w:r>
      <w:proofErr w:type="gramStart"/>
      <w:r>
        <w:t>with the exception of</w:t>
      </w:r>
      <w:proofErr w:type="gramEnd"/>
      <w:r>
        <w:t xml:space="preserve"> craniosynostosis in the active control group (Grade </w:t>
      </w:r>
      <w:r w:rsidR="00F00C8A">
        <w:t>3</w:t>
      </w:r>
      <w:r>
        <w:t>). All serious TEAEs required hospitalisation, none were assessed as related to treatment</w:t>
      </w:r>
      <w:r w:rsidR="00EB273C">
        <w:t>.</w:t>
      </w:r>
    </w:p>
    <w:p w14:paraId="55A04EA6" w14:textId="7C6A26B1" w:rsidR="00EB273C" w:rsidRDefault="00DC1FE9" w:rsidP="00DC1FE9">
      <w:r>
        <w:t xml:space="preserve">For the TEAEs of interest, only ISRs and hypersensitivity reactions were reported. In the </w:t>
      </w:r>
      <w:proofErr w:type="spellStart"/>
      <w:r>
        <w:t>burosumab</w:t>
      </w:r>
      <w:proofErr w:type="spellEnd"/>
      <w:r>
        <w:t xml:space="preserve"> group, 15 (51.7%) subjects experienced ISRs. All events were mild except for one event of moderate severity (injection site rash). In the </w:t>
      </w:r>
      <w:proofErr w:type="spellStart"/>
      <w:r>
        <w:t>burosumab</w:t>
      </w:r>
      <w:proofErr w:type="spellEnd"/>
      <w:r>
        <w:t xml:space="preserve"> group, 11 (37.9%) subjects experienced hypersensitivity reactions compared to </w:t>
      </w:r>
      <w:r w:rsidR="00FB5479">
        <w:t>six</w:t>
      </w:r>
      <w:r>
        <w:t xml:space="preserve"> (18.8%) subjects in the active control group. Hypersensitivity TEAEs reported in ≥ 5% of subjects in either treatment group (</w:t>
      </w:r>
      <w:proofErr w:type="spellStart"/>
      <w:r>
        <w:t>burosumab</w:t>
      </w:r>
      <w:proofErr w:type="spellEnd"/>
      <w:r>
        <w:t xml:space="preserve"> </w:t>
      </w:r>
      <w:r w:rsidR="00B15220">
        <w:t xml:space="preserve">versus </w:t>
      </w:r>
      <w:r>
        <w:t>active control) were rash (10.3% v</w:t>
      </w:r>
      <w:r w:rsidR="00FB5479">
        <w:t>ersus</w:t>
      </w:r>
      <w:r>
        <w:t xml:space="preserve"> 6.3%), injection site rash (10.3% v</w:t>
      </w:r>
      <w:r w:rsidR="00FB5479">
        <w:t>ersus</w:t>
      </w:r>
      <w:r>
        <w:t xml:space="preserve"> 0%), injection site urticaria (6.9% v</w:t>
      </w:r>
      <w:r w:rsidR="00FB5479">
        <w:t>ersus</w:t>
      </w:r>
      <w:r>
        <w:t xml:space="preserve"> 0%), allergic rhinitis (6.9% v</w:t>
      </w:r>
      <w:r w:rsidR="00FB5479">
        <w:t>ersus</w:t>
      </w:r>
      <w:r>
        <w:t xml:space="preserve"> 0%), and hypersensitivity (3.4% v</w:t>
      </w:r>
      <w:r w:rsidR="00FB5479">
        <w:t>ersus</w:t>
      </w:r>
      <w:r>
        <w:t xml:space="preserve"> 6.3%). All hypersensitivity reactions in both treatment groups were categorised as mild or moderate in severity and none were categorised as serious</w:t>
      </w:r>
      <w:r w:rsidR="00EB273C">
        <w:t>.</w:t>
      </w:r>
    </w:p>
    <w:p w14:paraId="577191A3" w14:textId="6600F7D7" w:rsidR="00EB273C" w:rsidRDefault="00DC1FE9" w:rsidP="00DC1FE9">
      <w:r>
        <w:t xml:space="preserve">In a cumulative dental assessment, at Week 64 dental conditions occurred notably more frequently in subjects in the </w:t>
      </w:r>
      <w:proofErr w:type="spellStart"/>
      <w:r>
        <w:t>burosumab</w:t>
      </w:r>
      <w:proofErr w:type="spellEnd"/>
      <w:r>
        <w:t xml:space="preserve"> group than in the active control group (12</w:t>
      </w:r>
      <w:r w:rsidR="006B5683">
        <w:t> </w:t>
      </w:r>
      <w:r w:rsidR="00FB5479">
        <w:t>(</w:t>
      </w:r>
      <w:r>
        <w:t>41.4%</w:t>
      </w:r>
      <w:r w:rsidR="00FB5479">
        <w:t>)</w:t>
      </w:r>
      <w:r>
        <w:t xml:space="preserve"> v</w:t>
      </w:r>
      <w:r w:rsidR="00FB5479">
        <w:t>ersus</w:t>
      </w:r>
      <w:r>
        <w:t xml:space="preserve"> </w:t>
      </w:r>
      <w:r w:rsidR="00FF2748">
        <w:t>five</w:t>
      </w:r>
      <w:r>
        <w:t xml:space="preserve"> </w:t>
      </w:r>
      <w:r w:rsidR="00FB5479">
        <w:t>(</w:t>
      </w:r>
      <w:r>
        <w:t>15.6%</w:t>
      </w:r>
      <w:r w:rsidR="00FB5479">
        <w:t>)</w:t>
      </w:r>
      <w:r>
        <w:t>)</w:t>
      </w:r>
      <w:r w:rsidR="00EB273C">
        <w:t>.</w:t>
      </w:r>
    </w:p>
    <w:p w14:paraId="33A8943B" w14:textId="64BE5EAB" w:rsidR="00EB273C" w:rsidRDefault="00DC1FE9" w:rsidP="00DC1FE9">
      <w:r>
        <w:t xml:space="preserve">In the total </w:t>
      </w:r>
      <w:proofErr w:type="spellStart"/>
      <w:r>
        <w:t>burosumab</w:t>
      </w:r>
      <w:proofErr w:type="spellEnd"/>
      <w:r>
        <w:t xml:space="preserve"> group (safety data </w:t>
      </w:r>
      <w:r w:rsidR="00FF2748">
        <w:t>W</w:t>
      </w:r>
      <w:r>
        <w:t>eeks 0 to 164), 89.1% (n</w:t>
      </w:r>
      <w:r w:rsidR="00FB5479">
        <w:t xml:space="preserve"> </w:t>
      </w:r>
      <w:r>
        <w:t>=</w:t>
      </w:r>
      <w:r w:rsidR="00FB5479">
        <w:t xml:space="preserve"> </w:t>
      </w:r>
      <w:r>
        <w:t xml:space="preserve">49) of subjects experienced at least one TEAE. The majority of TEAEs were mild or moderate in severity. Severe (Grade </w:t>
      </w:r>
      <w:r w:rsidR="00F00C8A">
        <w:t>3</w:t>
      </w:r>
      <w:r>
        <w:t xml:space="preserve">) TEAEs were reported in </w:t>
      </w:r>
      <w:r w:rsidR="00FB5479">
        <w:t>five</w:t>
      </w:r>
      <w:r>
        <w:t xml:space="preserve"> (9.1%) subjects, but there </w:t>
      </w:r>
      <w:proofErr w:type="gramStart"/>
      <w:r>
        <w:t>were</w:t>
      </w:r>
      <w:proofErr w:type="gramEnd"/>
      <w:r>
        <w:t xml:space="preserve"> no life</w:t>
      </w:r>
      <w:r w:rsidR="00FB5479">
        <w:t xml:space="preserve"> </w:t>
      </w:r>
      <w:r>
        <w:t xml:space="preserve">threatening (Grade </w:t>
      </w:r>
      <w:r w:rsidR="00F00C8A">
        <w:t>4</w:t>
      </w:r>
      <w:r>
        <w:t xml:space="preserve">) or fatal (Grade </w:t>
      </w:r>
      <w:r w:rsidR="00F00C8A">
        <w:t>5</w:t>
      </w:r>
      <w:r>
        <w:t>) TEAEs reported</w:t>
      </w:r>
      <w:r w:rsidR="00EB273C">
        <w:t>.</w:t>
      </w:r>
    </w:p>
    <w:p w14:paraId="189FE9F8" w14:textId="77777777" w:rsidR="00EB273C" w:rsidRDefault="00DC1FE9" w:rsidP="00DC1FE9">
      <w:r>
        <w:t>The most frequently reported TEAEs occurring in ≥ 10% of subjects, in descending order of frequency, were: pyrexia; nasopharyngitis; cough; vomiting; arthralgia; injection site erythema; pain in extremity; headache; rhinorrhoea; tooth abscess; dental caries; injection site reaction; oropharyngeal pain; nasal congestion; diarrhoea; constipation; nausea; vitamin D decreased; toothache; ear pain; and upper abdominal pain</w:t>
      </w:r>
      <w:r w:rsidR="00EB273C">
        <w:t>.</w:t>
      </w:r>
    </w:p>
    <w:p w14:paraId="75388D1F" w14:textId="474C78E1" w:rsidR="00DC1FE9" w:rsidRDefault="00DC1FE9" w:rsidP="00DC1FE9">
      <w:r>
        <w:t xml:space="preserve">Severe (Grade </w:t>
      </w:r>
      <w:r w:rsidR="00F00C8A">
        <w:t>3</w:t>
      </w:r>
      <w:r>
        <w:t xml:space="preserve">) TEAEs were reported in </w:t>
      </w:r>
      <w:r w:rsidR="00FB5479">
        <w:t>five</w:t>
      </w:r>
      <w:r>
        <w:t xml:space="preserve"> (9.1%) subjects in the total </w:t>
      </w:r>
      <w:proofErr w:type="spellStart"/>
      <w:r>
        <w:t>burosumab</w:t>
      </w:r>
      <w:proofErr w:type="spellEnd"/>
      <w:r>
        <w:t xml:space="preserve"> group (viral gastroenteritis, tooth abscess, </w:t>
      </w:r>
      <w:proofErr w:type="spellStart"/>
      <w:r>
        <w:t>papilloedema</w:t>
      </w:r>
      <w:proofErr w:type="spellEnd"/>
      <w:r>
        <w:t>, ketonuria, arthralgia, dysuria). No life</w:t>
      </w:r>
      <w:r w:rsidR="00FB5479">
        <w:t xml:space="preserve"> </w:t>
      </w:r>
      <w:r>
        <w:t xml:space="preserve">threatening (Grade </w:t>
      </w:r>
      <w:r w:rsidR="00F00C8A">
        <w:t>4</w:t>
      </w:r>
      <w:r>
        <w:t xml:space="preserve">) TEAEs were reported in the total </w:t>
      </w:r>
      <w:proofErr w:type="spellStart"/>
      <w:r>
        <w:t>burosumab</w:t>
      </w:r>
      <w:proofErr w:type="spellEnd"/>
      <w:r>
        <w:t xml:space="preserve"> group.</w:t>
      </w:r>
    </w:p>
    <w:p w14:paraId="21588D6B" w14:textId="0F5B5B40" w:rsidR="00EB273C" w:rsidRDefault="00DC1FE9" w:rsidP="00DC1FE9">
      <w:r>
        <w:t xml:space="preserve">Serious TEAEs were reported in </w:t>
      </w:r>
      <w:r w:rsidR="00FB5479">
        <w:t>four</w:t>
      </w:r>
      <w:r>
        <w:t xml:space="preserve"> (7.3%) subjects in the total </w:t>
      </w:r>
      <w:proofErr w:type="spellStart"/>
      <w:r>
        <w:t>burosumab</w:t>
      </w:r>
      <w:proofErr w:type="spellEnd"/>
      <w:r>
        <w:t xml:space="preserve"> group (craniosynostosis, </w:t>
      </w:r>
      <w:proofErr w:type="spellStart"/>
      <w:r>
        <w:t>papilloedema</w:t>
      </w:r>
      <w:proofErr w:type="spellEnd"/>
      <w:r>
        <w:t xml:space="preserve">, viral infection and migraine). Of the serious TEAEs, </w:t>
      </w:r>
      <w:proofErr w:type="spellStart"/>
      <w:r>
        <w:t>papilloedema</w:t>
      </w:r>
      <w:proofErr w:type="spellEnd"/>
      <w:r>
        <w:t xml:space="preserve"> was considered by the investigator to be related to treatment with </w:t>
      </w:r>
      <w:proofErr w:type="spellStart"/>
      <w:r>
        <w:t>burosumab</w:t>
      </w:r>
      <w:proofErr w:type="spellEnd"/>
      <w:r>
        <w:t xml:space="preserve">. This event occurred in </w:t>
      </w:r>
      <w:r w:rsidR="00E851DB">
        <w:t xml:space="preserve">a </w:t>
      </w:r>
      <w:r>
        <w:t xml:space="preserve">male patient, aged </w:t>
      </w:r>
      <w:r w:rsidR="00F00C8A">
        <w:t>seven</w:t>
      </w:r>
      <w:r>
        <w:t xml:space="preserve"> years, in the </w:t>
      </w:r>
      <w:proofErr w:type="spellStart"/>
      <w:r w:rsidRPr="002F38C7">
        <w:t>burosumab</w:t>
      </w:r>
      <w:proofErr w:type="spellEnd"/>
      <w:r w:rsidRPr="002F38C7">
        <w:t xml:space="preserve"> group</w:t>
      </w:r>
      <w:r>
        <w:t xml:space="preserve"> who experienced bilateral </w:t>
      </w:r>
      <w:proofErr w:type="spellStart"/>
      <w:r>
        <w:t>papilloedema</w:t>
      </w:r>
      <w:proofErr w:type="spellEnd"/>
      <w:r>
        <w:t xml:space="preserve"> </w:t>
      </w:r>
      <w:r w:rsidR="00FB5479">
        <w:t>four</w:t>
      </w:r>
      <w:r>
        <w:t xml:space="preserve"> months after initiating treatment with </w:t>
      </w:r>
      <w:proofErr w:type="spellStart"/>
      <w:r>
        <w:t>burosumab</w:t>
      </w:r>
      <w:proofErr w:type="spellEnd"/>
      <w:r>
        <w:t xml:space="preserve">. The concurrent medical history included </w:t>
      </w:r>
      <w:proofErr w:type="spellStart"/>
      <w:r>
        <w:t>craniostenosis</w:t>
      </w:r>
      <w:proofErr w:type="spellEnd"/>
      <w:r>
        <w:t xml:space="preserve">, raised intracranial pressure, photophobia, </w:t>
      </w:r>
      <w:proofErr w:type="gramStart"/>
      <w:r>
        <w:t>headaches</w:t>
      </w:r>
      <w:proofErr w:type="gramEnd"/>
      <w:r>
        <w:t xml:space="preserve"> and vomiting. The investigator considered the event possibly related to </w:t>
      </w:r>
      <w:r w:rsidR="00B15220">
        <w:t>treatment,</w:t>
      </w:r>
      <w:r>
        <w:t xml:space="preserve"> but the </w:t>
      </w:r>
      <w:r w:rsidR="00E851DB">
        <w:t>s</w:t>
      </w:r>
      <w:r>
        <w:t>ponsor considered the relationship be unlikely and more likely due to the patient’s pre-existing history of craniosynostosis</w:t>
      </w:r>
      <w:r w:rsidR="00EB273C">
        <w:t>.</w:t>
      </w:r>
    </w:p>
    <w:p w14:paraId="7A06A985" w14:textId="085F0A34" w:rsidR="00EB273C" w:rsidRDefault="00DC1FE9" w:rsidP="00DC1FE9">
      <w:r>
        <w:t xml:space="preserve">In the total </w:t>
      </w:r>
      <w:proofErr w:type="spellStart"/>
      <w:r>
        <w:t>burosumab</w:t>
      </w:r>
      <w:proofErr w:type="spellEnd"/>
      <w:r>
        <w:t xml:space="preserve"> group, injection site reactions occurred in 41.8% (n</w:t>
      </w:r>
      <w:r w:rsidR="00FB5479">
        <w:t xml:space="preserve"> </w:t>
      </w:r>
      <w:r>
        <w:t>=</w:t>
      </w:r>
      <w:r w:rsidR="00FB5479">
        <w:t xml:space="preserve"> </w:t>
      </w:r>
      <w:r>
        <w:t>23) of subjects. The reactions were all mild or moderate in severity. Hypersensitivity events occurred in 20% (n</w:t>
      </w:r>
      <w:r w:rsidR="00FB5479">
        <w:t xml:space="preserve"> </w:t>
      </w:r>
      <w:r>
        <w:t>=</w:t>
      </w:r>
      <w:r w:rsidR="00FB5479">
        <w:t xml:space="preserve"> </w:t>
      </w:r>
      <w:r>
        <w:t>11) of subjects. The events were all mild or moderate in severity. The events were mostly rash</w:t>
      </w:r>
      <w:r w:rsidR="00FB5479">
        <w:t xml:space="preserve"> </w:t>
      </w:r>
      <w:r>
        <w:t xml:space="preserve">related, generally resolved without treatment or with treatment with </w:t>
      </w:r>
      <w:proofErr w:type="gramStart"/>
      <w:r>
        <w:t>over</w:t>
      </w:r>
      <w:r w:rsidR="00FB5479">
        <w:t xml:space="preserve"> </w:t>
      </w:r>
      <w:r>
        <w:t>the</w:t>
      </w:r>
      <w:r w:rsidR="00FB5479">
        <w:t xml:space="preserve"> </w:t>
      </w:r>
      <w:r>
        <w:t>counter</w:t>
      </w:r>
      <w:proofErr w:type="gramEnd"/>
      <w:r>
        <w:t xml:space="preserve"> medications, and generally did not recur with subsequent </w:t>
      </w:r>
      <w:proofErr w:type="spellStart"/>
      <w:r>
        <w:t>burosumab</w:t>
      </w:r>
      <w:proofErr w:type="spellEnd"/>
      <w:r>
        <w:t xml:space="preserve"> therapy. There were no events for </w:t>
      </w:r>
      <w:proofErr w:type="spellStart"/>
      <w:r>
        <w:t>hyperphosphataemia</w:t>
      </w:r>
      <w:proofErr w:type="spellEnd"/>
      <w:r>
        <w:t>, ectopic mineralisation or RLS</w:t>
      </w:r>
      <w:r w:rsidR="00EB273C">
        <w:t>.</w:t>
      </w:r>
    </w:p>
    <w:p w14:paraId="37306E23" w14:textId="45AE1DFC" w:rsidR="00DC1FE9" w:rsidRDefault="00DC1FE9" w:rsidP="00DC1FE9">
      <w:r>
        <w:t xml:space="preserve">In the total </w:t>
      </w:r>
      <w:proofErr w:type="spellStart"/>
      <w:r>
        <w:t>burosumab</w:t>
      </w:r>
      <w:proofErr w:type="spellEnd"/>
      <w:r>
        <w:t xml:space="preserve"> group, there were </w:t>
      </w:r>
      <w:r w:rsidR="00FB5479">
        <w:t>four</w:t>
      </w:r>
      <w:r>
        <w:t xml:space="preserve"> (7.2%) subjects who tested positive for ADAs during the trial, and </w:t>
      </w:r>
      <w:r w:rsidR="00FB5479">
        <w:t>one</w:t>
      </w:r>
      <w:r>
        <w:t xml:space="preserve"> subject who was positive for ADA with a low titre (&lt; 1:2 or 1:2) at </w:t>
      </w:r>
      <w:r w:rsidR="00E851DB">
        <w:t>B</w:t>
      </w:r>
      <w:r>
        <w:t xml:space="preserve">aseline and post-baseline was positive for </w:t>
      </w:r>
      <w:proofErr w:type="spellStart"/>
      <w:r>
        <w:t>NAb</w:t>
      </w:r>
      <w:proofErr w:type="spellEnd"/>
      <w:r>
        <w:t xml:space="preserve"> post</w:t>
      </w:r>
      <w:r w:rsidR="00173F06">
        <w:t xml:space="preserve"> </w:t>
      </w:r>
      <w:r>
        <w:t xml:space="preserve">baseline. In </w:t>
      </w:r>
      <w:r w:rsidR="00E851DB">
        <w:t>S</w:t>
      </w:r>
      <w:r>
        <w:t>tudy</w:t>
      </w:r>
      <w:r w:rsidR="006B5683">
        <w:t> </w:t>
      </w:r>
      <w:r>
        <w:t>UX023</w:t>
      </w:r>
      <w:r w:rsidR="006B5683">
        <w:noBreakHyphen/>
      </w:r>
      <w:r>
        <w:t xml:space="preserve">CL201, a dose finding study in children, serum samples from </w:t>
      </w:r>
      <w:r w:rsidR="00FB5479">
        <w:t>six</w:t>
      </w:r>
      <w:r>
        <w:t xml:space="preserve"> (12%) subjects tested positive for anti-</w:t>
      </w:r>
      <w:proofErr w:type="spellStart"/>
      <w:r>
        <w:t>burosumab</w:t>
      </w:r>
      <w:proofErr w:type="spellEnd"/>
      <w:r>
        <w:t xml:space="preserve"> antibodies at </w:t>
      </w:r>
      <w:r w:rsidR="00E851DB">
        <w:t>B</w:t>
      </w:r>
      <w:r>
        <w:t xml:space="preserve">aseline, and samples from </w:t>
      </w:r>
      <w:r w:rsidR="00FB5479">
        <w:t>two</w:t>
      </w:r>
      <w:r>
        <w:t xml:space="preserve"> </w:t>
      </w:r>
      <w:r>
        <w:lastRenderedPageBreak/>
        <w:t xml:space="preserve">subjects were positive at every visit. Six (12%) subjects who were negative at </w:t>
      </w:r>
      <w:r w:rsidR="00E851DB">
        <w:t>B</w:t>
      </w:r>
      <w:r>
        <w:t xml:space="preserve">aseline were positive at any post-baseline visit, and </w:t>
      </w:r>
      <w:r w:rsidR="00FB5479">
        <w:t>two</w:t>
      </w:r>
      <w:r>
        <w:t xml:space="preserve"> (4%) subjects who were positive at </w:t>
      </w:r>
      <w:r w:rsidR="00E851DB">
        <w:t>B</w:t>
      </w:r>
      <w:r>
        <w:t xml:space="preserve">aseline were negative at any post-baseline visit. Overall, </w:t>
      </w:r>
      <w:r w:rsidR="00FB5479">
        <w:t>eight</w:t>
      </w:r>
      <w:r>
        <w:t xml:space="preserve"> (15%) subjects were ADA positive at any post</w:t>
      </w:r>
      <w:r w:rsidR="00173F06">
        <w:t xml:space="preserve"> </w:t>
      </w:r>
      <w:r>
        <w:t xml:space="preserve">baseline visit. Three (6%) of the ADA positive subjects were positive for </w:t>
      </w:r>
      <w:proofErr w:type="spellStart"/>
      <w:r>
        <w:t>NAb</w:t>
      </w:r>
      <w:proofErr w:type="spellEnd"/>
      <w:r>
        <w:t xml:space="preserve"> during treatment.</w:t>
      </w:r>
    </w:p>
    <w:p w14:paraId="7ABC1D91" w14:textId="5D77A25E" w:rsidR="00DC1FE9" w:rsidRDefault="00DC1FE9" w:rsidP="00DC1FE9">
      <w:pPr>
        <w:pStyle w:val="Heading5"/>
      </w:pPr>
      <w:r w:rsidRPr="00DC1FE9">
        <w:t>Post-market/Early access experience</w:t>
      </w:r>
    </w:p>
    <w:p w14:paraId="683F8B91" w14:textId="43C12B42" w:rsidR="00DC1FE9" w:rsidRDefault="00DC1FE9" w:rsidP="00DC1FE9">
      <w:r>
        <w:t>The submission include</w:t>
      </w:r>
      <w:r w:rsidR="00E851DB">
        <w:t>d</w:t>
      </w:r>
      <w:r>
        <w:t xml:space="preserve"> two </w:t>
      </w:r>
      <w:r w:rsidR="00B15220">
        <w:t>p</w:t>
      </w:r>
      <w:r>
        <w:t xml:space="preserve">eriodic </w:t>
      </w:r>
      <w:r w:rsidR="00B15220">
        <w:t>s</w:t>
      </w:r>
      <w:r>
        <w:t xml:space="preserve">afety </w:t>
      </w:r>
      <w:r w:rsidR="00B15220">
        <w:t>u</w:t>
      </w:r>
      <w:r>
        <w:t xml:space="preserve">pdate </w:t>
      </w:r>
      <w:r w:rsidR="00B15220">
        <w:t>r</w:t>
      </w:r>
      <w:r>
        <w:t>eports (PSUR</w:t>
      </w:r>
      <w:r w:rsidR="00E851DB">
        <w:t>s</w:t>
      </w:r>
      <w:r>
        <w:t>) covering from 19</w:t>
      </w:r>
      <w:r w:rsidR="006B5683">
        <w:t> </w:t>
      </w:r>
      <w:r>
        <w:t xml:space="preserve">February 2019 to 18 February 2020. Since the development international date of birth, 378 subjects have received </w:t>
      </w:r>
      <w:proofErr w:type="spellStart"/>
      <w:r>
        <w:t>burosumab</w:t>
      </w:r>
      <w:proofErr w:type="spellEnd"/>
      <w:r>
        <w:t xml:space="preserve"> in sponsored clinical studies and 2320 patients have been exposed to </w:t>
      </w:r>
      <w:proofErr w:type="spellStart"/>
      <w:r>
        <w:t>burosumab</w:t>
      </w:r>
      <w:proofErr w:type="spellEnd"/>
      <w:r>
        <w:t xml:space="preserve"> through the commercially sold product or an early access program. Post-market reports of adverse drug reactions in adolescent patients were consistent with those reported in the clinical studies in children. No additional safety signals have emerged in adolescents treated with </w:t>
      </w:r>
      <w:proofErr w:type="spellStart"/>
      <w:r>
        <w:t>burosumab</w:t>
      </w:r>
      <w:proofErr w:type="spellEnd"/>
      <w:r>
        <w:t>.</w:t>
      </w:r>
    </w:p>
    <w:p w14:paraId="519CD5FA" w14:textId="64A54D3B" w:rsidR="00DC1FE9" w:rsidRDefault="00DC1FE9" w:rsidP="00DC1FE9">
      <w:r>
        <w:t xml:space="preserve">Data from the Australian </w:t>
      </w:r>
      <w:r w:rsidR="00B15220">
        <w:t>e</w:t>
      </w:r>
      <w:r>
        <w:t xml:space="preserve">arly </w:t>
      </w:r>
      <w:r w:rsidR="00B15220">
        <w:t>a</w:t>
      </w:r>
      <w:r>
        <w:t xml:space="preserve">ccess </w:t>
      </w:r>
      <w:r w:rsidR="00B15220">
        <w:t>p</w:t>
      </w:r>
      <w:r>
        <w:t xml:space="preserve">rogram indicated that 49 paediatric subjects had received </w:t>
      </w:r>
      <w:proofErr w:type="spellStart"/>
      <w:r>
        <w:t>burosumab</w:t>
      </w:r>
      <w:proofErr w:type="spellEnd"/>
      <w:r>
        <w:t xml:space="preserve"> by 24 June 2020. As of 31 May 2020, 42 paediatric subjects had experienced at least one </w:t>
      </w:r>
      <w:r w:rsidR="006B5683">
        <w:t>adverse event</w:t>
      </w:r>
      <w:r>
        <w:t xml:space="preserve">. </w:t>
      </w:r>
      <w:r w:rsidR="00421C5E">
        <w:t>Six</w:t>
      </w:r>
      <w:r>
        <w:t xml:space="preserve"> subjects experienced </w:t>
      </w:r>
      <w:r w:rsidR="00EC4EA2">
        <w:t>s</w:t>
      </w:r>
      <w:r w:rsidR="00EC4EA2" w:rsidRPr="00A6572E">
        <w:t>erious adverse event</w:t>
      </w:r>
      <w:r w:rsidR="00EC4EA2">
        <w:t>s</w:t>
      </w:r>
      <w:r>
        <w:t xml:space="preserve"> (limb operation (</w:t>
      </w:r>
      <w:r w:rsidR="00FF2748">
        <w:t>three</w:t>
      </w:r>
      <w:r>
        <w:t xml:space="preserve">), </w:t>
      </w:r>
      <w:proofErr w:type="spellStart"/>
      <w:r>
        <w:t>papilloedema</w:t>
      </w:r>
      <w:proofErr w:type="spellEnd"/>
      <w:r>
        <w:t xml:space="preserve"> (</w:t>
      </w:r>
      <w:r w:rsidR="00FF2748">
        <w:t>two</w:t>
      </w:r>
      <w:r>
        <w:t>), blood alkaline phosphatase increased, migraine, removal of internal fixation).</w:t>
      </w:r>
    </w:p>
    <w:p w14:paraId="02F07307" w14:textId="72218BF3" w:rsidR="00B15220" w:rsidRDefault="00B15220" w:rsidP="00990159">
      <w:pPr>
        <w:pStyle w:val="Heading4"/>
      </w:pPr>
      <w:r w:rsidRPr="007B6132">
        <w:t>Clinical evaluator’s recommendation</w:t>
      </w:r>
    </w:p>
    <w:p w14:paraId="5F28C339" w14:textId="26015D9D" w:rsidR="00CA7B08" w:rsidRPr="00DC1FE9" w:rsidRDefault="00CA7B08" w:rsidP="00CA7B08">
      <w:r w:rsidRPr="00CA7B08">
        <w:t xml:space="preserve">The clinical evaluator has recommended that </w:t>
      </w:r>
      <w:proofErr w:type="spellStart"/>
      <w:r w:rsidRPr="00CA7B08">
        <w:t>burosumab</w:t>
      </w:r>
      <w:proofErr w:type="spellEnd"/>
      <w:r w:rsidRPr="00CA7B08">
        <w:t xml:space="preserve"> be approved for the treatment of adults, </w:t>
      </w:r>
      <w:proofErr w:type="gramStart"/>
      <w:r w:rsidRPr="00CA7B08">
        <w:t>adolescents</w:t>
      </w:r>
      <w:proofErr w:type="gramEnd"/>
      <w:r w:rsidRPr="00CA7B08">
        <w:t xml:space="preserve"> and children one year of age or older. The clinical evaluator recommends that </w:t>
      </w:r>
      <w:proofErr w:type="spellStart"/>
      <w:r w:rsidRPr="00CA7B08">
        <w:t>burosumab</w:t>
      </w:r>
      <w:proofErr w:type="spellEnd"/>
      <w:r w:rsidRPr="00CA7B08">
        <w:t xml:space="preserve"> be approved at the dosages proposed by the sponsor for these patient populations.</w:t>
      </w:r>
    </w:p>
    <w:p w14:paraId="4A6ACA2E" w14:textId="7D2DA0C9" w:rsidR="008E7846" w:rsidRDefault="00386150" w:rsidP="007B6132">
      <w:pPr>
        <w:pStyle w:val="Heading3"/>
        <w:rPr>
          <w:lang w:eastAsia="en-AU"/>
        </w:rPr>
      </w:pPr>
      <w:bookmarkStart w:id="50" w:name="_Toc314842514"/>
      <w:bookmarkStart w:id="51" w:name="_Toc107402939"/>
      <w:r>
        <w:rPr>
          <w:lang w:eastAsia="en-AU"/>
        </w:rPr>
        <w:t>Risk m</w:t>
      </w:r>
      <w:r w:rsidR="008E7846">
        <w:rPr>
          <w:lang w:eastAsia="en-AU"/>
        </w:rPr>
        <w:t xml:space="preserve">anagement </w:t>
      </w:r>
      <w:r>
        <w:rPr>
          <w:lang w:eastAsia="en-AU"/>
        </w:rPr>
        <w:t>p</w:t>
      </w:r>
      <w:r w:rsidR="008E7846">
        <w:rPr>
          <w:lang w:eastAsia="en-AU"/>
        </w:rPr>
        <w:t>lan</w:t>
      </w:r>
      <w:bookmarkEnd w:id="50"/>
      <w:bookmarkEnd w:id="51"/>
    </w:p>
    <w:p w14:paraId="5A7E3541" w14:textId="1F1BC888" w:rsidR="008404F4" w:rsidRPr="008404F4" w:rsidRDefault="008404F4" w:rsidP="008404F4">
      <w:pPr>
        <w:rPr>
          <w:lang w:eastAsia="en-AU"/>
        </w:rPr>
      </w:pPr>
      <w:r>
        <w:rPr>
          <w:lang w:eastAsia="en-AU"/>
        </w:rPr>
        <w:t xml:space="preserve">The sponsor </w:t>
      </w:r>
      <w:r w:rsidRPr="008404F4">
        <w:rPr>
          <w:lang w:eastAsia="en-AU"/>
        </w:rPr>
        <w:t xml:space="preserve">submitted </w:t>
      </w:r>
      <w:r w:rsidR="00421C5E">
        <w:rPr>
          <w:lang w:eastAsia="en-AU"/>
        </w:rPr>
        <w:t>EU</w:t>
      </w:r>
      <w:r w:rsidR="00E851DB">
        <w:rPr>
          <w:lang w:eastAsia="en-AU"/>
        </w:rPr>
        <w:t xml:space="preserve">- </w:t>
      </w:r>
      <w:r w:rsidR="003F22BF">
        <w:rPr>
          <w:lang w:eastAsia="en-AU"/>
        </w:rPr>
        <w:t>r</w:t>
      </w:r>
      <w:r w:rsidR="00E851DB">
        <w:rPr>
          <w:lang w:eastAsia="en-AU"/>
        </w:rPr>
        <w:t xml:space="preserve">isk </w:t>
      </w:r>
      <w:r w:rsidR="003F22BF">
        <w:rPr>
          <w:lang w:eastAsia="en-AU"/>
        </w:rPr>
        <w:t>m</w:t>
      </w:r>
      <w:r w:rsidR="00E851DB">
        <w:rPr>
          <w:lang w:eastAsia="en-AU"/>
        </w:rPr>
        <w:t xml:space="preserve">anagement </w:t>
      </w:r>
      <w:r w:rsidR="003F22BF">
        <w:rPr>
          <w:lang w:eastAsia="en-AU"/>
        </w:rPr>
        <w:t>p</w:t>
      </w:r>
      <w:r w:rsidR="00E851DB">
        <w:rPr>
          <w:lang w:eastAsia="en-AU"/>
        </w:rPr>
        <w:t>lan (</w:t>
      </w:r>
      <w:r w:rsidRPr="008404F4">
        <w:rPr>
          <w:lang w:eastAsia="en-AU"/>
        </w:rPr>
        <w:t>RMP</w:t>
      </w:r>
      <w:r w:rsidR="00E851DB">
        <w:rPr>
          <w:lang w:eastAsia="en-AU"/>
        </w:rPr>
        <w:t>)</w:t>
      </w:r>
      <w:r w:rsidRPr="008404F4">
        <w:rPr>
          <w:lang w:eastAsia="en-AU"/>
        </w:rPr>
        <w:t xml:space="preserve"> version 2.1 (date</w:t>
      </w:r>
      <w:r w:rsidR="00B15220">
        <w:rPr>
          <w:lang w:eastAsia="en-AU"/>
        </w:rPr>
        <w:t>d</w:t>
      </w:r>
      <w:r w:rsidRPr="008404F4">
        <w:rPr>
          <w:lang w:eastAsia="en-AU"/>
        </w:rPr>
        <w:t xml:space="preserve"> 31</w:t>
      </w:r>
      <w:r w:rsidR="006B5683">
        <w:rPr>
          <w:lang w:eastAsia="en-AU"/>
        </w:rPr>
        <w:t> </w:t>
      </w:r>
      <w:r w:rsidRPr="008404F4">
        <w:rPr>
          <w:lang w:eastAsia="en-AU"/>
        </w:rPr>
        <w:t>March</w:t>
      </w:r>
      <w:r w:rsidR="006B5683">
        <w:rPr>
          <w:lang w:eastAsia="en-AU"/>
        </w:rPr>
        <w:t> </w:t>
      </w:r>
      <w:proofErr w:type="gramStart"/>
      <w:r w:rsidRPr="008404F4">
        <w:rPr>
          <w:lang w:eastAsia="en-AU"/>
        </w:rPr>
        <w:t>2020;</w:t>
      </w:r>
      <w:proofErr w:type="gramEnd"/>
      <w:r w:rsidRPr="008404F4">
        <w:rPr>
          <w:lang w:eastAsia="en-AU"/>
        </w:rPr>
        <w:t xml:space="preserve"> </w:t>
      </w:r>
      <w:r w:rsidR="00E851DB">
        <w:rPr>
          <w:lang w:eastAsia="en-AU"/>
        </w:rPr>
        <w:t>data lock point (</w:t>
      </w:r>
      <w:r w:rsidRPr="008404F4">
        <w:rPr>
          <w:lang w:eastAsia="en-AU"/>
        </w:rPr>
        <w:t>DLP</w:t>
      </w:r>
      <w:r w:rsidR="00E851DB">
        <w:rPr>
          <w:lang w:eastAsia="en-AU"/>
        </w:rPr>
        <w:t>)</w:t>
      </w:r>
      <w:r w:rsidRPr="008404F4">
        <w:rPr>
          <w:lang w:eastAsia="en-AU"/>
        </w:rPr>
        <w:t xml:space="preserve"> 18 February 2019) and </w:t>
      </w:r>
      <w:r w:rsidR="00E851DB">
        <w:rPr>
          <w:lang w:eastAsia="en-AU"/>
        </w:rPr>
        <w:t xml:space="preserve">Australian specific </w:t>
      </w:r>
      <w:r w:rsidR="003F22BF">
        <w:rPr>
          <w:lang w:eastAsia="en-AU"/>
        </w:rPr>
        <w:t>a</w:t>
      </w:r>
      <w:r w:rsidR="00E851DB">
        <w:rPr>
          <w:lang w:eastAsia="en-AU"/>
        </w:rPr>
        <w:t>nnex (</w:t>
      </w:r>
      <w:r w:rsidRPr="008404F4">
        <w:rPr>
          <w:lang w:eastAsia="en-AU"/>
        </w:rPr>
        <w:t>ASA</w:t>
      </w:r>
      <w:r w:rsidR="00E851DB">
        <w:rPr>
          <w:lang w:eastAsia="en-AU"/>
        </w:rPr>
        <w:t>)</w:t>
      </w:r>
      <w:r w:rsidRPr="008404F4">
        <w:rPr>
          <w:lang w:eastAsia="en-AU"/>
        </w:rPr>
        <w:t xml:space="preserve"> version 1 (20 July 2020) in support of this application. With the responses to the </w:t>
      </w:r>
      <w:r w:rsidR="00B15220">
        <w:rPr>
          <w:lang w:eastAsia="en-AU"/>
        </w:rPr>
        <w:t>TGA’s</w:t>
      </w:r>
      <w:r w:rsidR="00B15220" w:rsidRPr="008404F4">
        <w:rPr>
          <w:lang w:eastAsia="en-AU"/>
        </w:rPr>
        <w:t xml:space="preserve"> </w:t>
      </w:r>
      <w:r w:rsidRPr="008404F4">
        <w:rPr>
          <w:lang w:eastAsia="en-AU"/>
        </w:rPr>
        <w:t>questions, the sponsor provided an updated ASA version 1.1 (date</w:t>
      </w:r>
      <w:r w:rsidR="00421C5E">
        <w:rPr>
          <w:lang w:eastAsia="en-AU"/>
        </w:rPr>
        <w:t>d</w:t>
      </w:r>
      <w:r w:rsidRPr="008404F4">
        <w:rPr>
          <w:lang w:eastAsia="en-AU"/>
        </w:rPr>
        <w:t xml:space="preserve"> 26</w:t>
      </w:r>
      <w:r w:rsidR="006B5683">
        <w:rPr>
          <w:lang w:eastAsia="en-AU"/>
        </w:rPr>
        <w:t> </w:t>
      </w:r>
      <w:r w:rsidRPr="008404F4">
        <w:rPr>
          <w:lang w:eastAsia="en-AU"/>
        </w:rPr>
        <w:t>October</w:t>
      </w:r>
      <w:r w:rsidR="006B5683">
        <w:rPr>
          <w:lang w:eastAsia="en-AU"/>
        </w:rPr>
        <w:t> </w:t>
      </w:r>
      <w:r w:rsidRPr="008404F4">
        <w:rPr>
          <w:lang w:eastAsia="en-AU"/>
        </w:rPr>
        <w:t>2020) which is aligned to EU-RMP version 1</w:t>
      </w:r>
      <w:r w:rsidR="00E577F8">
        <w:rPr>
          <w:lang w:eastAsia="en-AU"/>
        </w:rPr>
        <w:t xml:space="preserve"> </w:t>
      </w:r>
      <w:r w:rsidRPr="008404F4">
        <w:rPr>
          <w:lang w:eastAsia="en-AU"/>
        </w:rPr>
        <w:t>(date</w:t>
      </w:r>
      <w:r w:rsidR="00B15220">
        <w:rPr>
          <w:lang w:eastAsia="en-AU"/>
        </w:rPr>
        <w:t>d</w:t>
      </w:r>
      <w:r w:rsidRPr="008404F4">
        <w:rPr>
          <w:lang w:eastAsia="en-AU"/>
        </w:rPr>
        <w:t xml:space="preserve"> 12 December 2017; DLP 18 July 2017). In response to the </w:t>
      </w:r>
      <w:r w:rsidR="000808AC">
        <w:rPr>
          <w:lang w:eastAsia="en-AU"/>
        </w:rPr>
        <w:t>second round of TGA’s questions</w:t>
      </w:r>
      <w:r w:rsidRPr="008404F4">
        <w:rPr>
          <w:lang w:eastAsia="en-AU"/>
        </w:rPr>
        <w:t>, the sponsor provided updated ASA version 1.2 (date</w:t>
      </w:r>
      <w:r w:rsidR="00421C5E">
        <w:rPr>
          <w:lang w:eastAsia="en-AU"/>
        </w:rPr>
        <w:t>d</w:t>
      </w:r>
      <w:r w:rsidRPr="008404F4">
        <w:rPr>
          <w:lang w:eastAsia="en-AU"/>
        </w:rPr>
        <w:t xml:space="preserve"> 4 December 2020) which is aligned to EU-RMP version 2.1 (date</w:t>
      </w:r>
      <w:r w:rsidR="000808AC">
        <w:rPr>
          <w:lang w:eastAsia="en-AU"/>
        </w:rPr>
        <w:t>d</w:t>
      </w:r>
      <w:r w:rsidRPr="008404F4">
        <w:rPr>
          <w:lang w:eastAsia="en-AU"/>
        </w:rPr>
        <w:t xml:space="preserve"> 31 March </w:t>
      </w:r>
      <w:proofErr w:type="gramStart"/>
      <w:r w:rsidRPr="008404F4">
        <w:rPr>
          <w:lang w:eastAsia="en-AU"/>
        </w:rPr>
        <w:t>2020;</w:t>
      </w:r>
      <w:proofErr w:type="gramEnd"/>
      <w:r w:rsidRPr="008404F4">
        <w:rPr>
          <w:lang w:eastAsia="en-AU"/>
        </w:rPr>
        <w:t xml:space="preserve"> DLP 18 February 2019). In response to the </w:t>
      </w:r>
      <w:proofErr w:type="gramStart"/>
      <w:r w:rsidR="000808AC">
        <w:rPr>
          <w:lang w:eastAsia="en-AU"/>
        </w:rPr>
        <w:t>second round</w:t>
      </w:r>
      <w:proofErr w:type="gramEnd"/>
      <w:r w:rsidR="000808AC">
        <w:rPr>
          <w:lang w:eastAsia="en-AU"/>
        </w:rPr>
        <w:t xml:space="preserve"> evaluation </w:t>
      </w:r>
      <w:r w:rsidRPr="008404F4">
        <w:rPr>
          <w:lang w:eastAsia="en-AU"/>
        </w:rPr>
        <w:t>recommendations, the sponsor submitted updated ASA version 1.3 (date</w:t>
      </w:r>
      <w:r w:rsidR="00421C5E">
        <w:rPr>
          <w:lang w:eastAsia="en-AU"/>
        </w:rPr>
        <w:t>d</w:t>
      </w:r>
      <w:r w:rsidRPr="008404F4">
        <w:rPr>
          <w:lang w:eastAsia="en-AU"/>
        </w:rPr>
        <w:t xml:space="preserve"> 26</w:t>
      </w:r>
      <w:r w:rsidR="006B5683">
        <w:rPr>
          <w:lang w:eastAsia="en-AU"/>
        </w:rPr>
        <w:t> </w:t>
      </w:r>
      <w:r w:rsidRPr="008404F4">
        <w:rPr>
          <w:lang w:eastAsia="en-AU"/>
        </w:rPr>
        <w:t>February 2021) to align with EU-RMP version 2.1 (date</w:t>
      </w:r>
      <w:r w:rsidR="00421C5E">
        <w:rPr>
          <w:lang w:eastAsia="en-AU"/>
        </w:rPr>
        <w:t>d</w:t>
      </w:r>
      <w:r w:rsidRPr="008404F4">
        <w:rPr>
          <w:lang w:eastAsia="en-AU"/>
        </w:rPr>
        <w:t xml:space="preserve"> 31 March 2020; DLP 18</w:t>
      </w:r>
      <w:r w:rsidR="006B5683">
        <w:rPr>
          <w:lang w:eastAsia="en-AU"/>
        </w:rPr>
        <w:t> </w:t>
      </w:r>
      <w:r w:rsidRPr="008404F4">
        <w:rPr>
          <w:lang w:eastAsia="en-AU"/>
        </w:rPr>
        <w:t>February 2019).</w:t>
      </w:r>
    </w:p>
    <w:p w14:paraId="5940611E" w14:textId="0BF26BC2" w:rsidR="007D53B6" w:rsidRDefault="007D53B6" w:rsidP="007D53B6">
      <w:r>
        <w:t xml:space="preserve">The summary of safety concerns and their associated risk monitoring and mitigation strategies are summarised in </w:t>
      </w:r>
      <w:r w:rsidR="00AD667D">
        <w:fldChar w:fldCharType="begin"/>
      </w:r>
      <w:r w:rsidR="00AD667D">
        <w:instrText xml:space="preserve"> REF _Ref92369623 \h </w:instrText>
      </w:r>
      <w:r w:rsidR="00AD667D">
        <w:fldChar w:fldCharType="separate"/>
      </w:r>
      <w:r w:rsidR="00604074">
        <w:t xml:space="preserve">Table </w:t>
      </w:r>
      <w:r w:rsidR="00604074">
        <w:rPr>
          <w:noProof/>
        </w:rPr>
        <w:t>7</w:t>
      </w:r>
      <w:r w:rsidR="00AD667D">
        <w:fldChar w:fldCharType="end"/>
      </w:r>
      <w:r>
        <w:t>.</w:t>
      </w:r>
      <w:r>
        <w:rPr>
          <w:rStyle w:val="FootnoteReference"/>
        </w:rPr>
        <w:footnoteReference w:id="10"/>
      </w:r>
    </w:p>
    <w:p w14:paraId="2AE85510" w14:textId="717DB016" w:rsidR="008404F4" w:rsidRDefault="008404F4" w:rsidP="008404F4">
      <w:pPr>
        <w:pStyle w:val="TableTitle"/>
      </w:pPr>
      <w:bookmarkStart w:id="52" w:name="_Ref92369623"/>
      <w:r>
        <w:lastRenderedPageBreak/>
        <w:t xml:space="preserve">Table </w:t>
      </w:r>
      <w:r>
        <w:fldChar w:fldCharType="begin"/>
      </w:r>
      <w:r>
        <w:instrText>SEQ Table \* ARABIC</w:instrText>
      </w:r>
      <w:r>
        <w:fldChar w:fldCharType="separate"/>
      </w:r>
      <w:r w:rsidR="00604074">
        <w:rPr>
          <w:noProof/>
        </w:rPr>
        <w:t>7</w:t>
      </w:r>
      <w:r>
        <w:fldChar w:fldCharType="end"/>
      </w:r>
      <w:bookmarkEnd w:id="52"/>
      <w:r>
        <w:t>: Summary of safety concerns</w:t>
      </w:r>
    </w:p>
    <w:tbl>
      <w:tblPr>
        <w:tblStyle w:val="TableTGAblue"/>
        <w:tblW w:w="5000" w:type="pct"/>
        <w:tblLook w:val="04A0" w:firstRow="1" w:lastRow="0" w:firstColumn="1" w:lastColumn="0" w:noHBand="0" w:noVBand="1"/>
      </w:tblPr>
      <w:tblGrid>
        <w:gridCol w:w="1497"/>
        <w:gridCol w:w="2233"/>
        <w:gridCol w:w="1132"/>
        <w:gridCol w:w="1284"/>
        <w:gridCol w:w="1061"/>
        <w:gridCol w:w="1282"/>
      </w:tblGrid>
      <w:tr w:rsidR="00AA1FC6" w:rsidRPr="00BF52F4" w14:paraId="6A5C5527" w14:textId="77777777" w:rsidTr="00990159">
        <w:trPr>
          <w:cnfStyle w:val="100000000000" w:firstRow="1" w:lastRow="0" w:firstColumn="0" w:lastColumn="0" w:oddVBand="0" w:evenVBand="0" w:oddHBand="0" w:evenHBand="0" w:firstRowFirstColumn="0" w:firstRowLastColumn="0" w:lastRowFirstColumn="0" w:lastRowLastColumn="0"/>
          <w:trHeight w:val="131"/>
        </w:trPr>
        <w:tc>
          <w:tcPr>
            <w:tcW w:w="2198" w:type="pct"/>
            <w:gridSpan w:val="2"/>
            <w:vMerge w:val="restart"/>
            <w:tcBorders>
              <w:top w:val="single" w:sz="4" w:space="0" w:color="auto"/>
              <w:left w:val="single" w:sz="4" w:space="0" w:color="auto"/>
              <w:bottom w:val="single" w:sz="4" w:space="0" w:color="auto"/>
              <w:right w:val="single" w:sz="4" w:space="0" w:color="auto"/>
            </w:tcBorders>
          </w:tcPr>
          <w:p w14:paraId="17217E46" w14:textId="77777777" w:rsidR="008404F4" w:rsidRPr="00990159" w:rsidRDefault="008404F4" w:rsidP="00990159">
            <w:pPr>
              <w:pStyle w:val="Tabletext"/>
              <w:ind w:left="0"/>
              <w:rPr>
                <w:b w:val="0"/>
                <w:sz w:val="20"/>
                <w:szCs w:val="20"/>
              </w:rPr>
            </w:pPr>
            <w:r w:rsidRPr="00990159">
              <w:rPr>
                <w:sz w:val="20"/>
                <w:szCs w:val="20"/>
              </w:rPr>
              <w:t>Summary of safety concerns</w:t>
            </w:r>
          </w:p>
        </w:tc>
        <w:tc>
          <w:tcPr>
            <w:tcW w:w="1422" w:type="pct"/>
            <w:gridSpan w:val="2"/>
            <w:tcBorders>
              <w:top w:val="single" w:sz="4" w:space="0" w:color="auto"/>
              <w:left w:val="single" w:sz="4" w:space="0" w:color="auto"/>
              <w:bottom w:val="single" w:sz="4" w:space="0" w:color="auto"/>
              <w:right w:val="single" w:sz="4" w:space="0" w:color="auto"/>
            </w:tcBorders>
          </w:tcPr>
          <w:p w14:paraId="7AF5FDB8" w14:textId="77777777" w:rsidR="008404F4" w:rsidRPr="00990159" w:rsidRDefault="008404F4" w:rsidP="00467BE9">
            <w:pPr>
              <w:pStyle w:val="Tabletext"/>
              <w:rPr>
                <w:b w:val="0"/>
                <w:sz w:val="20"/>
                <w:szCs w:val="20"/>
              </w:rPr>
            </w:pPr>
            <w:r w:rsidRPr="00990159">
              <w:rPr>
                <w:sz w:val="20"/>
                <w:szCs w:val="20"/>
              </w:rPr>
              <w:t>Pharmacovigilance</w:t>
            </w:r>
          </w:p>
        </w:tc>
        <w:tc>
          <w:tcPr>
            <w:tcW w:w="1380" w:type="pct"/>
            <w:gridSpan w:val="2"/>
            <w:tcBorders>
              <w:left w:val="single" w:sz="4" w:space="0" w:color="auto"/>
            </w:tcBorders>
          </w:tcPr>
          <w:p w14:paraId="4A13882F" w14:textId="77777777" w:rsidR="008404F4" w:rsidRPr="00990159" w:rsidRDefault="008404F4" w:rsidP="00467BE9">
            <w:pPr>
              <w:pStyle w:val="Tabletext"/>
              <w:rPr>
                <w:b w:val="0"/>
                <w:sz w:val="20"/>
                <w:szCs w:val="20"/>
              </w:rPr>
            </w:pPr>
            <w:r w:rsidRPr="00990159">
              <w:rPr>
                <w:sz w:val="20"/>
                <w:szCs w:val="20"/>
              </w:rPr>
              <w:t>Risk Minimisation</w:t>
            </w:r>
          </w:p>
        </w:tc>
      </w:tr>
      <w:tr w:rsidR="00AA1FC6" w:rsidRPr="00BF52F4" w14:paraId="611D8C5D" w14:textId="77777777" w:rsidTr="00990159">
        <w:trPr>
          <w:trHeight w:val="150"/>
        </w:trPr>
        <w:tc>
          <w:tcPr>
            <w:tcW w:w="2198" w:type="pct"/>
            <w:gridSpan w:val="2"/>
            <w:vMerge/>
            <w:tcBorders>
              <w:top w:val="single" w:sz="4" w:space="0" w:color="auto"/>
            </w:tcBorders>
          </w:tcPr>
          <w:p w14:paraId="733BB073" w14:textId="77777777" w:rsidR="008404F4" w:rsidRPr="00990159" w:rsidRDefault="008404F4" w:rsidP="00467BE9">
            <w:pPr>
              <w:pStyle w:val="Tabletext"/>
              <w:rPr>
                <w:b/>
                <w:sz w:val="20"/>
                <w:szCs w:val="20"/>
              </w:rPr>
            </w:pPr>
          </w:p>
        </w:tc>
        <w:tc>
          <w:tcPr>
            <w:tcW w:w="667" w:type="pct"/>
            <w:tcBorders>
              <w:top w:val="single" w:sz="4" w:space="0" w:color="auto"/>
            </w:tcBorders>
            <w:shd w:val="clear" w:color="auto" w:fill="006DA7"/>
          </w:tcPr>
          <w:p w14:paraId="53ED3293" w14:textId="77777777" w:rsidR="008404F4" w:rsidRPr="00990159" w:rsidRDefault="008404F4" w:rsidP="00990159">
            <w:pPr>
              <w:pStyle w:val="Tabletext"/>
              <w:ind w:left="0"/>
              <w:rPr>
                <w:color w:val="FFFFFF" w:themeColor="background1"/>
                <w:sz w:val="20"/>
                <w:szCs w:val="20"/>
              </w:rPr>
            </w:pPr>
            <w:r w:rsidRPr="00990159">
              <w:rPr>
                <w:color w:val="FFFFFF" w:themeColor="background1"/>
                <w:sz w:val="20"/>
                <w:szCs w:val="20"/>
              </w:rPr>
              <w:t>Routine</w:t>
            </w:r>
          </w:p>
        </w:tc>
        <w:tc>
          <w:tcPr>
            <w:tcW w:w="756" w:type="pct"/>
            <w:tcBorders>
              <w:top w:val="single" w:sz="4" w:space="0" w:color="auto"/>
            </w:tcBorders>
            <w:shd w:val="clear" w:color="auto" w:fill="006DA7"/>
          </w:tcPr>
          <w:p w14:paraId="4DBA028D" w14:textId="77777777" w:rsidR="008404F4" w:rsidRPr="00990159" w:rsidRDefault="008404F4" w:rsidP="00990159">
            <w:pPr>
              <w:pStyle w:val="Tabletext"/>
              <w:ind w:left="0"/>
              <w:rPr>
                <w:color w:val="FFFFFF" w:themeColor="background1"/>
                <w:sz w:val="20"/>
                <w:szCs w:val="20"/>
              </w:rPr>
            </w:pPr>
            <w:r w:rsidRPr="00990159">
              <w:rPr>
                <w:color w:val="FFFFFF" w:themeColor="background1"/>
                <w:sz w:val="20"/>
                <w:szCs w:val="20"/>
              </w:rPr>
              <w:t>Additional</w:t>
            </w:r>
          </w:p>
        </w:tc>
        <w:tc>
          <w:tcPr>
            <w:tcW w:w="625" w:type="pct"/>
            <w:shd w:val="clear" w:color="auto" w:fill="006DA7"/>
          </w:tcPr>
          <w:p w14:paraId="7400AA32" w14:textId="77777777" w:rsidR="008404F4" w:rsidRPr="00990159" w:rsidRDefault="008404F4" w:rsidP="00990159">
            <w:pPr>
              <w:pStyle w:val="Tabletext"/>
              <w:ind w:left="0"/>
              <w:rPr>
                <w:color w:val="FFFFFF" w:themeColor="background1"/>
                <w:sz w:val="20"/>
                <w:szCs w:val="20"/>
              </w:rPr>
            </w:pPr>
            <w:r w:rsidRPr="00990159">
              <w:rPr>
                <w:color w:val="FFFFFF" w:themeColor="background1"/>
                <w:sz w:val="20"/>
                <w:szCs w:val="20"/>
              </w:rPr>
              <w:t>Routine</w:t>
            </w:r>
          </w:p>
        </w:tc>
        <w:tc>
          <w:tcPr>
            <w:tcW w:w="756" w:type="pct"/>
            <w:shd w:val="clear" w:color="auto" w:fill="006DA7"/>
          </w:tcPr>
          <w:p w14:paraId="588E2B3C" w14:textId="77777777" w:rsidR="008404F4" w:rsidRPr="00990159" w:rsidRDefault="008404F4" w:rsidP="00990159">
            <w:pPr>
              <w:pStyle w:val="Tabletext"/>
              <w:ind w:left="0"/>
              <w:rPr>
                <w:color w:val="FFFFFF" w:themeColor="background1"/>
                <w:sz w:val="20"/>
                <w:szCs w:val="20"/>
              </w:rPr>
            </w:pPr>
            <w:r w:rsidRPr="00990159">
              <w:rPr>
                <w:color w:val="FFFFFF" w:themeColor="background1"/>
                <w:sz w:val="20"/>
                <w:szCs w:val="20"/>
              </w:rPr>
              <w:t>Additional</w:t>
            </w:r>
          </w:p>
        </w:tc>
      </w:tr>
      <w:tr w:rsidR="00B47F8D" w:rsidRPr="00BF52F4" w14:paraId="63D1B9F5" w14:textId="77777777" w:rsidTr="00B47F8D">
        <w:trPr>
          <w:trHeight w:val="137"/>
        </w:trPr>
        <w:tc>
          <w:tcPr>
            <w:tcW w:w="882" w:type="pct"/>
          </w:tcPr>
          <w:p w14:paraId="459EB762" w14:textId="77777777" w:rsidR="008404F4" w:rsidRPr="00990159" w:rsidRDefault="008404F4" w:rsidP="00990159">
            <w:pPr>
              <w:pStyle w:val="Tabletext"/>
              <w:ind w:left="0"/>
              <w:rPr>
                <w:b/>
                <w:sz w:val="20"/>
                <w:szCs w:val="20"/>
              </w:rPr>
            </w:pPr>
            <w:r w:rsidRPr="00990159">
              <w:rPr>
                <w:b/>
                <w:sz w:val="20"/>
                <w:szCs w:val="20"/>
              </w:rPr>
              <w:t>Important identified risks</w:t>
            </w:r>
          </w:p>
        </w:tc>
        <w:tc>
          <w:tcPr>
            <w:tcW w:w="1315" w:type="pct"/>
          </w:tcPr>
          <w:p w14:paraId="74EDFE25" w14:textId="77777777" w:rsidR="008404F4" w:rsidRPr="00990159" w:rsidRDefault="008404F4" w:rsidP="00990159">
            <w:pPr>
              <w:pStyle w:val="Tabletext"/>
              <w:ind w:left="0"/>
              <w:rPr>
                <w:sz w:val="20"/>
                <w:szCs w:val="20"/>
              </w:rPr>
            </w:pPr>
            <w:r w:rsidRPr="00990159">
              <w:rPr>
                <w:sz w:val="20"/>
                <w:szCs w:val="20"/>
              </w:rPr>
              <w:t>None</w:t>
            </w:r>
          </w:p>
        </w:tc>
        <w:tc>
          <w:tcPr>
            <w:tcW w:w="667" w:type="pct"/>
          </w:tcPr>
          <w:p w14:paraId="693BBF95" w14:textId="77777777" w:rsidR="008404F4" w:rsidRPr="00990159" w:rsidRDefault="008404F4" w:rsidP="00467BE9">
            <w:pPr>
              <w:pStyle w:val="Tabletext"/>
              <w:jc w:val="center"/>
              <w:rPr>
                <w:sz w:val="20"/>
                <w:szCs w:val="20"/>
              </w:rPr>
            </w:pPr>
            <w:r w:rsidRPr="00990159">
              <w:rPr>
                <w:sz w:val="20"/>
                <w:szCs w:val="20"/>
              </w:rPr>
              <w:t>–</w:t>
            </w:r>
          </w:p>
        </w:tc>
        <w:tc>
          <w:tcPr>
            <w:tcW w:w="756" w:type="pct"/>
          </w:tcPr>
          <w:p w14:paraId="3431B7EF" w14:textId="77777777" w:rsidR="008404F4" w:rsidRPr="00990159" w:rsidRDefault="008404F4" w:rsidP="00467BE9">
            <w:pPr>
              <w:pStyle w:val="Tabletext"/>
              <w:jc w:val="center"/>
              <w:rPr>
                <w:sz w:val="20"/>
                <w:szCs w:val="20"/>
              </w:rPr>
            </w:pPr>
            <w:r w:rsidRPr="00990159">
              <w:rPr>
                <w:sz w:val="20"/>
                <w:szCs w:val="20"/>
              </w:rPr>
              <w:t>–</w:t>
            </w:r>
          </w:p>
        </w:tc>
        <w:tc>
          <w:tcPr>
            <w:tcW w:w="625" w:type="pct"/>
          </w:tcPr>
          <w:p w14:paraId="726A0883" w14:textId="77777777" w:rsidR="008404F4" w:rsidRPr="00990159" w:rsidRDefault="008404F4" w:rsidP="00467BE9">
            <w:pPr>
              <w:pStyle w:val="Tabletext"/>
              <w:jc w:val="center"/>
              <w:rPr>
                <w:sz w:val="20"/>
                <w:szCs w:val="20"/>
              </w:rPr>
            </w:pPr>
            <w:r w:rsidRPr="00990159">
              <w:rPr>
                <w:sz w:val="20"/>
                <w:szCs w:val="20"/>
              </w:rPr>
              <w:t>–</w:t>
            </w:r>
          </w:p>
        </w:tc>
        <w:tc>
          <w:tcPr>
            <w:tcW w:w="756" w:type="pct"/>
          </w:tcPr>
          <w:p w14:paraId="68D58EBC" w14:textId="77777777" w:rsidR="008404F4" w:rsidRPr="00990159" w:rsidRDefault="008404F4" w:rsidP="00467BE9">
            <w:pPr>
              <w:pStyle w:val="Tabletext"/>
              <w:jc w:val="center"/>
              <w:rPr>
                <w:sz w:val="20"/>
                <w:szCs w:val="20"/>
              </w:rPr>
            </w:pPr>
            <w:r w:rsidRPr="00990159">
              <w:rPr>
                <w:sz w:val="20"/>
                <w:szCs w:val="20"/>
              </w:rPr>
              <w:t>–</w:t>
            </w:r>
          </w:p>
        </w:tc>
      </w:tr>
      <w:tr w:rsidR="00B47F8D" w:rsidRPr="00BF52F4" w14:paraId="2089B431" w14:textId="77777777" w:rsidTr="00B47F8D">
        <w:trPr>
          <w:trHeight w:val="159"/>
        </w:trPr>
        <w:tc>
          <w:tcPr>
            <w:tcW w:w="882" w:type="pct"/>
            <w:vMerge w:val="restart"/>
          </w:tcPr>
          <w:p w14:paraId="7FD7C8E9" w14:textId="77777777" w:rsidR="008404F4" w:rsidRPr="00990159" w:rsidRDefault="008404F4" w:rsidP="00990159">
            <w:pPr>
              <w:pStyle w:val="Tabletext"/>
              <w:ind w:left="0"/>
              <w:rPr>
                <w:b/>
                <w:sz w:val="20"/>
                <w:szCs w:val="20"/>
              </w:rPr>
            </w:pPr>
            <w:r w:rsidRPr="00990159">
              <w:rPr>
                <w:b/>
                <w:sz w:val="20"/>
                <w:szCs w:val="20"/>
              </w:rPr>
              <w:t>Important potential risks</w:t>
            </w:r>
          </w:p>
        </w:tc>
        <w:tc>
          <w:tcPr>
            <w:tcW w:w="1315" w:type="pct"/>
          </w:tcPr>
          <w:p w14:paraId="14439BD7" w14:textId="77777777" w:rsidR="008404F4" w:rsidRPr="00990159" w:rsidRDefault="008404F4" w:rsidP="00990159">
            <w:pPr>
              <w:pStyle w:val="Tabletext"/>
              <w:ind w:left="0"/>
              <w:rPr>
                <w:sz w:val="20"/>
                <w:szCs w:val="20"/>
              </w:rPr>
            </w:pPr>
            <w:proofErr w:type="spellStart"/>
            <w:r w:rsidRPr="00990159">
              <w:rPr>
                <w:bCs/>
                <w:color w:val="000000"/>
                <w:sz w:val="20"/>
                <w:szCs w:val="20"/>
              </w:rPr>
              <w:t>Hyperphosphataemia</w:t>
            </w:r>
            <w:proofErr w:type="spellEnd"/>
          </w:p>
        </w:tc>
        <w:tc>
          <w:tcPr>
            <w:tcW w:w="667" w:type="pct"/>
          </w:tcPr>
          <w:p w14:paraId="00BE5110"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p>
        </w:tc>
        <w:tc>
          <w:tcPr>
            <w:tcW w:w="756" w:type="pct"/>
          </w:tcPr>
          <w:p w14:paraId="20389101"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r w:rsidRPr="00990159">
              <w:rPr>
                <w:rFonts w:asciiTheme="majorHAnsi" w:hAnsiTheme="majorHAnsi"/>
                <w:sz w:val="20"/>
                <w:szCs w:val="20"/>
                <w:vertAlign w:val="superscript"/>
              </w:rPr>
              <w:t>‡</w:t>
            </w:r>
          </w:p>
        </w:tc>
        <w:tc>
          <w:tcPr>
            <w:tcW w:w="625" w:type="pct"/>
          </w:tcPr>
          <w:p w14:paraId="351FA410"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p>
        </w:tc>
        <w:tc>
          <w:tcPr>
            <w:tcW w:w="756" w:type="pct"/>
          </w:tcPr>
          <w:p w14:paraId="19E5D0D8" w14:textId="77777777" w:rsidR="008404F4" w:rsidRPr="00990159" w:rsidRDefault="008404F4" w:rsidP="00467BE9">
            <w:pPr>
              <w:pStyle w:val="Tabletext"/>
              <w:jc w:val="center"/>
              <w:rPr>
                <w:sz w:val="20"/>
                <w:szCs w:val="20"/>
              </w:rPr>
            </w:pPr>
            <w:r w:rsidRPr="00990159">
              <w:rPr>
                <w:sz w:val="20"/>
                <w:szCs w:val="20"/>
              </w:rPr>
              <w:t>–</w:t>
            </w:r>
          </w:p>
        </w:tc>
      </w:tr>
      <w:tr w:rsidR="00B47F8D" w:rsidRPr="00BF52F4" w14:paraId="68862B1F" w14:textId="77777777" w:rsidTr="00B47F8D">
        <w:trPr>
          <w:trHeight w:val="122"/>
        </w:trPr>
        <w:tc>
          <w:tcPr>
            <w:tcW w:w="882" w:type="pct"/>
            <w:vMerge/>
          </w:tcPr>
          <w:p w14:paraId="5DD28318" w14:textId="77777777" w:rsidR="008404F4" w:rsidRPr="00990159" w:rsidRDefault="008404F4" w:rsidP="00467BE9">
            <w:pPr>
              <w:pStyle w:val="Tabletext"/>
              <w:rPr>
                <w:b/>
                <w:sz w:val="20"/>
                <w:szCs w:val="20"/>
              </w:rPr>
            </w:pPr>
          </w:p>
        </w:tc>
        <w:tc>
          <w:tcPr>
            <w:tcW w:w="1315" w:type="pct"/>
          </w:tcPr>
          <w:p w14:paraId="6FFC1641" w14:textId="07CC7A09" w:rsidR="008404F4" w:rsidRPr="00990159" w:rsidRDefault="008404F4" w:rsidP="00990159">
            <w:pPr>
              <w:pStyle w:val="Tabletext"/>
              <w:ind w:left="0"/>
              <w:rPr>
                <w:sz w:val="20"/>
                <w:szCs w:val="20"/>
              </w:rPr>
            </w:pPr>
            <w:r w:rsidRPr="00990159">
              <w:rPr>
                <w:bCs/>
                <w:color w:val="000000"/>
                <w:sz w:val="20"/>
                <w:szCs w:val="20"/>
              </w:rPr>
              <w:t>Ectopic minerali</w:t>
            </w:r>
            <w:r w:rsidR="00E577F8">
              <w:rPr>
                <w:bCs/>
                <w:color w:val="000000"/>
                <w:sz w:val="20"/>
                <w:szCs w:val="20"/>
              </w:rPr>
              <w:t>s</w:t>
            </w:r>
            <w:r w:rsidRPr="00990159">
              <w:rPr>
                <w:bCs/>
                <w:color w:val="000000"/>
                <w:sz w:val="20"/>
                <w:szCs w:val="20"/>
              </w:rPr>
              <w:t>ation</w:t>
            </w:r>
          </w:p>
        </w:tc>
        <w:tc>
          <w:tcPr>
            <w:tcW w:w="667" w:type="pct"/>
          </w:tcPr>
          <w:p w14:paraId="34EEBEBD"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p>
        </w:tc>
        <w:tc>
          <w:tcPr>
            <w:tcW w:w="756" w:type="pct"/>
          </w:tcPr>
          <w:p w14:paraId="46182DB4"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r w:rsidRPr="00990159">
              <w:rPr>
                <w:rFonts w:asciiTheme="majorHAnsi" w:hAnsiTheme="majorHAnsi"/>
                <w:sz w:val="20"/>
                <w:szCs w:val="20"/>
                <w:vertAlign w:val="superscript"/>
              </w:rPr>
              <w:t>‡</w:t>
            </w:r>
          </w:p>
        </w:tc>
        <w:tc>
          <w:tcPr>
            <w:tcW w:w="625" w:type="pct"/>
          </w:tcPr>
          <w:p w14:paraId="289E3273"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p>
        </w:tc>
        <w:tc>
          <w:tcPr>
            <w:tcW w:w="756" w:type="pct"/>
          </w:tcPr>
          <w:p w14:paraId="58023A5F" w14:textId="77777777" w:rsidR="008404F4" w:rsidRPr="00990159" w:rsidRDefault="008404F4" w:rsidP="00467BE9">
            <w:pPr>
              <w:pStyle w:val="Tabletext"/>
              <w:jc w:val="center"/>
              <w:rPr>
                <w:sz w:val="20"/>
                <w:szCs w:val="20"/>
              </w:rPr>
            </w:pPr>
            <w:r w:rsidRPr="00990159">
              <w:rPr>
                <w:sz w:val="20"/>
                <w:szCs w:val="20"/>
              </w:rPr>
              <w:t>–</w:t>
            </w:r>
          </w:p>
        </w:tc>
      </w:tr>
      <w:tr w:rsidR="00B47F8D" w:rsidRPr="00BF52F4" w14:paraId="50EAEFAE" w14:textId="77777777" w:rsidTr="00B47F8D">
        <w:trPr>
          <w:trHeight w:val="122"/>
        </w:trPr>
        <w:tc>
          <w:tcPr>
            <w:tcW w:w="882" w:type="pct"/>
            <w:vMerge/>
          </w:tcPr>
          <w:p w14:paraId="7E313194" w14:textId="77777777" w:rsidR="008404F4" w:rsidRPr="00990159" w:rsidRDefault="008404F4" w:rsidP="00467BE9">
            <w:pPr>
              <w:pStyle w:val="Tabletext"/>
              <w:rPr>
                <w:b/>
                <w:sz w:val="20"/>
                <w:szCs w:val="20"/>
              </w:rPr>
            </w:pPr>
          </w:p>
        </w:tc>
        <w:tc>
          <w:tcPr>
            <w:tcW w:w="1315" w:type="pct"/>
          </w:tcPr>
          <w:p w14:paraId="4047FB7E" w14:textId="77777777" w:rsidR="008404F4" w:rsidRPr="00990159" w:rsidRDefault="008404F4" w:rsidP="00990159">
            <w:pPr>
              <w:pStyle w:val="Tabletext"/>
              <w:ind w:left="0"/>
              <w:rPr>
                <w:bCs/>
                <w:color w:val="000000"/>
                <w:sz w:val="20"/>
                <w:szCs w:val="20"/>
              </w:rPr>
            </w:pPr>
            <w:r w:rsidRPr="00990159">
              <w:rPr>
                <w:sz w:val="20"/>
                <w:szCs w:val="20"/>
              </w:rPr>
              <w:t>Increased parathyroid hormone levels</w:t>
            </w:r>
          </w:p>
        </w:tc>
        <w:tc>
          <w:tcPr>
            <w:tcW w:w="667" w:type="pct"/>
          </w:tcPr>
          <w:p w14:paraId="2487ED03"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p>
        </w:tc>
        <w:tc>
          <w:tcPr>
            <w:tcW w:w="756" w:type="pct"/>
          </w:tcPr>
          <w:p w14:paraId="0D9C5692"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r w:rsidRPr="00990159">
              <w:rPr>
                <w:sz w:val="20"/>
                <w:szCs w:val="20"/>
                <w:vertAlign w:val="superscript"/>
              </w:rPr>
              <w:t>‡</w:t>
            </w:r>
          </w:p>
        </w:tc>
        <w:tc>
          <w:tcPr>
            <w:tcW w:w="625" w:type="pct"/>
          </w:tcPr>
          <w:p w14:paraId="41B1E7A5"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p>
        </w:tc>
        <w:tc>
          <w:tcPr>
            <w:tcW w:w="756" w:type="pct"/>
          </w:tcPr>
          <w:p w14:paraId="61107F27" w14:textId="77777777" w:rsidR="008404F4" w:rsidRPr="00990159" w:rsidRDefault="008404F4" w:rsidP="00467BE9">
            <w:pPr>
              <w:pStyle w:val="Tabletext"/>
              <w:jc w:val="center"/>
              <w:rPr>
                <w:sz w:val="20"/>
                <w:szCs w:val="20"/>
              </w:rPr>
            </w:pPr>
            <w:r w:rsidRPr="00990159">
              <w:rPr>
                <w:sz w:val="20"/>
                <w:szCs w:val="20"/>
              </w:rPr>
              <w:t>–</w:t>
            </w:r>
          </w:p>
        </w:tc>
      </w:tr>
      <w:tr w:rsidR="00B47F8D" w:rsidRPr="00BF52F4" w14:paraId="29BBBD32" w14:textId="77777777" w:rsidTr="00B47F8D">
        <w:trPr>
          <w:trHeight w:val="122"/>
        </w:trPr>
        <w:tc>
          <w:tcPr>
            <w:tcW w:w="882" w:type="pct"/>
            <w:vMerge/>
          </w:tcPr>
          <w:p w14:paraId="5FF9D15B" w14:textId="77777777" w:rsidR="008404F4" w:rsidRPr="00990159" w:rsidRDefault="008404F4" w:rsidP="00467BE9">
            <w:pPr>
              <w:pStyle w:val="Tabletext"/>
              <w:rPr>
                <w:b/>
                <w:sz w:val="20"/>
                <w:szCs w:val="20"/>
              </w:rPr>
            </w:pPr>
          </w:p>
        </w:tc>
        <w:tc>
          <w:tcPr>
            <w:tcW w:w="1315" w:type="pct"/>
          </w:tcPr>
          <w:p w14:paraId="0DE18686" w14:textId="77777777" w:rsidR="008404F4" w:rsidRPr="00990159" w:rsidRDefault="008404F4" w:rsidP="00990159">
            <w:pPr>
              <w:pStyle w:val="Tabletext"/>
              <w:ind w:left="0"/>
              <w:rPr>
                <w:sz w:val="20"/>
                <w:szCs w:val="20"/>
              </w:rPr>
            </w:pPr>
            <w:r w:rsidRPr="00990159">
              <w:rPr>
                <w:bCs/>
                <w:color w:val="000000"/>
                <w:sz w:val="20"/>
                <w:szCs w:val="20"/>
              </w:rPr>
              <w:t>Female reproductive toxicity</w:t>
            </w:r>
          </w:p>
        </w:tc>
        <w:tc>
          <w:tcPr>
            <w:tcW w:w="667" w:type="pct"/>
          </w:tcPr>
          <w:p w14:paraId="1FF27CD4"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p>
        </w:tc>
        <w:tc>
          <w:tcPr>
            <w:tcW w:w="756" w:type="pct"/>
          </w:tcPr>
          <w:p w14:paraId="34AB82B2"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r w:rsidRPr="00990159">
              <w:rPr>
                <w:rFonts w:asciiTheme="majorHAnsi" w:hAnsiTheme="majorHAnsi"/>
                <w:sz w:val="20"/>
                <w:szCs w:val="20"/>
                <w:vertAlign w:val="superscript"/>
              </w:rPr>
              <w:t>‡</w:t>
            </w:r>
          </w:p>
        </w:tc>
        <w:tc>
          <w:tcPr>
            <w:tcW w:w="625" w:type="pct"/>
          </w:tcPr>
          <w:p w14:paraId="32C1AA8D"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p>
        </w:tc>
        <w:tc>
          <w:tcPr>
            <w:tcW w:w="756" w:type="pct"/>
          </w:tcPr>
          <w:p w14:paraId="4AB8AC6D" w14:textId="77777777" w:rsidR="008404F4" w:rsidRPr="00990159" w:rsidRDefault="008404F4" w:rsidP="00467BE9">
            <w:pPr>
              <w:pStyle w:val="Tabletext"/>
              <w:jc w:val="center"/>
              <w:rPr>
                <w:sz w:val="20"/>
                <w:szCs w:val="20"/>
              </w:rPr>
            </w:pPr>
            <w:r w:rsidRPr="00990159">
              <w:rPr>
                <w:sz w:val="20"/>
                <w:szCs w:val="20"/>
              </w:rPr>
              <w:t>–</w:t>
            </w:r>
          </w:p>
        </w:tc>
      </w:tr>
      <w:tr w:rsidR="00B47F8D" w:rsidRPr="00BF52F4" w14:paraId="55C2C43D" w14:textId="77777777" w:rsidTr="00B47F8D">
        <w:trPr>
          <w:trHeight w:val="65"/>
        </w:trPr>
        <w:tc>
          <w:tcPr>
            <w:tcW w:w="882" w:type="pct"/>
            <w:vMerge w:val="restart"/>
          </w:tcPr>
          <w:p w14:paraId="2255FAB6" w14:textId="77777777" w:rsidR="008404F4" w:rsidRPr="00990159" w:rsidRDefault="008404F4" w:rsidP="00990159">
            <w:pPr>
              <w:pStyle w:val="Tabletext"/>
              <w:ind w:left="0"/>
              <w:rPr>
                <w:b/>
                <w:sz w:val="20"/>
                <w:szCs w:val="20"/>
              </w:rPr>
            </w:pPr>
            <w:r w:rsidRPr="00990159">
              <w:rPr>
                <w:b/>
                <w:sz w:val="20"/>
                <w:szCs w:val="20"/>
              </w:rPr>
              <w:t>Missing information</w:t>
            </w:r>
          </w:p>
        </w:tc>
        <w:tc>
          <w:tcPr>
            <w:tcW w:w="1315" w:type="pct"/>
          </w:tcPr>
          <w:p w14:paraId="577FDFE6" w14:textId="629156B8" w:rsidR="008404F4" w:rsidRPr="00990159" w:rsidRDefault="008404F4" w:rsidP="00990159">
            <w:pPr>
              <w:pStyle w:val="Tabletext"/>
              <w:ind w:left="0"/>
              <w:rPr>
                <w:bCs/>
                <w:color w:val="000000"/>
                <w:sz w:val="20"/>
                <w:szCs w:val="20"/>
              </w:rPr>
            </w:pPr>
            <w:r w:rsidRPr="00990159">
              <w:rPr>
                <w:bCs/>
                <w:color w:val="000000"/>
                <w:sz w:val="20"/>
                <w:szCs w:val="20"/>
              </w:rPr>
              <w:t xml:space="preserve">Elderly patients </w:t>
            </w:r>
            <w:r w:rsidRPr="00990159">
              <w:rPr>
                <w:rFonts w:ascii="Cambria Math" w:hAnsi="Cambria Math"/>
                <w:bCs/>
                <w:color w:val="000000"/>
                <w:sz w:val="20"/>
                <w:szCs w:val="20"/>
                <w:lang w:val=""/>
              </w:rPr>
              <w:t>≥</w:t>
            </w:r>
            <w:r w:rsidR="00B47F8D">
              <w:rPr>
                <w:rFonts w:ascii="Cambria Math" w:hAnsi="Cambria Math"/>
                <w:bCs/>
                <w:color w:val="000000"/>
                <w:sz w:val="20"/>
                <w:szCs w:val="20"/>
                <w:lang w:val=""/>
              </w:rPr>
              <w:t xml:space="preserve"> </w:t>
            </w:r>
            <w:r w:rsidRPr="00990159">
              <w:rPr>
                <w:bCs/>
                <w:color w:val="000000"/>
                <w:sz w:val="20"/>
                <w:szCs w:val="20"/>
              </w:rPr>
              <w:t>65 years</w:t>
            </w:r>
          </w:p>
        </w:tc>
        <w:tc>
          <w:tcPr>
            <w:tcW w:w="667" w:type="pct"/>
          </w:tcPr>
          <w:p w14:paraId="5FBD54D7"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p>
        </w:tc>
        <w:tc>
          <w:tcPr>
            <w:tcW w:w="756" w:type="pct"/>
          </w:tcPr>
          <w:p w14:paraId="7D6CB795" w14:textId="77777777" w:rsidR="008404F4" w:rsidRPr="00990159" w:rsidRDefault="008404F4" w:rsidP="00467BE9">
            <w:pPr>
              <w:pStyle w:val="Tabletext"/>
              <w:jc w:val="center"/>
              <w:rPr>
                <w:sz w:val="20"/>
                <w:szCs w:val="20"/>
              </w:rPr>
            </w:pPr>
            <w:r w:rsidRPr="00990159">
              <w:rPr>
                <w:sz w:val="20"/>
                <w:szCs w:val="20"/>
              </w:rPr>
              <w:t>–</w:t>
            </w:r>
          </w:p>
        </w:tc>
        <w:tc>
          <w:tcPr>
            <w:tcW w:w="625" w:type="pct"/>
          </w:tcPr>
          <w:p w14:paraId="4ECBDC85"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p>
        </w:tc>
        <w:tc>
          <w:tcPr>
            <w:tcW w:w="756" w:type="pct"/>
          </w:tcPr>
          <w:p w14:paraId="7DD7AADC" w14:textId="77777777" w:rsidR="008404F4" w:rsidRPr="00990159" w:rsidRDefault="008404F4" w:rsidP="00467BE9">
            <w:pPr>
              <w:pStyle w:val="Tabletext"/>
              <w:jc w:val="center"/>
              <w:rPr>
                <w:sz w:val="20"/>
                <w:szCs w:val="20"/>
              </w:rPr>
            </w:pPr>
            <w:r w:rsidRPr="00990159">
              <w:rPr>
                <w:sz w:val="20"/>
                <w:szCs w:val="20"/>
              </w:rPr>
              <w:t>–</w:t>
            </w:r>
          </w:p>
        </w:tc>
      </w:tr>
      <w:tr w:rsidR="00B47F8D" w:rsidRPr="00BF52F4" w14:paraId="35C702F6" w14:textId="77777777" w:rsidTr="00B47F8D">
        <w:trPr>
          <w:trHeight w:val="178"/>
        </w:trPr>
        <w:tc>
          <w:tcPr>
            <w:tcW w:w="882" w:type="pct"/>
            <w:vMerge/>
          </w:tcPr>
          <w:p w14:paraId="2BEF3DFD" w14:textId="77777777" w:rsidR="008404F4" w:rsidRPr="00AA1FC6" w:rsidRDefault="008404F4" w:rsidP="00467BE9">
            <w:pPr>
              <w:pStyle w:val="Tabletext"/>
              <w:rPr>
                <w:b/>
                <w:sz w:val="16"/>
                <w:szCs w:val="16"/>
              </w:rPr>
            </w:pPr>
          </w:p>
        </w:tc>
        <w:tc>
          <w:tcPr>
            <w:tcW w:w="1315" w:type="pct"/>
          </w:tcPr>
          <w:p w14:paraId="1429E6FC" w14:textId="77777777" w:rsidR="008404F4" w:rsidRPr="00990159" w:rsidRDefault="008404F4" w:rsidP="00990159">
            <w:pPr>
              <w:pStyle w:val="Tabletext"/>
              <w:ind w:left="0"/>
              <w:rPr>
                <w:sz w:val="20"/>
                <w:szCs w:val="20"/>
              </w:rPr>
            </w:pPr>
            <w:r w:rsidRPr="00990159">
              <w:rPr>
                <w:bCs/>
                <w:color w:val="000000"/>
                <w:sz w:val="20"/>
                <w:szCs w:val="20"/>
              </w:rPr>
              <w:t>Patients with mild to moderate renal impairment</w:t>
            </w:r>
          </w:p>
        </w:tc>
        <w:tc>
          <w:tcPr>
            <w:tcW w:w="667" w:type="pct"/>
          </w:tcPr>
          <w:p w14:paraId="268EFD62"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p>
        </w:tc>
        <w:tc>
          <w:tcPr>
            <w:tcW w:w="756" w:type="pct"/>
          </w:tcPr>
          <w:p w14:paraId="569B560B"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r w:rsidRPr="00990159">
              <w:rPr>
                <w:rFonts w:asciiTheme="majorHAnsi" w:hAnsiTheme="majorHAnsi"/>
                <w:sz w:val="20"/>
                <w:szCs w:val="20"/>
                <w:vertAlign w:val="superscript"/>
              </w:rPr>
              <w:t>‡</w:t>
            </w:r>
          </w:p>
        </w:tc>
        <w:tc>
          <w:tcPr>
            <w:tcW w:w="625" w:type="pct"/>
          </w:tcPr>
          <w:p w14:paraId="2040BBBD"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p>
        </w:tc>
        <w:tc>
          <w:tcPr>
            <w:tcW w:w="756" w:type="pct"/>
          </w:tcPr>
          <w:p w14:paraId="6E6F1008" w14:textId="77777777" w:rsidR="008404F4" w:rsidRPr="00990159" w:rsidRDefault="008404F4" w:rsidP="00467BE9">
            <w:pPr>
              <w:pStyle w:val="Tabletext"/>
              <w:jc w:val="center"/>
              <w:rPr>
                <w:sz w:val="20"/>
                <w:szCs w:val="20"/>
              </w:rPr>
            </w:pPr>
            <w:r w:rsidRPr="00990159">
              <w:rPr>
                <w:sz w:val="20"/>
                <w:szCs w:val="20"/>
              </w:rPr>
              <w:t>–</w:t>
            </w:r>
          </w:p>
        </w:tc>
      </w:tr>
      <w:tr w:rsidR="00B47F8D" w:rsidRPr="00BF52F4" w14:paraId="1F7AC94A" w14:textId="77777777" w:rsidTr="00B47F8D">
        <w:trPr>
          <w:trHeight w:val="103"/>
        </w:trPr>
        <w:tc>
          <w:tcPr>
            <w:tcW w:w="882" w:type="pct"/>
            <w:vMerge/>
          </w:tcPr>
          <w:p w14:paraId="2EC95B2E" w14:textId="77777777" w:rsidR="008404F4" w:rsidRPr="00AA1FC6" w:rsidRDefault="008404F4" w:rsidP="00467BE9">
            <w:pPr>
              <w:pStyle w:val="Tabletext"/>
              <w:rPr>
                <w:sz w:val="16"/>
                <w:szCs w:val="16"/>
              </w:rPr>
            </w:pPr>
          </w:p>
        </w:tc>
        <w:tc>
          <w:tcPr>
            <w:tcW w:w="1315" w:type="pct"/>
          </w:tcPr>
          <w:p w14:paraId="7DBBB5F2" w14:textId="77777777" w:rsidR="008404F4" w:rsidRPr="00990159" w:rsidRDefault="008404F4" w:rsidP="00990159">
            <w:pPr>
              <w:pStyle w:val="Tabletext"/>
              <w:ind w:left="0"/>
              <w:rPr>
                <w:sz w:val="20"/>
                <w:szCs w:val="20"/>
              </w:rPr>
            </w:pPr>
            <w:r w:rsidRPr="00990159">
              <w:rPr>
                <w:bCs/>
                <w:color w:val="000000"/>
                <w:sz w:val="20"/>
                <w:szCs w:val="20"/>
              </w:rPr>
              <w:t>Long term use</w:t>
            </w:r>
          </w:p>
        </w:tc>
        <w:tc>
          <w:tcPr>
            <w:tcW w:w="667" w:type="pct"/>
          </w:tcPr>
          <w:p w14:paraId="253FF4A2"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p>
        </w:tc>
        <w:tc>
          <w:tcPr>
            <w:tcW w:w="756" w:type="pct"/>
          </w:tcPr>
          <w:p w14:paraId="2198BE19"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r w:rsidRPr="00990159">
              <w:rPr>
                <w:rFonts w:asciiTheme="majorHAnsi" w:hAnsiTheme="majorHAnsi"/>
                <w:sz w:val="20"/>
                <w:szCs w:val="20"/>
                <w:vertAlign w:val="superscript"/>
              </w:rPr>
              <w:t>‡</w:t>
            </w:r>
          </w:p>
        </w:tc>
        <w:tc>
          <w:tcPr>
            <w:tcW w:w="625" w:type="pct"/>
          </w:tcPr>
          <w:p w14:paraId="7BC1975A" w14:textId="77777777" w:rsidR="008404F4" w:rsidRPr="00990159" w:rsidRDefault="008404F4" w:rsidP="00467BE9">
            <w:pPr>
              <w:pStyle w:val="Tabletext"/>
              <w:jc w:val="center"/>
              <w:rPr>
                <w:sz w:val="20"/>
                <w:szCs w:val="20"/>
              </w:rPr>
            </w:pPr>
            <w:r w:rsidRPr="00990159">
              <w:rPr>
                <w:rFonts w:ascii="Wingdings" w:eastAsia="Wingdings" w:hAnsi="Wingdings" w:cs="Wingdings"/>
                <w:sz w:val="20"/>
                <w:szCs w:val="20"/>
              </w:rPr>
              <w:t></w:t>
            </w:r>
          </w:p>
        </w:tc>
        <w:tc>
          <w:tcPr>
            <w:tcW w:w="756" w:type="pct"/>
          </w:tcPr>
          <w:p w14:paraId="4CD84278" w14:textId="77777777" w:rsidR="008404F4" w:rsidRPr="00990159" w:rsidRDefault="008404F4" w:rsidP="00467BE9">
            <w:pPr>
              <w:pStyle w:val="Tabletext"/>
              <w:jc w:val="center"/>
              <w:rPr>
                <w:sz w:val="20"/>
                <w:szCs w:val="20"/>
              </w:rPr>
            </w:pPr>
            <w:r w:rsidRPr="00990159">
              <w:rPr>
                <w:sz w:val="20"/>
                <w:szCs w:val="20"/>
              </w:rPr>
              <w:t>–</w:t>
            </w:r>
          </w:p>
        </w:tc>
      </w:tr>
    </w:tbl>
    <w:p w14:paraId="54A972FE" w14:textId="07E8C98C" w:rsidR="008404F4" w:rsidRPr="00AD667D" w:rsidRDefault="008404F4" w:rsidP="00AD667D">
      <w:pPr>
        <w:pStyle w:val="TableDescription"/>
      </w:pPr>
      <w:r>
        <w:t xml:space="preserve"> </w:t>
      </w:r>
      <w:r w:rsidRPr="005B3776">
        <w:t xml:space="preserve">‡ </w:t>
      </w:r>
      <w:r w:rsidR="006B5683" w:rsidRPr="005B3776">
        <w:t>P</w:t>
      </w:r>
      <w:r w:rsidR="006B5683">
        <w:t xml:space="preserve">ost-authorisation </w:t>
      </w:r>
      <w:r w:rsidR="00D32D0E">
        <w:t xml:space="preserve">safety </w:t>
      </w:r>
      <w:r w:rsidRPr="005B3776">
        <w:t xml:space="preserve">study </w:t>
      </w:r>
    </w:p>
    <w:p w14:paraId="47A90DE1" w14:textId="77777777" w:rsidR="00AA1FC6" w:rsidRDefault="00AA1FC6" w:rsidP="00AA1FC6">
      <w:r>
        <w:t>The summary of safety concerns is considered acceptable from an RMP perspective.</w:t>
      </w:r>
    </w:p>
    <w:p w14:paraId="3B864DA6" w14:textId="0888C5EC" w:rsidR="00AA1FC6" w:rsidRDefault="00AA1FC6" w:rsidP="00AA1FC6">
      <w:r>
        <w:t xml:space="preserve">The sponsor has proposed routine pharmacovigilance for all safety concerns. Additional pharmacovigilance has been proposed in the form of a </w:t>
      </w:r>
      <w:r w:rsidR="00B47F8D">
        <w:t>p</w:t>
      </w:r>
      <w:r w:rsidR="00F3302E">
        <w:t xml:space="preserve">ost </w:t>
      </w:r>
      <w:r w:rsidR="00B47F8D">
        <w:t>a</w:t>
      </w:r>
      <w:r w:rsidR="00F3302E">
        <w:t xml:space="preserve">uthorisation </w:t>
      </w:r>
      <w:r w:rsidR="00B47F8D">
        <w:t>s</w:t>
      </w:r>
      <w:r w:rsidR="00F3302E">
        <w:t xml:space="preserve">afety </w:t>
      </w:r>
      <w:r w:rsidR="00B47F8D">
        <w:t>s</w:t>
      </w:r>
      <w:r w:rsidR="00F3302E">
        <w:t>tudy (</w:t>
      </w:r>
      <w:r>
        <w:t>PASS</w:t>
      </w:r>
      <w:r w:rsidR="00F3302E">
        <w:t>)</w:t>
      </w:r>
      <w:r>
        <w:t xml:space="preserve"> in the EU, to address the safety concerns noted in the table above. The pharmacovigilance plan is acceptable from an RMP perspective.</w:t>
      </w:r>
    </w:p>
    <w:p w14:paraId="015E5BA8" w14:textId="590A5F5F" w:rsidR="008404F4" w:rsidRDefault="00AA1FC6" w:rsidP="00AA1FC6">
      <w:r>
        <w:t xml:space="preserve">The sponsor has proposed routine risk minimisation activities only for all safety concerns. No additional routine risk minimisation activities have been proposed. The risk minimisation plan is acceptable from an RMP perspective. </w:t>
      </w:r>
    </w:p>
    <w:p w14:paraId="1E05E3D6" w14:textId="77777777" w:rsidR="008E7846" w:rsidRDefault="00AA0ED0" w:rsidP="008E7846">
      <w:pPr>
        <w:pStyle w:val="Heading3"/>
      </w:pPr>
      <w:bookmarkStart w:id="53" w:name="_Toc247691531"/>
      <w:bookmarkStart w:id="54" w:name="_Toc314842515"/>
      <w:bookmarkStart w:id="55" w:name="_Toc107402940"/>
      <w:bookmarkStart w:id="56" w:name="_Toc196046505"/>
      <w:bookmarkStart w:id="57" w:name="_Toc196046949"/>
      <w:r>
        <w:t>Risk-benefit a</w:t>
      </w:r>
      <w:r w:rsidR="008E7846">
        <w:t>nalysis</w:t>
      </w:r>
      <w:bookmarkEnd w:id="53"/>
      <w:bookmarkEnd w:id="54"/>
      <w:bookmarkEnd w:id="55"/>
    </w:p>
    <w:p w14:paraId="63024C07" w14:textId="77777777" w:rsidR="00D23139" w:rsidRDefault="007D53B6" w:rsidP="00D23139">
      <w:pPr>
        <w:pStyle w:val="Heading4"/>
      </w:pPr>
      <w:r>
        <w:t>Delegate’s considerations</w:t>
      </w:r>
    </w:p>
    <w:p w14:paraId="7D87AC10" w14:textId="5205AF4B" w:rsidR="00EB273C" w:rsidRDefault="00656613" w:rsidP="003978F4">
      <w:r>
        <w:t xml:space="preserve">X-linked </w:t>
      </w:r>
      <w:proofErr w:type="spellStart"/>
      <w:r>
        <w:t>hypophosphataemia</w:t>
      </w:r>
      <w:proofErr w:type="spellEnd"/>
      <w:r w:rsidR="003978F4">
        <w:t xml:space="preserve"> is a rare, serious, debilitating condition and in Australia, there are no approved therapies for the condition. Conventional therapy with oral phosphate and active vitamin D aims to supplement phosphate but offers limited benefits with respect to skeletal outcomes. In addition, conventional therapy is associated with significant safety concerns such as hyperparathyroidism and </w:t>
      </w:r>
      <w:proofErr w:type="spellStart"/>
      <w:r w:rsidR="003978F4">
        <w:t>nephrocalcinosis</w:t>
      </w:r>
      <w:proofErr w:type="spellEnd"/>
      <w:r w:rsidR="003978F4">
        <w:t xml:space="preserve"> and compliance with treatment and monitoring requirements is challenging for patients</w:t>
      </w:r>
      <w:r w:rsidR="00EB273C">
        <w:t>.</w:t>
      </w:r>
    </w:p>
    <w:p w14:paraId="42E1AC84" w14:textId="6FD0B7C8" w:rsidR="00EB273C" w:rsidRDefault="003978F4" w:rsidP="003978F4">
      <w:r>
        <w:t xml:space="preserve">In pivotal </w:t>
      </w:r>
      <w:r w:rsidR="00656613">
        <w:t>S</w:t>
      </w:r>
      <w:r>
        <w:t xml:space="preserve">tudy UXCL23-CL303 in adults, serum phosphorous response was higher with </w:t>
      </w:r>
      <w:proofErr w:type="spellStart"/>
      <w:r>
        <w:t>burosumab</w:t>
      </w:r>
      <w:proofErr w:type="spellEnd"/>
      <w:r>
        <w:t xml:space="preserve"> treatment compared to placebo and the difference was statistically significant. </w:t>
      </w:r>
      <w:r>
        <w:lastRenderedPageBreak/>
        <w:t xml:space="preserve">These levels were maintained through to </w:t>
      </w:r>
      <w:r w:rsidR="00FF2748">
        <w:t>W</w:t>
      </w:r>
      <w:r>
        <w:t xml:space="preserve">eek 96. The increase in serum phosphorus with </w:t>
      </w:r>
      <w:proofErr w:type="spellStart"/>
      <w:r>
        <w:t>burosumab</w:t>
      </w:r>
      <w:proofErr w:type="spellEnd"/>
      <w:r>
        <w:t xml:space="preserve"> was also associated with improvements in </w:t>
      </w:r>
      <w:proofErr w:type="spellStart"/>
      <w:r>
        <w:t>TmP</w:t>
      </w:r>
      <w:proofErr w:type="spellEnd"/>
      <w:r>
        <w:t>/GFR though was not a key secondary endpoint. There were modest improvements in the three key secondary efficacy endpoints of worst pain scores (</w:t>
      </w:r>
      <w:r w:rsidR="00BF314B">
        <w:t xml:space="preserve">measure by </w:t>
      </w:r>
      <w:r>
        <w:t>BPI), physical functions scores (</w:t>
      </w:r>
      <w:r w:rsidR="00BF314B">
        <w:t xml:space="preserve">measure by </w:t>
      </w:r>
      <w:r>
        <w:t xml:space="preserve">WOMAC) and stiffness scores (WOMAC)in subjects treated with </w:t>
      </w:r>
      <w:proofErr w:type="spellStart"/>
      <w:r>
        <w:t>burosumab</w:t>
      </w:r>
      <w:proofErr w:type="spellEnd"/>
      <w:r>
        <w:t xml:space="preserve"> compared to placebo but only the improvement in stiffness score from </w:t>
      </w:r>
      <w:r w:rsidR="00656613">
        <w:t>B</w:t>
      </w:r>
      <w:r>
        <w:t xml:space="preserve">aseline was statistically significant, although the difference of approximately </w:t>
      </w:r>
      <w:r w:rsidR="00173F06">
        <w:t>eight</w:t>
      </w:r>
      <w:r>
        <w:t xml:space="preserve"> units was not considered by the evaluator to be clinically meaningful. The percentage of baseline active fractures/</w:t>
      </w:r>
      <w:proofErr w:type="spellStart"/>
      <w:r>
        <w:t>pseudofractures</w:t>
      </w:r>
      <w:proofErr w:type="spellEnd"/>
      <w:r>
        <w:t xml:space="preserve"> graded as fully healed at </w:t>
      </w:r>
      <w:r w:rsidR="00BF314B">
        <w:t>W</w:t>
      </w:r>
      <w:r>
        <w:t xml:space="preserve">eek 24 was greater in the </w:t>
      </w:r>
      <w:proofErr w:type="spellStart"/>
      <w:r>
        <w:t>burosumab</w:t>
      </w:r>
      <w:proofErr w:type="spellEnd"/>
      <w:r>
        <w:t xml:space="preserve"> group but this endpoint was exploratory only. In </w:t>
      </w:r>
      <w:r w:rsidR="00656613">
        <w:t>S</w:t>
      </w:r>
      <w:r>
        <w:t>tudy UX023-CL303 patients were expos</w:t>
      </w:r>
      <w:r w:rsidR="00656613">
        <w:t>ed</w:t>
      </w:r>
      <w:r>
        <w:t xml:space="preserve"> to </w:t>
      </w:r>
      <w:proofErr w:type="spellStart"/>
      <w:r>
        <w:t>burosumab</w:t>
      </w:r>
      <w:proofErr w:type="spellEnd"/>
      <w:r>
        <w:t xml:space="preserve"> treatment for a maximum of 149 weeks. There were no data regarding sustained benefit or loss of benefit after cessation of treatment</w:t>
      </w:r>
      <w:r w:rsidR="00EB273C">
        <w:t>.</w:t>
      </w:r>
    </w:p>
    <w:p w14:paraId="0878B406" w14:textId="58E0CB3C" w:rsidR="003978F4" w:rsidRDefault="003978F4" w:rsidP="003978F4">
      <w:r>
        <w:t xml:space="preserve">Supportive </w:t>
      </w:r>
      <w:r w:rsidR="00656613">
        <w:t>S</w:t>
      </w:r>
      <w:r>
        <w:t xml:space="preserve">tudy UX023-CL304 showed </w:t>
      </w:r>
      <w:proofErr w:type="spellStart"/>
      <w:r>
        <w:t>burosumab</w:t>
      </w:r>
      <w:proofErr w:type="spellEnd"/>
      <w:r>
        <w:t xml:space="preserve"> treatment was associated with a mean reduction in osteoid volume. There was no control group for </w:t>
      </w:r>
      <w:proofErr w:type="gramStart"/>
      <w:r>
        <w:t>comparison</w:t>
      </w:r>
      <w:proofErr w:type="gramEnd"/>
      <w:r>
        <w:t xml:space="preserve"> but osteoid volume is not expected to improve. There were also improvements in additional </w:t>
      </w:r>
      <w:proofErr w:type="spellStart"/>
      <w:r>
        <w:t>osteomalacia</w:t>
      </w:r>
      <w:proofErr w:type="spellEnd"/>
      <w:r>
        <w:t xml:space="preserve"> parameters with </w:t>
      </w:r>
      <w:proofErr w:type="spellStart"/>
      <w:r>
        <w:t>burosumab</w:t>
      </w:r>
      <w:proofErr w:type="spellEnd"/>
      <w:r>
        <w:t xml:space="preserve"> treatment.</w:t>
      </w:r>
    </w:p>
    <w:p w14:paraId="4017F1EE" w14:textId="1E090277" w:rsidR="00EB273C" w:rsidRDefault="003978F4" w:rsidP="003978F4">
      <w:r>
        <w:t xml:space="preserve">In pivotal </w:t>
      </w:r>
      <w:r w:rsidR="00656613">
        <w:t>S</w:t>
      </w:r>
      <w:r>
        <w:t xml:space="preserve">tudy UX023-CL301 in children </w:t>
      </w:r>
      <w:r w:rsidR="00FF2748">
        <w:t>one</w:t>
      </w:r>
      <w:r>
        <w:t xml:space="preserve"> to ≤ 12 years of age, </w:t>
      </w:r>
      <w:proofErr w:type="spellStart"/>
      <w:r>
        <w:t>burosumab</w:t>
      </w:r>
      <w:proofErr w:type="spellEnd"/>
      <w:r>
        <w:t xml:space="preserve"> treatment was associated with statistically significantly greater healing of rickets compared to the active control group at Week 40 (LSM difference = 1.14 </w:t>
      </w:r>
      <w:r w:rsidR="00BF314B">
        <w:t>(</w:t>
      </w:r>
      <w:r>
        <w:t>95% CI: 0.83, 1.45</w:t>
      </w:r>
      <w:r w:rsidR="00BF314B">
        <w:t>)</w:t>
      </w:r>
      <w:r>
        <w:t>, p</w:t>
      </w:r>
      <w:r w:rsidR="00FF2748">
        <w:t xml:space="preserve"> </w:t>
      </w:r>
      <w:r>
        <w:t>&lt;</w:t>
      </w:r>
      <w:r w:rsidR="00BF314B">
        <w:t xml:space="preserve"> </w:t>
      </w:r>
      <w:r>
        <w:t xml:space="preserve">0.0001). Greater healing was also observed in RGI-C knee and wrist scores. Changes in mean RSS scores were consistent with those for RGC-I scores. Improvements in standing long leg radiographic abnormalities were greater at </w:t>
      </w:r>
      <w:r w:rsidR="00BF314B">
        <w:t>W</w:t>
      </w:r>
      <w:r>
        <w:t xml:space="preserve">eeks 40 and 64. Improvements in height/recumbent length Z scores and growth velocity were generally consistent with improvements in long leg radiographic abnormalities assessed by RGI-C scores. In children aged ≥ </w:t>
      </w:r>
      <w:r w:rsidR="009E60B0">
        <w:t>five</w:t>
      </w:r>
      <w:r>
        <w:t xml:space="preserve"> years, walking ability assessed by the </w:t>
      </w:r>
      <w:proofErr w:type="gramStart"/>
      <w:r>
        <w:t>6</w:t>
      </w:r>
      <w:r w:rsidR="009E60B0">
        <w:t xml:space="preserve"> minute</w:t>
      </w:r>
      <w:proofErr w:type="gramEnd"/>
      <w:r w:rsidR="009E60B0">
        <w:t xml:space="preserve"> walk test</w:t>
      </w:r>
      <w:r>
        <w:t xml:space="preserve"> increased from </w:t>
      </w:r>
      <w:r w:rsidR="00656613">
        <w:t>B</w:t>
      </w:r>
      <w:r>
        <w:t xml:space="preserve">aseline to </w:t>
      </w:r>
      <w:r w:rsidR="00656613">
        <w:t>W</w:t>
      </w:r>
      <w:r>
        <w:t xml:space="preserve">eeks 40 and 64 to a greater extent in the </w:t>
      </w:r>
      <w:proofErr w:type="spellStart"/>
      <w:r>
        <w:t>burosumab</w:t>
      </w:r>
      <w:proofErr w:type="spellEnd"/>
      <w:r>
        <w:t xml:space="preserve"> group compared to placebo. In children aged ≥ </w:t>
      </w:r>
      <w:r w:rsidR="009E60B0">
        <w:t>five</w:t>
      </w:r>
      <w:r>
        <w:t xml:space="preserve"> years, improvements in the </w:t>
      </w:r>
      <w:r w:rsidR="00656613">
        <w:t>Patient Reported Outcome Measurement Information System (</w:t>
      </w:r>
      <w:r>
        <w:t>PROMIS</w:t>
      </w:r>
      <w:r w:rsidR="00656613">
        <w:t>)</w:t>
      </w:r>
      <w:r>
        <w:t xml:space="preserve"> pain interference, physical function and fatigue domain scores favoured the </w:t>
      </w:r>
      <w:proofErr w:type="spellStart"/>
      <w:r>
        <w:t>burosumab</w:t>
      </w:r>
      <w:proofErr w:type="spellEnd"/>
      <w:r>
        <w:t xml:space="preserve"> group</w:t>
      </w:r>
      <w:r w:rsidR="00EB273C">
        <w:t>.</w:t>
      </w:r>
    </w:p>
    <w:p w14:paraId="0153C047" w14:textId="1BDFA5D7" w:rsidR="003978F4" w:rsidRDefault="003978F4" w:rsidP="003978F4">
      <w:r>
        <w:t xml:space="preserve">The submission presents data from 175 adults and 135 children aged </w:t>
      </w:r>
      <w:r w:rsidR="009E60B0">
        <w:t>one</w:t>
      </w:r>
      <w:r w:rsidR="00656613">
        <w:t xml:space="preserve"> to </w:t>
      </w:r>
      <w:r>
        <w:t xml:space="preserve">12 treated with </w:t>
      </w:r>
      <w:proofErr w:type="spellStart"/>
      <w:r>
        <w:t>burosumab</w:t>
      </w:r>
      <w:proofErr w:type="spellEnd"/>
      <w:r>
        <w:t xml:space="preserve"> for XLH. The risks of </w:t>
      </w:r>
      <w:proofErr w:type="spellStart"/>
      <w:r>
        <w:t>burosumab</w:t>
      </w:r>
      <w:proofErr w:type="spellEnd"/>
      <w:r>
        <w:t xml:space="preserve"> treatment in adults with XLH </w:t>
      </w:r>
      <w:proofErr w:type="gramStart"/>
      <w:r>
        <w:t>are considered to be</w:t>
      </w:r>
      <w:proofErr w:type="gramEnd"/>
      <w:r>
        <w:t xml:space="preserve"> acceptable, based on the safety data in Study UX023-CL303 with no new safety signals identified in the open label treatment or treatment continuation or extension periods. Limitations of the safety data include the lack of data in subjects treated for </w:t>
      </w:r>
      <w:r w:rsidR="00BF314B">
        <w:t>three</w:t>
      </w:r>
      <w:r>
        <w:t xml:space="preserve"> years or more. The optimal duration of treatment in adults not known but is anticipated to be long</w:t>
      </w:r>
      <w:r w:rsidR="00BF314B">
        <w:t xml:space="preserve"> </w:t>
      </w:r>
      <w:r>
        <w:t xml:space="preserve">term. In addition, adult trial subjects in </w:t>
      </w:r>
      <w:r w:rsidR="00656613">
        <w:t>S</w:t>
      </w:r>
      <w:r>
        <w:t xml:space="preserve">tudy UX023-CL303 had significant morbidity associated with XLH and it is uncertain whether individuals with less severe disease would derive a similar benefit from </w:t>
      </w:r>
      <w:proofErr w:type="spellStart"/>
      <w:r>
        <w:t>burosumab</w:t>
      </w:r>
      <w:proofErr w:type="spellEnd"/>
      <w:r>
        <w:t xml:space="preserve"> therapy.</w:t>
      </w:r>
    </w:p>
    <w:p w14:paraId="0504268F" w14:textId="77777777" w:rsidR="003978F4" w:rsidRDefault="003978F4" w:rsidP="003978F4">
      <w:r>
        <w:t xml:space="preserve">The safety profile of </w:t>
      </w:r>
      <w:proofErr w:type="spellStart"/>
      <w:r>
        <w:t>burosumab</w:t>
      </w:r>
      <w:proofErr w:type="spellEnd"/>
      <w:r>
        <w:t xml:space="preserve"> treatment in children with XLH was satisfactorily demonstrated. The major safety concerns with </w:t>
      </w:r>
      <w:proofErr w:type="spellStart"/>
      <w:r>
        <w:t>burosumab</w:t>
      </w:r>
      <w:proofErr w:type="spellEnd"/>
      <w:r>
        <w:t xml:space="preserve"> treatment in children related to injection site reactions, hypersensitivity reactions and dental abscess. </w:t>
      </w:r>
      <w:proofErr w:type="gramStart"/>
      <w:r>
        <w:t>Similar to</w:t>
      </w:r>
      <w:proofErr w:type="gramEnd"/>
      <w:r>
        <w:t xml:space="preserve"> the concerns outlined above for adult patients, it is uncertain how long treatment with </w:t>
      </w:r>
      <w:proofErr w:type="spellStart"/>
      <w:r>
        <w:t>burosumab</w:t>
      </w:r>
      <w:proofErr w:type="spellEnd"/>
      <w:r>
        <w:t xml:space="preserve"> should continue. There are no clinical data for children as they transition to adults and no data for children who recommence </w:t>
      </w:r>
      <w:proofErr w:type="spellStart"/>
      <w:r>
        <w:t>burosumab</w:t>
      </w:r>
      <w:proofErr w:type="spellEnd"/>
      <w:r>
        <w:t xml:space="preserve"> therapy as adults. Children included in the study had significant radiographic evidence of bone disease, it is unclear whether children with less severe disease would receive similar benefits from </w:t>
      </w:r>
      <w:proofErr w:type="spellStart"/>
      <w:r>
        <w:t>burosumab</w:t>
      </w:r>
      <w:proofErr w:type="spellEnd"/>
      <w:r>
        <w:t xml:space="preserve"> treatment.</w:t>
      </w:r>
    </w:p>
    <w:p w14:paraId="7B718684" w14:textId="411B8E62" w:rsidR="00EB273C" w:rsidRDefault="003978F4" w:rsidP="003978F4">
      <w:r>
        <w:t xml:space="preserve">The </w:t>
      </w:r>
      <w:r w:rsidR="00515122">
        <w:t>D</w:t>
      </w:r>
      <w:r>
        <w:t>elegate ha</w:t>
      </w:r>
      <w:r w:rsidR="00656613">
        <w:t>d</w:t>
      </w:r>
      <w:r>
        <w:t xml:space="preserve"> concerns regarding the limited data available for adolescent patients (aged 13</w:t>
      </w:r>
      <w:r w:rsidR="00656613">
        <w:t xml:space="preserve"> to </w:t>
      </w:r>
      <w:r>
        <w:t xml:space="preserve">17 years). Despite the lack of trial data for adolescent patients, the extrapolation of efficacy and safety from the adult and paediatric population is likely acceptable. However, it is unclear whether the choice of dosing regimen is optimal and whether the transition to adult dosing should occur earlier than the recommended </w:t>
      </w:r>
      <w:r>
        <w:lastRenderedPageBreak/>
        <w:t>18</w:t>
      </w:r>
      <w:r w:rsidR="00D32D0E">
        <w:t> </w:t>
      </w:r>
      <w:r>
        <w:t xml:space="preserve">years of age. The recommended starting does in this patient population is 0.8 mg/kg </w:t>
      </w:r>
      <w:r w:rsidR="00BF314B">
        <w:t>once every two weeks</w:t>
      </w:r>
      <w:r>
        <w:t xml:space="preserve">, which can be titrated up to a dose of 2 mg/kg </w:t>
      </w:r>
      <w:r w:rsidR="00BF314B">
        <w:t>once every two weeks</w:t>
      </w:r>
      <w:r>
        <w:t xml:space="preserve"> to achieve the target phosphorous level. This is the same dosing regimen as that proposed for children (</w:t>
      </w:r>
      <w:r w:rsidR="009E60B0">
        <w:t>one</w:t>
      </w:r>
      <w:r w:rsidR="009769E8">
        <w:t xml:space="preserve"> to </w:t>
      </w:r>
      <w:r>
        <w:t xml:space="preserve">12 years). The adolescent dosing regimen was selected based on modelling and simulations using interpolation between the adult and paediatric XLH populations. Burosumab exposure estimates are predicted to be greater following </w:t>
      </w:r>
      <w:proofErr w:type="spellStart"/>
      <w:r>
        <w:t>burosumab</w:t>
      </w:r>
      <w:proofErr w:type="spellEnd"/>
      <w:r>
        <w:t xml:space="preserve"> 0.8 mg/kg </w:t>
      </w:r>
      <w:r w:rsidR="00BF314B">
        <w:t>once every two weeks</w:t>
      </w:r>
      <w:r>
        <w:t xml:space="preserve"> dosing relative to </w:t>
      </w:r>
      <w:proofErr w:type="spellStart"/>
      <w:r>
        <w:t>burosumab</w:t>
      </w:r>
      <w:proofErr w:type="spellEnd"/>
      <w:r>
        <w:t xml:space="preserve"> 1 mg/kg </w:t>
      </w:r>
      <w:r w:rsidR="00BF314B">
        <w:t>once every four weeks</w:t>
      </w:r>
      <w:r>
        <w:t xml:space="preserve"> dosing, with </w:t>
      </w:r>
      <w:proofErr w:type="spellStart"/>
      <w:r>
        <w:t>C</w:t>
      </w:r>
      <w:r w:rsidRPr="009769E8">
        <w:rPr>
          <w:vertAlign w:val="subscript"/>
        </w:rPr>
        <w:t>min</w:t>
      </w:r>
      <w:proofErr w:type="spellEnd"/>
      <w:r>
        <w:t xml:space="preserve">, </w:t>
      </w:r>
      <w:proofErr w:type="spellStart"/>
      <w:r>
        <w:t>C</w:t>
      </w:r>
      <w:r w:rsidRPr="009769E8">
        <w:rPr>
          <w:vertAlign w:val="subscript"/>
        </w:rPr>
        <w:t>avg</w:t>
      </w:r>
      <w:proofErr w:type="spellEnd"/>
      <w:r>
        <w:t xml:space="preserve">, and </w:t>
      </w:r>
      <w:proofErr w:type="spellStart"/>
      <w:r>
        <w:t>C</w:t>
      </w:r>
      <w:r w:rsidRPr="009769E8">
        <w:rPr>
          <w:vertAlign w:val="subscript"/>
        </w:rPr>
        <w:t>max</w:t>
      </w:r>
      <w:proofErr w:type="spellEnd"/>
      <w:r>
        <w:t xml:space="preserve"> being 2.11</w:t>
      </w:r>
      <w:r w:rsidR="00D32D0E">
        <w:noBreakHyphen/>
      </w:r>
      <w:r>
        <w:t>fold, 1.57</w:t>
      </w:r>
      <w:r w:rsidR="00D32D0E">
        <w:noBreakHyphen/>
      </w:r>
      <w:r>
        <w:t>fold, and 1.31</w:t>
      </w:r>
      <w:r w:rsidR="00D32D0E">
        <w:noBreakHyphen/>
      </w:r>
      <w:r>
        <w:t xml:space="preserve">fold greater, respectively. The predicted increases in serum </w:t>
      </w:r>
      <w:proofErr w:type="spellStart"/>
      <w:r>
        <w:t>burosumab</w:t>
      </w:r>
      <w:proofErr w:type="spellEnd"/>
      <w:r>
        <w:t xml:space="preserve"> exposure for </w:t>
      </w:r>
      <w:r w:rsidR="00BF314B">
        <w:t>once every two weeks</w:t>
      </w:r>
      <w:r>
        <w:t xml:space="preserve"> dosing relative to </w:t>
      </w:r>
      <w:r w:rsidR="00BF314B">
        <w:t>once every four weeks</w:t>
      </w:r>
      <w:r>
        <w:t xml:space="preserve"> dosing translate into predicted increases from </w:t>
      </w:r>
      <w:r w:rsidR="00BF314B">
        <w:t>B</w:t>
      </w:r>
      <w:r>
        <w:t xml:space="preserve">aseline in serum phosphorus </w:t>
      </w:r>
      <w:proofErr w:type="spellStart"/>
      <w:r>
        <w:t>C</w:t>
      </w:r>
      <w:r w:rsidRPr="009769E8">
        <w:rPr>
          <w:vertAlign w:val="subscript"/>
        </w:rPr>
        <w:t>min</w:t>
      </w:r>
      <w:proofErr w:type="spellEnd"/>
      <w:r>
        <w:t xml:space="preserve">, </w:t>
      </w:r>
      <w:proofErr w:type="spellStart"/>
      <w:r>
        <w:t>C</w:t>
      </w:r>
      <w:r w:rsidRPr="009769E8">
        <w:rPr>
          <w:vertAlign w:val="subscript"/>
        </w:rPr>
        <w:t>avg</w:t>
      </w:r>
      <w:proofErr w:type="spellEnd"/>
      <w:r>
        <w:t xml:space="preserve">, and </w:t>
      </w:r>
      <w:proofErr w:type="spellStart"/>
      <w:r>
        <w:t>C</w:t>
      </w:r>
      <w:r w:rsidRPr="009769E8">
        <w:rPr>
          <w:vertAlign w:val="subscript"/>
        </w:rPr>
        <w:t>max</w:t>
      </w:r>
      <w:proofErr w:type="spellEnd"/>
      <w:r>
        <w:t xml:space="preserve"> of approximately 1.44</w:t>
      </w:r>
      <w:r w:rsidR="00D32D0E">
        <w:noBreakHyphen/>
      </w:r>
      <w:r>
        <w:t>fold, 1.13</w:t>
      </w:r>
      <w:r w:rsidR="00D32D0E">
        <w:noBreakHyphen/>
      </w:r>
      <w:r>
        <w:t>fold, and 1.23</w:t>
      </w:r>
      <w:r w:rsidR="00D32D0E">
        <w:noBreakHyphen/>
      </w:r>
      <w:r>
        <w:t xml:space="preserve">fold, respectively. The </w:t>
      </w:r>
      <w:r w:rsidR="00515122">
        <w:t>s</w:t>
      </w:r>
      <w:r>
        <w:t xml:space="preserve">ponsor considers the </w:t>
      </w:r>
      <w:r w:rsidR="00BF314B">
        <w:t>once every two weeks</w:t>
      </w:r>
      <w:r>
        <w:t xml:space="preserve"> regimen to offer advantages of greater </w:t>
      </w:r>
      <w:proofErr w:type="spellStart"/>
      <w:r>
        <w:t>burosumab</w:t>
      </w:r>
      <w:proofErr w:type="spellEnd"/>
      <w:r>
        <w:t xml:space="preserve"> and serum phosphorus levels in adolescent patients given the greater rate of growth from 12 to 17 years of age relative to adults greater </w:t>
      </w:r>
      <w:proofErr w:type="spellStart"/>
      <w:r>
        <w:t>burosumab</w:t>
      </w:r>
      <w:proofErr w:type="spellEnd"/>
      <w:r>
        <w:t xml:space="preserve"> exposures and greater serum phosphorus levels, with reduced variability in </w:t>
      </w:r>
      <w:proofErr w:type="spellStart"/>
      <w:r>
        <w:t>burosumab</w:t>
      </w:r>
      <w:proofErr w:type="spellEnd"/>
      <w:r>
        <w:t xml:space="preserve"> exposures. The </w:t>
      </w:r>
      <w:r w:rsidR="00515122">
        <w:t>s</w:t>
      </w:r>
      <w:r>
        <w:t xml:space="preserve">ponsor considers the benefit of greater exposures and less variability in peak to trough </w:t>
      </w:r>
      <w:proofErr w:type="spellStart"/>
      <w:r>
        <w:t>burosumab</w:t>
      </w:r>
      <w:proofErr w:type="spellEnd"/>
      <w:r>
        <w:t xml:space="preserve"> levels to be important for growing adolescent patients. By the age of 18 years, the importance of these factors is lower as bone growth and maturity begins to slow relative to the early adolescent development. </w:t>
      </w:r>
      <w:r w:rsidRPr="00BA6EE6">
        <w:t xml:space="preserve">Adolescents transition from the paediatric dosing regimen to the adult dosing regimen of 1 mg/kg </w:t>
      </w:r>
      <w:r w:rsidR="00BF314B" w:rsidRPr="00BA6EE6">
        <w:t>once every four weeks</w:t>
      </w:r>
      <w:r w:rsidRPr="00BA6EE6">
        <w:t xml:space="preserve"> at 18 years. The transition and associated initial decrease in exposure may result in reductions</w:t>
      </w:r>
      <w:r>
        <w:t xml:space="preserve"> in serum phosphorus exposure parameters. It will take an estimated three months to achieve a new serum </w:t>
      </w:r>
      <w:proofErr w:type="spellStart"/>
      <w:r>
        <w:t>burosumab</w:t>
      </w:r>
      <w:proofErr w:type="spellEnd"/>
      <w:r>
        <w:t xml:space="preserve"> steady</w:t>
      </w:r>
      <w:r w:rsidR="00BF314B">
        <w:t xml:space="preserve"> </w:t>
      </w:r>
      <w:r>
        <w:t xml:space="preserve">state following the change from </w:t>
      </w:r>
      <w:r w:rsidR="00BF314B">
        <w:t>once every two weeks</w:t>
      </w:r>
      <w:r>
        <w:t xml:space="preserve"> to </w:t>
      </w:r>
      <w:r w:rsidR="00BF314B">
        <w:t>once every four weeks</w:t>
      </w:r>
      <w:r>
        <w:t xml:space="preserve"> dosing. Once this new </w:t>
      </w:r>
      <w:proofErr w:type="spellStart"/>
      <w:r>
        <w:t>burosumab</w:t>
      </w:r>
      <w:proofErr w:type="spellEnd"/>
      <w:r>
        <w:t xml:space="preserve"> steady</w:t>
      </w:r>
      <w:r w:rsidR="00BF314B">
        <w:t xml:space="preserve"> </w:t>
      </w:r>
      <w:r>
        <w:t>state level is reached, serum phosphorus levels are expected to achieve and maintain the targeted range</w:t>
      </w:r>
      <w:r w:rsidR="00EB273C">
        <w:t>.</w:t>
      </w:r>
    </w:p>
    <w:p w14:paraId="60D0303D" w14:textId="5D77E4B9" w:rsidR="003978F4" w:rsidRDefault="003978F4" w:rsidP="003978F4">
      <w:r>
        <w:t xml:space="preserve">The </w:t>
      </w:r>
      <w:r w:rsidR="00515122">
        <w:t>D</w:t>
      </w:r>
      <w:r>
        <w:t xml:space="preserve">elegate </w:t>
      </w:r>
      <w:r w:rsidR="00BA6EE6">
        <w:t xml:space="preserve">seeks </w:t>
      </w:r>
      <w:r>
        <w:t xml:space="preserve">the </w:t>
      </w:r>
      <w:r w:rsidR="009E60B0">
        <w:t>C</w:t>
      </w:r>
      <w:r>
        <w:t xml:space="preserve">ommittee’s advice as to whether a statement in the Crysvita </w:t>
      </w:r>
      <w:r w:rsidR="009769E8">
        <w:t>Product Information (</w:t>
      </w:r>
      <w:r>
        <w:t>PI</w:t>
      </w:r>
      <w:r w:rsidR="009769E8">
        <w:t>)</w:t>
      </w:r>
      <w:r>
        <w:t xml:space="preserve"> recommending the use of contraception in women of childbearing age is warranted</w:t>
      </w:r>
      <w:r w:rsidRPr="003F3AE8">
        <w:t xml:space="preserve">. The RMP evaluator requested the proposed PI include such a statement after noting that </w:t>
      </w:r>
      <w:r w:rsidR="001A0170">
        <w:t>European Union Summary of Product Characteristics</w:t>
      </w:r>
      <w:r w:rsidRPr="003F3AE8">
        <w:t xml:space="preserve"> states ‘</w:t>
      </w:r>
      <w:r w:rsidRPr="00990159">
        <w:rPr>
          <w:i/>
          <w:iCs/>
        </w:rPr>
        <w:t>C</w:t>
      </w:r>
      <w:r w:rsidR="00515122" w:rsidRPr="00990159">
        <w:rPr>
          <w:i/>
          <w:iCs/>
        </w:rPr>
        <w:t>rysvita</w:t>
      </w:r>
      <w:r w:rsidRPr="00990159">
        <w:rPr>
          <w:i/>
          <w:iCs/>
        </w:rPr>
        <w:t xml:space="preserve"> is not recommended during pregnancy and in women of childbearing potential not using contraception</w:t>
      </w:r>
      <w:r w:rsidRPr="003F3AE8">
        <w:t>’</w:t>
      </w:r>
      <w:r w:rsidR="009769E8" w:rsidRPr="003F3AE8">
        <w:t>.</w:t>
      </w:r>
      <w:r w:rsidR="0066610E" w:rsidRPr="003F3AE8">
        <w:rPr>
          <w:rStyle w:val="FootnoteReference"/>
        </w:rPr>
        <w:footnoteReference w:id="11"/>
      </w:r>
      <w:r w:rsidRPr="003F3AE8">
        <w:t xml:space="preserve"> A similar statement is not included in the U</w:t>
      </w:r>
      <w:r w:rsidR="00F3302E">
        <w:t>nited States of American</w:t>
      </w:r>
      <w:r w:rsidRPr="003F3AE8">
        <w:t xml:space="preserve"> P</w:t>
      </w:r>
      <w:r w:rsidR="00F3302E">
        <w:t>roduct Information</w:t>
      </w:r>
      <w:r w:rsidRPr="003F3AE8">
        <w:t xml:space="preserve"> or H</w:t>
      </w:r>
      <w:r w:rsidR="00F3302E">
        <w:t>ealth Canada Product Monographs</w:t>
      </w:r>
      <w:r w:rsidRPr="003F3AE8">
        <w:t>. The nonclinical evaluator did not</w:t>
      </w:r>
      <w:r>
        <w:t xml:space="preserve"> consider a statement to this effect necessary given the level of concern arising from the animal data. The proposed PI states that </w:t>
      </w:r>
      <w:proofErr w:type="spellStart"/>
      <w:r>
        <w:t>burosumab</w:t>
      </w:r>
      <w:proofErr w:type="spellEnd"/>
      <w:r>
        <w:t xml:space="preserve"> is not recommended for use in pregnancy. The </w:t>
      </w:r>
      <w:r w:rsidR="00515122">
        <w:t>D</w:t>
      </w:r>
      <w:r>
        <w:t>elegate suggest</w:t>
      </w:r>
      <w:r w:rsidR="00BA6EE6">
        <w:t>s</w:t>
      </w:r>
      <w:r>
        <w:t xml:space="preserve"> including a statement that contraception be considered in sexually active women and adolescents although this is not a standard statement for Pregnancy Category B3 medicines.</w:t>
      </w:r>
      <w:r w:rsidR="00BA6EE6">
        <w:fldChar w:fldCharType="begin"/>
      </w:r>
      <w:r w:rsidR="00BA6EE6">
        <w:instrText xml:space="preserve"> NOTEREF _Ref96447275 \f \h </w:instrText>
      </w:r>
      <w:r w:rsidR="00BA6EE6">
        <w:fldChar w:fldCharType="separate"/>
      </w:r>
      <w:r w:rsidR="00604074" w:rsidRPr="00604074">
        <w:rPr>
          <w:rStyle w:val="FootnoteReference"/>
        </w:rPr>
        <w:t>6</w:t>
      </w:r>
      <w:r w:rsidR="00BA6EE6">
        <w:fldChar w:fldCharType="end"/>
      </w:r>
    </w:p>
    <w:p w14:paraId="6A2B86BA" w14:textId="3BC3DD13" w:rsidR="00456765" w:rsidRPr="00456765" w:rsidRDefault="003978F4" w:rsidP="003978F4">
      <w:r>
        <w:t>The proposed PI allows for the initiation of treatment by non</w:t>
      </w:r>
      <w:r w:rsidR="00BF314B">
        <w:t xml:space="preserve"> </w:t>
      </w:r>
      <w:r>
        <w:t xml:space="preserve">specialist practitioners. The </w:t>
      </w:r>
      <w:r w:rsidR="00BA6EE6">
        <w:t>EU</w:t>
      </w:r>
      <w:r w:rsidR="001A0170">
        <w:t xml:space="preserve"> </w:t>
      </w:r>
      <w:r w:rsidR="00BA6EE6">
        <w:t>s</w:t>
      </w:r>
      <w:r w:rsidR="001A0170">
        <w:t xml:space="preserve">ummary of </w:t>
      </w:r>
      <w:r w:rsidR="00BA6EE6">
        <w:t>p</w:t>
      </w:r>
      <w:r w:rsidR="001A0170">
        <w:t xml:space="preserve">roduct </w:t>
      </w:r>
      <w:r w:rsidR="00BA6EE6">
        <w:t>c</w:t>
      </w:r>
      <w:r w:rsidR="001A0170">
        <w:t>haracteristics</w:t>
      </w:r>
      <w:r>
        <w:t xml:space="preserve"> includes a statement limiting the initiation of treatment to physicians experienced in the management of patients with metabolic bone disease. A similar statement is that also includes the monitoring of patients is included in the indications in the indications in the H</w:t>
      </w:r>
      <w:r w:rsidR="00F3302E">
        <w:t xml:space="preserve">ealth Canada </w:t>
      </w:r>
      <w:r w:rsidR="00BA6EE6">
        <w:t>p</w:t>
      </w:r>
      <w:r w:rsidR="00F3302E">
        <w:t xml:space="preserve">roduct </w:t>
      </w:r>
      <w:r w:rsidR="00BA6EE6">
        <w:t>m</w:t>
      </w:r>
      <w:r w:rsidR="00F3302E">
        <w:t>onographs</w:t>
      </w:r>
      <w:r>
        <w:t xml:space="preserve"> (</w:t>
      </w:r>
      <w:r w:rsidR="008F7694">
        <w:t xml:space="preserve">see </w:t>
      </w:r>
      <w:r w:rsidR="00EA53AC">
        <w:fldChar w:fldCharType="begin"/>
      </w:r>
      <w:r w:rsidR="00EA53AC">
        <w:instrText xml:space="preserve"> REF _Ref92374033 \h </w:instrText>
      </w:r>
      <w:r w:rsidR="00EA53AC">
        <w:fldChar w:fldCharType="separate"/>
      </w:r>
      <w:r w:rsidR="00604074">
        <w:t xml:space="preserve">Table </w:t>
      </w:r>
      <w:r w:rsidR="00604074">
        <w:rPr>
          <w:noProof/>
        </w:rPr>
        <w:t>1</w:t>
      </w:r>
      <w:r w:rsidR="00EA53AC">
        <w:fldChar w:fldCharType="end"/>
      </w:r>
      <w:r>
        <w:t xml:space="preserve">). The </w:t>
      </w:r>
      <w:r w:rsidR="00515122">
        <w:t>D</w:t>
      </w:r>
      <w:r>
        <w:t>elegate suggest</w:t>
      </w:r>
      <w:r w:rsidR="00A912F5">
        <w:t>ed</w:t>
      </w:r>
      <w:r>
        <w:t xml:space="preserve"> including a statement in section 4.2 of the PI restricting the initiation and supervision of treatment to specialist medical practitioners experienced in the management of patients with metabolic bone disease.</w:t>
      </w:r>
    </w:p>
    <w:p w14:paraId="22DC73C6" w14:textId="715EC39A" w:rsidR="00D23139" w:rsidRDefault="00D23139" w:rsidP="00D23139">
      <w:pPr>
        <w:pStyle w:val="Heading4"/>
      </w:pPr>
      <w:r w:rsidRPr="00D23139">
        <w:lastRenderedPageBreak/>
        <w:t>Proposed action</w:t>
      </w:r>
    </w:p>
    <w:p w14:paraId="5B82E407" w14:textId="54F416D6" w:rsidR="008C121B" w:rsidRPr="008C121B" w:rsidRDefault="008C121B" w:rsidP="008C121B">
      <w:r w:rsidRPr="008C121B">
        <w:t xml:space="preserve">Subject to committee advice, the </w:t>
      </w:r>
      <w:r w:rsidR="00515122">
        <w:t>D</w:t>
      </w:r>
      <w:r w:rsidRPr="008C121B">
        <w:t xml:space="preserve">elegate’s preliminary view tends towards a favourable benefit-risk profile for </w:t>
      </w:r>
      <w:proofErr w:type="spellStart"/>
      <w:r w:rsidRPr="008C121B">
        <w:t>Crysvita</w:t>
      </w:r>
      <w:proofErr w:type="spellEnd"/>
      <w:r w:rsidRPr="008C121B">
        <w:t xml:space="preserve"> (</w:t>
      </w:r>
      <w:proofErr w:type="spellStart"/>
      <w:r w:rsidRPr="008C121B">
        <w:t>burosumab</w:t>
      </w:r>
      <w:proofErr w:type="spellEnd"/>
      <w:r w:rsidRPr="008C121B">
        <w:t xml:space="preserve">) for the treatment of XLH in adult, </w:t>
      </w:r>
      <w:proofErr w:type="gramStart"/>
      <w:r w:rsidRPr="008C121B">
        <w:t>adolescent</w:t>
      </w:r>
      <w:proofErr w:type="gramEnd"/>
      <w:r w:rsidRPr="008C121B">
        <w:t xml:space="preserve"> and paediatric patients </w:t>
      </w:r>
      <w:r w:rsidR="00BF314B">
        <w:t>one</w:t>
      </w:r>
      <w:r w:rsidRPr="008C121B">
        <w:t xml:space="preserve"> year of age or older.</w:t>
      </w:r>
    </w:p>
    <w:p w14:paraId="34F38347" w14:textId="77777777" w:rsidR="007D53B6" w:rsidRDefault="007D53B6" w:rsidP="007D53B6">
      <w:pPr>
        <w:pStyle w:val="Heading4"/>
      </w:pPr>
      <w:r>
        <w:t xml:space="preserve">Questions for </w:t>
      </w:r>
      <w:r w:rsidR="00744121">
        <w:t xml:space="preserve">the </w:t>
      </w:r>
      <w:r>
        <w:t>sponsor</w:t>
      </w:r>
    </w:p>
    <w:p w14:paraId="7CFFFA41" w14:textId="64FC32E7" w:rsidR="00744121" w:rsidRDefault="00744121" w:rsidP="00744121">
      <w:r>
        <w:t>The sponsor provided the following response to questions from the Delegate.</w:t>
      </w:r>
    </w:p>
    <w:p w14:paraId="3A39A91A" w14:textId="4A912D2D" w:rsidR="00B70926" w:rsidRPr="00B70926" w:rsidRDefault="00B70926" w:rsidP="00B70926">
      <w:pPr>
        <w:pStyle w:val="Numberbullet0"/>
        <w:rPr>
          <w:b/>
          <w:bCs/>
          <w:i/>
          <w:iCs/>
        </w:rPr>
      </w:pPr>
      <w:r w:rsidRPr="00B70926">
        <w:rPr>
          <w:b/>
          <w:bCs/>
          <w:i/>
          <w:iCs/>
        </w:rPr>
        <w:t xml:space="preserve">Please provide an update on the current international regulatory status of similar submissions </w:t>
      </w:r>
      <w:proofErr w:type="gramStart"/>
      <w:r w:rsidRPr="00B70926">
        <w:rPr>
          <w:b/>
          <w:bCs/>
          <w:i/>
          <w:iCs/>
        </w:rPr>
        <w:t>overseas?</w:t>
      </w:r>
      <w:proofErr w:type="gramEnd"/>
      <w:r w:rsidRPr="00B70926">
        <w:rPr>
          <w:b/>
          <w:bCs/>
          <w:i/>
          <w:iCs/>
        </w:rPr>
        <w:t xml:space="preserve"> </w:t>
      </w:r>
      <w:proofErr w:type="gramStart"/>
      <w:r w:rsidRPr="00B70926">
        <w:rPr>
          <w:b/>
          <w:bCs/>
          <w:i/>
          <w:iCs/>
        </w:rPr>
        <w:t>Have</w:t>
      </w:r>
      <w:proofErr w:type="gramEnd"/>
      <w:r w:rsidRPr="00B70926">
        <w:rPr>
          <w:b/>
          <w:bCs/>
          <w:i/>
          <w:iCs/>
        </w:rPr>
        <w:t xml:space="preserve"> the submission been rejected, withdrawn or deferred in any country or region?</w:t>
      </w:r>
    </w:p>
    <w:p w14:paraId="3E7EED5E" w14:textId="3D85EFDF" w:rsidR="00B70926" w:rsidRDefault="00B70926" w:rsidP="00B70926">
      <w:r w:rsidRPr="00B70926">
        <w:t xml:space="preserve">The </w:t>
      </w:r>
      <w:r w:rsidR="004B53C0">
        <w:t xml:space="preserve">sponsor provided the </w:t>
      </w:r>
      <w:r w:rsidRPr="00B70926">
        <w:t xml:space="preserve">updated international regulatory status </w:t>
      </w:r>
      <w:r w:rsidR="004B53C0">
        <w:t xml:space="preserve">as </w:t>
      </w:r>
      <w:r w:rsidR="009204C4">
        <w:t xml:space="preserve">per </w:t>
      </w:r>
      <w:r w:rsidR="004B53C0">
        <w:t>below</w:t>
      </w:r>
      <w:r w:rsidR="009204C4">
        <w:t xml:space="preserve"> (</w:t>
      </w:r>
      <w:r w:rsidR="009204C4">
        <w:fldChar w:fldCharType="begin"/>
      </w:r>
      <w:r w:rsidR="009204C4">
        <w:instrText xml:space="preserve"> REF _Ref95401679 \h </w:instrText>
      </w:r>
      <w:r w:rsidR="009204C4">
        <w:fldChar w:fldCharType="separate"/>
      </w:r>
      <w:r w:rsidR="00604074">
        <w:t xml:space="preserve">Table </w:t>
      </w:r>
      <w:r w:rsidR="00604074">
        <w:rPr>
          <w:noProof/>
        </w:rPr>
        <w:t>8</w:t>
      </w:r>
      <w:r w:rsidR="009204C4">
        <w:fldChar w:fldCharType="end"/>
      </w:r>
      <w:r w:rsidR="009204C4">
        <w:t>)</w:t>
      </w:r>
      <w:r w:rsidRPr="00B70926">
        <w:t xml:space="preserve">. There has been no rejection, withdrawal, or deferral for the </w:t>
      </w:r>
      <w:proofErr w:type="spellStart"/>
      <w:r w:rsidRPr="00B70926">
        <w:t>burosumab</w:t>
      </w:r>
      <w:proofErr w:type="spellEnd"/>
      <w:r w:rsidRPr="00B70926">
        <w:t xml:space="preserve"> submission so far.</w:t>
      </w:r>
    </w:p>
    <w:p w14:paraId="44C88CBC" w14:textId="19448EFF" w:rsidR="00A7070A" w:rsidRDefault="009204C4" w:rsidP="009204C4">
      <w:pPr>
        <w:pStyle w:val="TableTitle"/>
      </w:pPr>
      <w:bookmarkStart w:id="58" w:name="_Ref95401679"/>
      <w:r>
        <w:t xml:space="preserve">Table </w:t>
      </w:r>
      <w:r>
        <w:fldChar w:fldCharType="begin"/>
      </w:r>
      <w:r>
        <w:instrText>SEQ Table \* ARABIC</w:instrText>
      </w:r>
      <w:r>
        <w:fldChar w:fldCharType="separate"/>
      </w:r>
      <w:r w:rsidR="00604074">
        <w:rPr>
          <w:noProof/>
        </w:rPr>
        <w:t>8</w:t>
      </w:r>
      <w:r>
        <w:fldChar w:fldCharType="end"/>
      </w:r>
      <w:bookmarkEnd w:id="58"/>
      <w:r>
        <w:t xml:space="preserve">: </w:t>
      </w:r>
      <w:r w:rsidRPr="009A6538">
        <w:t>International regulatory status</w:t>
      </w:r>
      <w:r>
        <w:t xml:space="preserve"> of selected countries</w:t>
      </w:r>
    </w:p>
    <w:tbl>
      <w:tblPr>
        <w:tblStyle w:val="TableTGAblue"/>
        <w:tblW w:w="0" w:type="auto"/>
        <w:tblLook w:val="04A0" w:firstRow="1" w:lastRow="0" w:firstColumn="1" w:lastColumn="0" w:noHBand="0" w:noVBand="1"/>
      </w:tblPr>
      <w:tblGrid>
        <w:gridCol w:w="2080"/>
        <w:gridCol w:w="2075"/>
        <w:gridCol w:w="2078"/>
        <w:gridCol w:w="2251"/>
      </w:tblGrid>
      <w:tr w:rsidR="003E2082" w14:paraId="178AFD0A" w14:textId="77777777" w:rsidTr="00796061">
        <w:trPr>
          <w:cnfStyle w:val="100000000000" w:firstRow="1" w:lastRow="0" w:firstColumn="0" w:lastColumn="0" w:oddVBand="0" w:evenVBand="0" w:oddHBand="0" w:evenHBand="0" w:firstRowFirstColumn="0" w:firstRowLastColumn="0" w:lastRowFirstColumn="0" w:lastRowLastColumn="0"/>
        </w:trPr>
        <w:tc>
          <w:tcPr>
            <w:tcW w:w="2080" w:type="dxa"/>
          </w:tcPr>
          <w:p w14:paraId="52132849" w14:textId="77777777" w:rsidR="003E2082" w:rsidRDefault="003E2082" w:rsidP="00796061">
            <w:pPr>
              <w:ind w:left="0" w:right="0"/>
            </w:pPr>
            <w:r>
              <w:t>Region</w:t>
            </w:r>
          </w:p>
        </w:tc>
        <w:tc>
          <w:tcPr>
            <w:tcW w:w="2075" w:type="dxa"/>
          </w:tcPr>
          <w:p w14:paraId="43FD489E" w14:textId="77777777" w:rsidR="003E2082" w:rsidRDefault="003E2082" w:rsidP="00796061">
            <w:pPr>
              <w:ind w:left="0" w:right="0"/>
            </w:pPr>
            <w:r>
              <w:t>Submission date</w:t>
            </w:r>
          </w:p>
        </w:tc>
        <w:tc>
          <w:tcPr>
            <w:tcW w:w="2078" w:type="dxa"/>
          </w:tcPr>
          <w:p w14:paraId="66D7B5E7" w14:textId="77777777" w:rsidR="003E2082" w:rsidRDefault="003E2082" w:rsidP="00796061">
            <w:pPr>
              <w:ind w:left="0" w:right="0"/>
            </w:pPr>
            <w:r>
              <w:t>Status</w:t>
            </w:r>
          </w:p>
        </w:tc>
        <w:tc>
          <w:tcPr>
            <w:tcW w:w="2251" w:type="dxa"/>
          </w:tcPr>
          <w:p w14:paraId="7C6A5D52" w14:textId="77777777" w:rsidR="003E2082" w:rsidRDefault="003E2082" w:rsidP="00796061">
            <w:pPr>
              <w:ind w:left="0" w:right="0"/>
            </w:pPr>
            <w:r>
              <w:t>Approved indications</w:t>
            </w:r>
          </w:p>
        </w:tc>
      </w:tr>
      <w:tr w:rsidR="003E2082" w:rsidRPr="00C254C2" w14:paraId="6D0A9B28" w14:textId="77777777" w:rsidTr="00796061">
        <w:tc>
          <w:tcPr>
            <w:tcW w:w="2080" w:type="dxa"/>
            <w:vMerge w:val="restart"/>
          </w:tcPr>
          <w:p w14:paraId="4A1A31FD" w14:textId="77777777" w:rsidR="003E2082" w:rsidRDefault="003E2082" w:rsidP="00796061">
            <w:pPr>
              <w:ind w:left="0"/>
            </w:pPr>
            <w:r w:rsidRPr="00B067EA">
              <w:t>European Union (EU)– centralised procedure</w:t>
            </w:r>
            <w:r>
              <w:t xml:space="preserve"> </w:t>
            </w:r>
          </w:p>
        </w:tc>
        <w:tc>
          <w:tcPr>
            <w:tcW w:w="2075" w:type="dxa"/>
          </w:tcPr>
          <w:p w14:paraId="12E8C74B" w14:textId="41DECD46" w:rsidR="003E2082" w:rsidRDefault="003E2082" w:rsidP="00796061">
            <w:pPr>
              <w:ind w:left="0" w:right="0"/>
            </w:pPr>
            <w:r>
              <w:t>30 November 2016</w:t>
            </w:r>
          </w:p>
        </w:tc>
        <w:tc>
          <w:tcPr>
            <w:tcW w:w="2078" w:type="dxa"/>
          </w:tcPr>
          <w:p w14:paraId="2F69B723" w14:textId="1B75D90A" w:rsidR="003E2082" w:rsidRDefault="003E2082" w:rsidP="00796061">
            <w:pPr>
              <w:ind w:left="0" w:right="0"/>
            </w:pPr>
            <w:r>
              <w:t>Approved on 19 February 2018</w:t>
            </w:r>
          </w:p>
        </w:tc>
        <w:tc>
          <w:tcPr>
            <w:tcW w:w="2251" w:type="dxa"/>
          </w:tcPr>
          <w:p w14:paraId="05A383F9" w14:textId="5B2D4971" w:rsidR="003E2082" w:rsidRPr="00C254C2" w:rsidRDefault="003E2082" w:rsidP="00796061">
            <w:pPr>
              <w:ind w:left="0"/>
              <w:rPr>
                <w:i/>
                <w:iCs/>
              </w:rPr>
            </w:pPr>
            <w:r w:rsidRPr="00C254C2">
              <w:rPr>
                <w:i/>
                <w:iCs/>
              </w:rPr>
              <w:t xml:space="preserve">The treatment of X-linked </w:t>
            </w:r>
            <w:proofErr w:type="spellStart"/>
            <w:r w:rsidRPr="00C254C2">
              <w:rPr>
                <w:i/>
                <w:iCs/>
              </w:rPr>
              <w:t>hypophosphataemia</w:t>
            </w:r>
            <w:proofErr w:type="spellEnd"/>
            <w:r w:rsidRPr="00C254C2">
              <w:rPr>
                <w:i/>
                <w:iCs/>
              </w:rPr>
              <w:t xml:space="preserve"> (XLH) with radiographic evidence of bone disease in children </w:t>
            </w:r>
            <w:r w:rsidR="00A239EA">
              <w:rPr>
                <w:i/>
                <w:iCs/>
              </w:rPr>
              <w:t>one</w:t>
            </w:r>
            <w:r w:rsidRPr="00C254C2">
              <w:rPr>
                <w:i/>
                <w:iCs/>
              </w:rPr>
              <w:t xml:space="preserve"> year of age and older and adolescents with growing skeletons</w:t>
            </w:r>
          </w:p>
        </w:tc>
      </w:tr>
      <w:tr w:rsidR="003E2082" w:rsidRPr="00C254C2" w14:paraId="73E60130" w14:textId="77777777" w:rsidTr="00796061">
        <w:tc>
          <w:tcPr>
            <w:tcW w:w="2080" w:type="dxa"/>
            <w:vMerge/>
          </w:tcPr>
          <w:p w14:paraId="4AEF341C" w14:textId="77777777" w:rsidR="003E2082" w:rsidRDefault="003E2082" w:rsidP="00796061">
            <w:pPr>
              <w:ind w:left="0" w:right="0"/>
            </w:pPr>
          </w:p>
        </w:tc>
        <w:tc>
          <w:tcPr>
            <w:tcW w:w="2075" w:type="dxa"/>
          </w:tcPr>
          <w:p w14:paraId="55AEE346" w14:textId="77777777" w:rsidR="003E2082" w:rsidRDefault="003E2082" w:rsidP="00796061">
            <w:pPr>
              <w:ind w:left="0" w:right="0"/>
            </w:pPr>
            <w:r>
              <w:t>27 August 2019</w:t>
            </w:r>
          </w:p>
        </w:tc>
        <w:tc>
          <w:tcPr>
            <w:tcW w:w="2078" w:type="dxa"/>
          </w:tcPr>
          <w:p w14:paraId="3151CAC0" w14:textId="77777777" w:rsidR="003E2082" w:rsidRDefault="003E2082" w:rsidP="00796061">
            <w:pPr>
              <w:ind w:left="0"/>
            </w:pPr>
            <w:r>
              <w:t>Approved 30 September 2020</w:t>
            </w:r>
          </w:p>
        </w:tc>
        <w:tc>
          <w:tcPr>
            <w:tcW w:w="2251" w:type="dxa"/>
          </w:tcPr>
          <w:p w14:paraId="29DBE4D1" w14:textId="4819F2DC" w:rsidR="003E2082" w:rsidRPr="00C254C2" w:rsidRDefault="003E2082" w:rsidP="00796061">
            <w:pPr>
              <w:ind w:left="0"/>
              <w:rPr>
                <w:i/>
                <w:iCs/>
              </w:rPr>
            </w:pPr>
            <w:r w:rsidRPr="00C254C2">
              <w:rPr>
                <w:i/>
                <w:iCs/>
              </w:rPr>
              <w:t xml:space="preserve">The treatment of XLH, in children and adolescents aged </w:t>
            </w:r>
            <w:r w:rsidR="00A239EA">
              <w:rPr>
                <w:i/>
                <w:iCs/>
              </w:rPr>
              <w:t>one</w:t>
            </w:r>
            <w:r w:rsidRPr="00C254C2">
              <w:rPr>
                <w:i/>
                <w:iCs/>
              </w:rPr>
              <w:t xml:space="preserve"> to 17 years with radiographic evidence of bone disease, and in adults </w:t>
            </w:r>
          </w:p>
        </w:tc>
      </w:tr>
      <w:tr w:rsidR="003E2082" w:rsidRPr="00C254C2" w14:paraId="0F38F4E3" w14:textId="77777777" w:rsidTr="00796061">
        <w:tc>
          <w:tcPr>
            <w:tcW w:w="2080" w:type="dxa"/>
            <w:vMerge/>
          </w:tcPr>
          <w:p w14:paraId="59C8716B" w14:textId="77777777" w:rsidR="003E2082" w:rsidRDefault="003E2082" w:rsidP="00796061"/>
        </w:tc>
        <w:tc>
          <w:tcPr>
            <w:tcW w:w="2075" w:type="dxa"/>
          </w:tcPr>
          <w:p w14:paraId="79B3EDC2" w14:textId="77777777" w:rsidR="003E2082" w:rsidRDefault="003E2082" w:rsidP="00796061">
            <w:pPr>
              <w:ind w:left="0"/>
            </w:pPr>
            <w:r>
              <w:t>17 December 2020</w:t>
            </w:r>
          </w:p>
        </w:tc>
        <w:tc>
          <w:tcPr>
            <w:tcW w:w="2078" w:type="dxa"/>
          </w:tcPr>
          <w:p w14:paraId="06B52E28" w14:textId="77777777" w:rsidR="003E2082" w:rsidRDefault="003E2082" w:rsidP="00796061">
            <w:pPr>
              <w:ind w:left="0"/>
            </w:pPr>
            <w:r>
              <w:t>Pending</w:t>
            </w:r>
          </w:p>
        </w:tc>
        <w:tc>
          <w:tcPr>
            <w:tcW w:w="2251" w:type="dxa"/>
          </w:tcPr>
          <w:p w14:paraId="6FB85F9D" w14:textId="2229A47E" w:rsidR="003E2082" w:rsidRPr="00C254C2" w:rsidRDefault="003E2082" w:rsidP="00796061">
            <w:pPr>
              <w:ind w:left="0"/>
              <w:rPr>
                <w:i/>
                <w:iCs/>
              </w:rPr>
            </w:pPr>
            <w:r w:rsidRPr="00C254C2">
              <w:rPr>
                <w:i/>
                <w:iCs/>
              </w:rPr>
              <w:t xml:space="preserve">The treatment of FGF23-related </w:t>
            </w:r>
            <w:proofErr w:type="spellStart"/>
            <w:r w:rsidRPr="00C254C2">
              <w:rPr>
                <w:i/>
                <w:iCs/>
              </w:rPr>
              <w:t>hypophosphataemia</w:t>
            </w:r>
            <w:proofErr w:type="spellEnd"/>
            <w:r w:rsidRPr="00C254C2">
              <w:rPr>
                <w:i/>
                <w:iCs/>
              </w:rPr>
              <w:t xml:space="preserve"> in tumour-induced </w:t>
            </w:r>
            <w:proofErr w:type="spellStart"/>
            <w:r w:rsidRPr="00C254C2">
              <w:rPr>
                <w:i/>
                <w:iCs/>
              </w:rPr>
              <w:t>osteomalacia</w:t>
            </w:r>
            <w:proofErr w:type="spellEnd"/>
            <w:r w:rsidRPr="00C254C2">
              <w:rPr>
                <w:i/>
                <w:iCs/>
              </w:rPr>
              <w:t xml:space="preserve"> (TIO) associated with </w:t>
            </w:r>
            <w:proofErr w:type="spellStart"/>
            <w:r w:rsidRPr="00C254C2">
              <w:rPr>
                <w:i/>
                <w:iCs/>
              </w:rPr>
              <w:t>phosphaturic</w:t>
            </w:r>
            <w:proofErr w:type="spellEnd"/>
            <w:r w:rsidRPr="00C254C2">
              <w:rPr>
                <w:i/>
                <w:iCs/>
              </w:rPr>
              <w:t xml:space="preserve"> mesenchymal tumours that cannot be curatively resected or localised in patients aged </w:t>
            </w:r>
            <w:r w:rsidR="00A239EA">
              <w:rPr>
                <w:i/>
                <w:iCs/>
              </w:rPr>
              <w:t>one</w:t>
            </w:r>
            <w:r w:rsidRPr="00C254C2">
              <w:rPr>
                <w:i/>
                <w:iCs/>
              </w:rPr>
              <w:t xml:space="preserve"> year and over </w:t>
            </w:r>
          </w:p>
        </w:tc>
      </w:tr>
      <w:tr w:rsidR="003E2082" w:rsidRPr="00C254C2" w14:paraId="3E914DC0" w14:textId="77777777" w:rsidTr="00796061">
        <w:tc>
          <w:tcPr>
            <w:tcW w:w="2080" w:type="dxa"/>
            <w:vMerge w:val="restart"/>
          </w:tcPr>
          <w:p w14:paraId="17175CD8" w14:textId="77777777" w:rsidR="003E2082" w:rsidRDefault="003E2082" w:rsidP="00796061">
            <w:pPr>
              <w:ind w:left="0"/>
            </w:pPr>
            <w:r>
              <w:lastRenderedPageBreak/>
              <w:t>USA</w:t>
            </w:r>
          </w:p>
        </w:tc>
        <w:tc>
          <w:tcPr>
            <w:tcW w:w="2075" w:type="dxa"/>
          </w:tcPr>
          <w:p w14:paraId="76517CAB" w14:textId="77777777" w:rsidR="003E2082" w:rsidRDefault="003E2082" w:rsidP="00796061">
            <w:pPr>
              <w:ind w:left="0"/>
            </w:pPr>
            <w:r>
              <w:t>17 August 2017</w:t>
            </w:r>
          </w:p>
        </w:tc>
        <w:tc>
          <w:tcPr>
            <w:tcW w:w="2078" w:type="dxa"/>
          </w:tcPr>
          <w:p w14:paraId="2F28A0C9" w14:textId="77777777" w:rsidR="003E2082" w:rsidRDefault="003E2082" w:rsidP="00796061">
            <w:pPr>
              <w:ind w:left="0"/>
            </w:pPr>
            <w:r>
              <w:t>Approved on 17 April 2018</w:t>
            </w:r>
          </w:p>
        </w:tc>
        <w:tc>
          <w:tcPr>
            <w:tcW w:w="2251" w:type="dxa"/>
          </w:tcPr>
          <w:p w14:paraId="44AD11D1" w14:textId="7F450517" w:rsidR="003E2082" w:rsidRPr="00C254C2" w:rsidRDefault="003E2082" w:rsidP="00796061">
            <w:pPr>
              <w:ind w:left="0"/>
              <w:rPr>
                <w:i/>
                <w:iCs/>
              </w:rPr>
            </w:pPr>
            <w:r w:rsidRPr="00C254C2">
              <w:rPr>
                <w:i/>
                <w:iCs/>
              </w:rPr>
              <w:t xml:space="preserve">The treatment of XLH in adult and paediatric patients </w:t>
            </w:r>
            <w:r w:rsidR="00A239EA">
              <w:rPr>
                <w:i/>
                <w:iCs/>
              </w:rPr>
              <w:t>one</w:t>
            </w:r>
            <w:r w:rsidRPr="00C254C2">
              <w:rPr>
                <w:i/>
                <w:iCs/>
              </w:rPr>
              <w:t xml:space="preserve"> year of age and older</w:t>
            </w:r>
            <w:r>
              <w:rPr>
                <w:i/>
                <w:iCs/>
              </w:rPr>
              <w:t xml:space="preserve"> </w:t>
            </w:r>
          </w:p>
        </w:tc>
      </w:tr>
      <w:tr w:rsidR="003E2082" w:rsidRPr="00C254C2" w14:paraId="0334CBE8" w14:textId="77777777" w:rsidTr="00796061">
        <w:tc>
          <w:tcPr>
            <w:tcW w:w="2080" w:type="dxa"/>
            <w:vMerge/>
          </w:tcPr>
          <w:p w14:paraId="67609BE2" w14:textId="77777777" w:rsidR="003E2082" w:rsidRDefault="003E2082" w:rsidP="00796061"/>
        </w:tc>
        <w:tc>
          <w:tcPr>
            <w:tcW w:w="2075" w:type="dxa"/>
          </w:tcPr>
          <w:p w14:paraId="004924D7" w14:textId="77777777" w:rsidR="003E2082" w:rsidRDefault="003E2082" w:rsidP="00796061">
            <w:pPr>
              <w:ind w:left="0"/>
            </w:pPr>
            <w:r>
              <w:t>11 December 2018</w:t>
            </w:r>
          </w:p>
          <w:p w14:paraId="111709A0" w14:textId="77777777" w:rsidR="003E2082" w:rsidRDefault="003E2082" w:rsidP="00796061">
            <w:pPr>
              <w:ind w:left="0"/>
            </w:pPr>
            <w:r>
              <w:t>29 March 2019</w:t>
            </w:r>
          </w:p>
        </w:tc>
        <w:tc>
          <w:tcPr>
            <w:tcW w:w="2078" w:type="dxa"/>
          </w:tcPr>
          <w:p w14:paraId="3BD8F779" w14:textId="77777777" w:rsidR="003E2082" w:rsidRDefault="003E2082" w:rsidP="00796061">
            <w:pPr>
              <w:ind w:left="0"/>
            </w:pPr>
            <w:r>
              <w:t>Approved 27 September 2019</w:t>
            </w:r>
          </w:p>
        </w:tc>
        <w:tc>
          <w:tcPr>
            <w:tcW w:w="2251" w:type="dxa"/>
          </w:tcPr>
          <w:p w14:paraId="0D9AB595" w14:textId="1062F6E7" w:rsidR="003E2082" w:rsidRPr="00C254C2" w:rsidRDefault="003E2082" w:rsidP="00796061">
            <w:pPr>
              <w:ind w:left="0"/>
              <w:rPr>
                <w:i/>
                <w:iCs/>
              </w:rPr>
            </w:pPr>
            <w:r w:rsidRPr="00C254C2">
              <w:rPr>
                <w:i/>
                <w:iCs/>
              </w:rPr>
              <w:t xml:space="preserve">The treatment of XLH in adult and paediatric patients </w:t>
            </w:r>
            <w:r w:rsidR="00A239EA">
              <w:rPr>
                <w:i/>
                <w:iCs/>
              </w:rPr>
              <w:t xml:space="preserve">six </w:t>
            </w:r>
            <w:r w:rsidRPr="00C254C2">
              <w:rPr>
                <w:i/>
                <w:iCs/>
              </w:rPr>
              <w:t>months of age and older</w:t>
            </w:r>
          </w:p>
        </w:tc>
      </w:tr>
      <w:tr w:rsidR="003E2082" w:rsidRPr="00C254C2" w14:paraId="7CECDCAF" w14:textId="77777777" w:rsidTr="00796061">
        <w:tc>
          <w:tcPr>
            <w:tcW w:w="2080" w:type="dxa"/>
            <w:vMerge/>
          </w:tcPr>
          <w:p w14:paraId="1B7F2E4B" w14:textId="77777777" w:rsidR="003E2082" w:rsidRDefault="003E2082" w:rsidP="00796061"/>
        </w:tc>
        <w:tc>
          <w:tcPr>
            <w:tcW w:w="2075" w:type="dxa"/>
          </w:tcPr>
          <w:p w14:paraId="791FB0C3" w14:textId="77777777" w:rsidR="003E2082" w:rsidRDefault="003E2082" w:rsidP="00796061">
            <w:pPr>
              <w:ind w:left="0"/>
            </w:pPr>
            <w:r>
              <w:t>18 December 2019</w:t>
            </w:r>
          </w:p>
        </w:tc>
        <w:tc>
          <w:tcPr>
            <w:tcW w:w="2078" w:type="dxa"/>
          </w:tcPr>
          <w:p w14:paraId="4FCD1E8D" w14:textId="77777777" w:rsidR="003E2082" w:rsidRDefault="003E2082" w:rsidP="00796061">
            <w:pPr>
              <w:ind w:left="0"/>
            </w:pPr>
            <w:r>
              <w:t>Approved on 18 June 2020</w:t>
            </w:r>
          </w:p>
        </w:tc>
        <w:tc>
          <w:tcPr>
            <w:tcW w:w="2251" w:type="dxa"/>
          </w:tcPr>
          <w:p w14:paraId="0B19EEDA" w14:textId="26BA98CC" w:rsidR="003E2082" w:rsidRPr="00C254C2" w:rsidRDefault="003E2082" w:rsidP="00796061">
            <w:pPr>
              <w:ind w:left="0"/>
              <w:rPr>
                <w:i/>
                <w:iCs/>
              </w:rPr>
            </w:pPr>
            <w:r w:rsidRPr="004D4B6E">
              <w:rPr>
                <w:i/>
                <w:iCs/>
              </w:rPr>
              <w:t xml:space="preserve">The treatment of FGF23-related </w:t>
            </w:r>
            <w:proofErr w:type="spellStart"/>
            <w:r w:rsidRPr="004D4B6E">
              <w:rPr>
                <w:i/>
                <w:iCs/>
              </w:rPr>
              <w:t>hypophosphataemia</w:t>
            </w:r>
            <w:proofErr w:type="spellEnd"/>
            <w:r w:rsidRPr="004D4B6E">
              <w:rPr>
                <w:i/>
                <w:iCs/>
              </w:rPr>
              <w:t xml:space="preserve"> in TIO associated with </w:t>
            </w:r>
            <w:proofErr w:type="spellStart"/>
            <w:r w:rsidRPr="004D4B6E">
              <w:rPr>
                <w:i/>
                <w:iCs/>
              </w:rPr>
              <w:t>phosphaturic</w:t>
            </w:r>
            <w:proofErr w:type="spellEnd"/>
            <w:r w:rsidRPr="004D4B6E">
              <w:rPr>
                <w:i/>
                <w:iCs/>
              </w:rPr>
              <w:t xml:space="preserve"> mesenchymal tumours that cannot be curatively resected or localised in adult and paediatric patients </w:t>
            </w:r>
            <w:r w:rsidR="00A239EA">
              <w:rPr>
                <w:i/>
                <w:iCs/>
              </w:rPr>
              <w:t>two</w:t>
            </w:r>
            <w:r w:rsidRPr="004D4B6E">
              <w:rPr>
                <w:i/>
                <w:iCs/>
              </w:rPr>
              <w:t xml:space="preserve"> years of age and older</w:t>
            </w:r>
            <w:r>
              <w:rPr>
                <w:i/>
                <w:iCs/>
              </w:rPr>
              <w:t xml:space="preserve"> </w:t>
            </w:r>
          </w:p>
        </w:tc>
      </w:tr>
      <w:tr w:rsidR="003E2082" w:rsidRPr="004D4B6E" w14:paraId="6FBD6F6E" w14:textId="77777777" w:rsidTr="00796061">
        <w:tc>
          <w:tcPr>
            <w:tcW w:w="2080" w:type="dxa"/>
            <w:vMerge w:val="restart"/>
          </w:tcPr>
          <w:p w14:paraId="25DB2E52" w14:textId="77777777" w:rsidR="003E2082" w:rsidRDefault="003E2082" w:rsidP="00796061">
            <w:pPr>
              <w:ind w:left="0"/>
            </w:pPr>
            <w:r>
              <w:t>Canada</w:t>
            </w:r>
          </w:p>
        </w:tc>
        <w:tc>
          <w:tcPr>
            <w:tcW w:w="2075" w:type="dxa"/>
          </w:tcPr>
          <w:p w14:paraId="648CC64B" w14:textId="77777777" w:rsidR="003E2082" w:rsidRDefault="003E2082" w:rsidP="00796061">
            <w:pPr>
              <w:ind w:left="0"/>
            </w:pPr>
            <w:r>
              <w:t>11 May 2018</w:t>
            </w:r>
          </w:p>
        </w:tc>
        <w:tc>
          <w:tcPr>
            <w:tcW w:w="2078" w:type="dxa"/>
          </w:tcPr>
          <w:p w14:paraId="07A02888" w14:textId="77777777" w:rsidR="003E2082" w:rsidRDefault="003E2082" w:rsidP="00796061">
            <w:pPr>
              <w:ind w:left="0"/>
            </w:pPr>
            <w:r>
              <w:t>Approved on 5 December 2018</w:t>
            </w:r>
          </w:p>
        </w:tc>
        <w:tc>
          <w:tcPr>
            <w:tcW w:w="2251" w:type="dxa"/>
          </w:tcPr>
          <w:p w14:paraId="263F917F" w14:textId="7A49A21C" w:rsidR="003E2082" w:rsidRPr="004D4B6E" w:rsidRDefault="003E2082" w:rsidP="00796061">
            <w:pPr>
              <w:ind w:left="0"/>
              <w:rPr>
                <w:i/>
                <w:iCs/>
              </w:rPr>
            </w:pPr>
            <w:r w:rsidRPr="004D4B6E">
              <w:rPr>
                <w:i/>
                <w:iCs/>
              </w:rPr>
              <w:t xml:space="preserve">The treatment of XLH in adult and paediatric patients </w:t>
            </w:r>
            <w:r w:rsidR="00A239EA">
              <w:rPr>
                <w:i/>
                <w:iCs/>
              </w:rPr>
              <w:t>one</w:t>
            </w:r>
            <w:r w:rsidRPr="004D4B6E">
              <w:rPr>
                <w:i/>
                <w:iCs/>
              </w:rPr>
              <w:t xml:space="preserve"> year of age and older</w:t>
            </w:r>
          </w:p>
        </w:tc>
      </w:tr>
      <w:tr w:rsidR="003E2082" w:rsidRPr="004D4B6E" w14:paraId="1FE5330B" w14:textId="77777777" w:rsidTr="00796061">
        <w:tc>
          <w:tcPr>
            <w:tcW w:w="2080" w:type="dxa"/>
            <w:vMerge/>
          </w:tcPr>
          <w:p w14:paraId="5168B4F0" w14:textId="77777777" w:rsidR="003E2082" w:rsidRDefault="003E2082" w:rsidP="00796061"/>
        </w:tc>
        <w:tc>
          <w:tcPr>
            <w:tcW w:w="2075" w:type="dxa"/>
          </w:tcPr>
          <w:p w14:paraId="38F23D45" w14:textId="77777777" w:rsidR="003E2082" w:rsidRDefault="003E2082" w:rsidP="00796061">
            <w:pPr>
              <w:ind w:left="0"/>
            </w:pPr>
            <w:r>
              <w:t>28 June 2019</w:t>
            </w:r>
          </w:p>
        </w:tc>
        <w:tc>
          <w:tcPr>
            <w:tcW w:w="2078" w:type="dxa"/>
          </w:tcPr>
          <w:p w14:paraId="402550FD" w14:textId="77777777" w:rsidR="003E2082" w:rsidRDefault="003E2082" w:rsidP="00796061">
            <w:pPr>
              <w:ind w:left="0"/>
            </w:pPr>
            <w:r>
              <w:t>Approved on 16 June 2020</w:t>
            </w:r>
          </w:p>
        </w:tc>
        <w:tc>
          <w:tcPr>
            <w:tcW w:w="2251" w:type="dxa"/>
          </w:tcPr>
          <w:p w14:paraId="72A0DA57" w14:textId="16490ABB" w:rsidR="003E2082" w:rsidRPr="004D4B6E" w:rsidRDefault="003E2082" w:rsidP="00796061">
            <w:pPr>
              <w:ind w:left="0"/>
              <w:rPr>
                <w:i/>
                <w:iCs/>
              </w:rPr>
            </w:pPr>
            <w:r w:rsidRPr="004D4B6E">
              <w:rPr>
                <w:i/>
                <w:iCs/>
              </w:rPr>
              <w:t xml:space="preserve">The treatment of XLH in adult and paediatric patients </w:t>
            </w:r>
            <w:r w:rsidR="00A239EA">
              <w:rPr>
                <w:i/>
                <w:iCs/>
              </w:rPr>
              <w:t>six</w:t>
            </w:r>
            <w:r w:rsidRPr="004D4B6E">
              <w:rPr>
                <w:i/>
                <w:iCs/>
              </w:rPr>
              <w:t xml:space="preserve"> months of age and older</w:t>
            </w:r>
            <w:r>
              <w:rPr>
                <w:i/>
                <w:iCs/>
              </w:rPr>
              <w:t xml:space="preserve"> </w:t>
            </w:r>
          </w:p>
        </w:tc>
      </w:tr>
      <w:tr w:rsidR="003E2082" w:rsidRPr="004D4B6E" w14:paraId="68B77253" w14:textId="77777777" w:rsidTr="00796061">
        <w:tc>
          <w:tcPr>
            <w:tcW w:w="2080" w:type="dxa"/>
            <w:vMerge/>
          </w:tcPr>
          <w:p w14:paraId="36E3F527" w14:textId="77777777" w:rsidR="003E2082" w:rsidRDefault="003E2082" w:rsidP="00796061"/>
        </w:tc>
        <w:tc>
          <w:tcPr>
            <w:tcW w:w="2075" w:type="dxa"/>
          </w:tcPr>
          <w:p w14:paraId="6240AFEF" w14:textId="77777777" w:rsidR="003E2082" w:rsidRDefault="003E2082" w:rsidP="00796061">
            <w:pPr>
              <w:ind w:left="0"/>
            </w:pPr>
            <w:r>
              <w:t xml:space="preserve">1 February </w:t>
            </w:r>
          </w:p>
        </w:tc>
        <w:tc>
          <w:tcPr>
            <w:tcW w:w="2078" w:type="dxa"/>
          </w:tcPr>
          <w:p w14:paraId="66AA4AB3" w14:textId="77777777" w:rsidR="003E2082" w:rsidRDefault="003E2082" w:rsidP="00796061">
            <w:pPr>
              <w:ind w:left="0"/>
            </w:pPr>
            <w:r>
              <w:t>Pending</w:t>
            </w:r>
          </w:p>
        </w:tc>
        <w:tc>
          <w:tcPr>
            <w:tcW w:w="2251" w:type="dxa"/>
          </w:tcPr>
          <w:p w14:paraId="2E009DEE" w14:textId="4E0B14CC" w:rsidR="003E2082" w:rsidRPr="004D4B6E" w:rsidRDefault="003E2082" w:rsidP="00796061">
            <w:pPr>
              <w:ind w:left="0"/>
              <w:rPr>
                <w:i/>
                <w:iCs/>
              </w:rPr>
            </w:pPr>
            <w:r w:rsidRPr="00FA5A11">
              <w:rPr>
                <w:i/>
                <w:iCs/>
              </w:rPr>
              <w:t xml:space="preserve">The treatment of FGF23-related </w:t>
            </w:r>
            <w:proofErr w:type="spellStart"/>
            <w:r w:rsidRPr="00FA5A11">
              <w:rPr>
                <w:i/>
                <w:iCs/>
              </w:rPr>
              <w:t>hypophosphataemia</w:t>
            </w:r>
            <w:proofErr w:type="spellEnd"/>
            <w:r w:rsidRPr="00FA5A11">
              <w:rPr>
                <w:i/>
                <w:iCs/>
              </w:rPr>
              <w:t xml:space="preserve"> in TIO associated with tumours that cannot be curatively resected or localised in adult and paediatric patients </w:t>
            </w:r>
            <w:r w:rsidR="00A239EA">
              <w:rPr>
                <w:i/>
                <w:iCs/>
              </w:rPr>
              <w:t>one</w:t>
            </w:r>
            <w:r w:rsidRPr="00FA5A11">
              <w:rPr>
                <w:i/>
                <w:iCs/>
              </w:rPr>
              <w:t xml:space="preserve"> year of age and older</w:t>
            </w:r>
            <w:r>
              <w:rPr>
                <w:i/>
                <w:iCs/>
              </w:rPr>
              <w:t xml:space="preserve"> </w:t>
            </w:r>
          </w:p>
        </w:tc>
      </w:tr>
      <w:tr w:rsidR="003E2082" w:rsidRPr="002E31CB" w14:paraId="34DCCA08" w14:textId="77777777" w:rsidTr="00796061">
        <w:tc>
          <w:tcPr>
            <w:tcW w:w="2080" w:type="dxa"/>
          </w:tcPr>
          <w:p w14:paraId="22124490" w14:textId="77777777" w:rsidR="003E2082" w:rsidRDefault="003E2082" w:rsidP="00796061">
            <w:pPr>
              <w:ind w:left="0"/>
            </w:pPr>
            <w:r>
              <w:lastRenderedPageBreak/>
              <w:t>Japan</w:t>
            </w:r>
          </w:p>
        </w:tc>
        <w:tc>
          <w:tcPr>
            <w:tcW w:w="2075" w:type="dxa"/>
          </w:tcPr>
          <w:p w14:paraId="31DD08E7" w14:textId="77777777" w:rsidR="003E2082" w:rsidRDefault="003E2082" w:rsidP="00796061">
            <w:pPr>
              <w:ind w:left="0"/>
            </w:pPr>
            <w:r>
              <w:t>7 January 2019</w:t>
            </w:r>
          </w:p>
        </w:tc>
        <w:tc>
          <w:tcPr>
            <w:tcW w:w="2078" w:type="dxa"/>
          </w:tcPr>
          <w:p w14:paraId="07AB4F6D" w14:textId="77777777" w:rsidR="003E2082" w:rsidRDefault="003E2082" w:rsidP="00796061">
            <w:pPr>
              <w:ind w:left="0"/>
            </w:pPr>
            <w:r>
              <w:t>Approved on 20 September 2019</w:t>
            </w:r>
          </w:p>
        </w:tc>
        <w:tc>
          <w:tcPr>
            <w:tcW w:w="2251" w:type="dxa"/>
          </w:tcPr>
          <w:p w14:paraId="5212C357" w14:textId="77777777" w:rsidR="003E2082" w:rsidRPr="002E31CB" w:rsidRDefault="003E2082" w:rsidP="00796061">
            <w:pPr>
              <w:ind w:left="0"/>
              <w:rPr>
                <w:i/>
                <w:iCs/>
              </w:rPr>
            </w:pPr>
            <w:r w:rsidRPr="002E31CB">
              <w:rPr>
                <w:i/>
                <w:iCs/>
              </w:rPr>
              <w:t xml:space="preserve">FGF23-related </w:t>
            </w:r>
            <w:proofErr w:type="spellStart"/>
            <w:r w:rsidRPr="002E31CB">
              <w:rPr>
                <w:i/>
                <w:iCs/>
              </w:rPr>
              <w:t>hypophosphataemic</w:t>
            </w:r>
            <w:proofErr w:type="spellEnd"/>
            <w:r w:rsidRPr="002E31CB">
              <w:rPr>
                <w:i/>
                <w:iCs/>
              </w:rPr>
              <w:t xml:space="preserve"> rickets and </w:t>
            </w:r>
            <w:proofErr w:type="spellStart"/>
            <w:r w:rsidRPr="002E31CB">
              <w:rPr>
                <w:i/>
                <w:iCs/>
              </w:rPr>
              <w:t>osteomalacia</w:t>
            </w:r>
            <w:proofErr w:type="spellEnd"/>
            <w:r w:rsidRPr="002E31CB">
              <w:rPr>
                <w:i/>
                <w:iCs/>
              </w:rPr>
              <w:t xml:space="preserve"> </w:t>
            </w:r>
          </w:p>
        </w:tc>
      </w:tr>
      <w:tr w:rsidR="003E2082" w:rsidRPr="002E31CB" w14:paraId="6532A515" w14:textId="77777777" w:rsidTr="00796061">
        <w:tc>
          <w:tcPr>
            <w:tcW w:w="2080" w:type="dxa"/>
          </w:tcPr>
          <w:p w14:paraId="153F5E30" w14:textId="77777777" w:rsidR="003E2082" w:rsidRDefault="003E2082" w:rsidP="00796061">
            <w:pPr>
              <w:ind w:left="0"/>
            </w:pPr>
            <w:r>
              <w:t>Switzerland</w:t>
            </w:r>
          </w:p>
        </w:tc>
        <w:tc>
          <w:tcPr>
            <w:tcW w:w="2075" w:type="dxa"/>
          </w:tcPr>
          <w:p w14:paraId="3B0D23A4" w14:textId="77777777" w:rsidR="003E2082" w:rsidRDefault="003E2082" w:rsidP="00796061">
            <w:pPr>
              <w:ind w:left="0"/>
            </w:pPr>
            <w:r>
              <w:t>31 August 2018</w:t>
            </w:r>
          </w:p>
        </w:tc>
        <w:tc>
          <w:tcPr>
            <w:tcW w:w="2078" w:type="dxa"/>
          </w:tcPr>
          <w:p w14:paraId="021D1A02" w14:textId="77777777" w:rsidR="003E2082" w:rsidRDefault="003E2082" w:rsidP="00796061">
            <w:pPr>
              <w:ind w:left="0"/>
            </w:pPr>
            <w:r>
              <w:t>Approved on 20 January 2020</w:t>
            </w:r>
          </w:p>
        </w:tc>
        <w:tc>
          <w:tcPr>
            <w:tcW w:w="2251" w:type="dxa"/>
          </w:tcPr>
          <w:p w14:paraId="317B6085" w14:textId="577DD2CB" w:rsidR="003E2082" w:rsidRPr="002E31CB" w:rsidRDefault="003E2082" w:rsidP="00796061">
            <w:pPr>
              <w:ind w:left="0"/>
              <w:rPr>
                <w:i/>
                <w:iCs/>
              </w:rPr>
            </w:pPr>
            <w:r w:rsidRPr="002E31CB">
              <w:rPr>
                <w:i/>
                <w:iCs/>
              </w:rPr>
              <w:t xml:space="preserve">The treatment of XLH in adults, </w:t>
            </w:r>
            <w:proofErr w:type="gramStart"/>
            <w:r w:rsidRPr="002E31CB">
              <w:rPr>
                <w:i/>
                <w:iCs/>
              </w:rPr>
              <w:t>adolescents</w:t>
            </w:r>
            <w:proofErr w:type="gramEnd"/>
            <w:r w:rsidRPr="002E31CB">
              <w:rPr>
                <w:i/>
                <w:iCs/>
              </w:rPr>
              <w:t xml:space="preserve"> and children </w:t>
            </w:r>
            <w:r w:rsidR="00A239EA">
              <w:rPr>
                <w:i/>
                <w:iCs/>
              </w:rPr>
              <w:t>one</w:t>
            </w:r>
            <w:r w:rsidRPr="002E31CB">
              <w:rPr>
                <w:i/>
                <w:iCs/>
              </w:rPr>
              <w:t xml:space="preserve"> year of age and older </w:t>
            </w:r>
          </w:p>
        </w:tc>
      </w:tr>
      <w:tr w:rsidR="003E2082" w:rsidRPr="002E31CB" w14:paraId="0E709128" w14:textId="77777777" w:rsidTr="00796061">
        <w:tc>
          <w:tcPr>
            <w:tcW w:w="2080" w:type="dxa"/>
          </w:tcPr>
          <w:p w14:paraId="62F41482" w14:textId="77777777" w:rsidR="003E2082" w:rsidRDefault="003E2082" w:rsidP="00796061">
            <w:pPr>
              <w:ind w:left="0"/>
            </w:pPr>
            <w:r>
              <w:t>Singapore</w:t>
            </w:r>
          </w:p>
        </w:tc>
        <w:tc>
          <w:tcPr>
            <w:tcW w:w="2075" w:type="dxa"/>
          </w:tcPr>
          <w:p w14:paraId="48C39F0F" w14:textId="77777777" w:rsidR="003E2082" w:rsidRDefault="003E2082" w:rsidP="00796061">
            <w:pPr>
              <w:ind w:left="0"/>
            </w:pPr>
            <w:r>
              <w:t>24 September 2019</w:t>
            </w:r>
          </w:p>
        </w:tc>
        <w:tc>
          <w:tcPr>
            <w:tcW w:w="2078" w:type="dxa"/>
          </w:tcPr>
          <w:p w14:paraId="13B9E881" w14:textId="77777777" w:rsidR="003E2082" w:rsidRDefault="003E2082" w:rsidP="00796061">
            <w:pPr>
              <w:ind w:left="0"/>
            </w:pPr>
            <w:r>
              <w:t>Pending</w:t>
            </w:r>
          </w:p>
        </w:tc>
        <w:tc>
          <w:tcPr>
            <w:tcW w:w="2251" w:type="dxa"/>
          </w:tcPr>
          <w:p w14:paraId="5E195F79" w14:textId="57514CED" w:rsidR="003E2082" w:rsidRPr="002E31CB" w:rsidRDefault="003E2082" w:rsidP="00796061">
            <w:pPr>
              <w:ind w:left="0"/>
              <w:rPr>
                <w:i/>
                <w:iCs/>
              </w:rPr>
            </w:pPr>
            <w:r w:rsidRPr="002E31CB">
              <w:rPr>
                <w:i/>
                <w:iCs/>
              </w:rPr>
              <w:t xml:space="preserve">The treatment of XLH in adult and paediatric patients </w:t>
            </w:r>
            <w:r w:rsidR="00593DF1">
              <w:rPr>
                <w:i/>
                <w:iCs/>
              </w:rPr>
              <w:t>one</w:t>
            </w:r>
            <w:r w:rsidRPr="002E31CB">
              <w:rPr>
                <w:i/>
                <w:iCs/>
              </w:rPr>
              <w:t xml:space="preserve"> year of age and older </w:t>
            </w:r>
          </w:p>
        </w:tc>
      </w:tr>
    </w:tbl>
    <w:p w14:paraId="00B59D75" w14:textId="0221FC0E" w:rsidR="00B70926" w:rsidRDefault="00B70926" w:rsidP="00B70926">
      <w:pPr>
        <w:pStyle w:val="Numberbullet0"/>
        <w:rPr>
          <w:b/>
          <w:bCs/>
          <w:i/>
          <w:iCs/>
        </w:rPr>
      </w:pPr>
      <w:r w:rsidRPr="00B70926">
        <w:rPr>
          <w:b/>
          <w:bCs/>
          <w:i/>
          <w:iCs/>
        </w:rPr>
        <w:t xml:space="preserve">The proposed PI indicates </w:t>
      </w:r>
      <w:proofErr w:type="spellStart"/>
      <w:r w:rsidRPr="00B70926">
        <w:rPr>
          <w:b/>
          <w:bCs/>
          <w:i/>
          <w:iCs/>
        </w:rPr>
        <w:t>burosumab</w:t>
      </w:r>
      <w:proofErr w:type="spellEnd"/>
      <w:r w:rsidRPr="00B70926">
        <w:rPr>
          <w:b/>
          <w:bCs/>
          <w:i/>
          <w:iCs/>
        </w:rPr>
        <w:t xml:space="preserve"> is intended for administration by a healthcare provider. It is noted that Study KRN23-003 assessed the feasibility of self-administration or administration by a family member. Does the </w:t>
      </w:r>
      <w:r w:rsidR="00515122">
        <w:rPr>
          <w:b/>
          <w:bCs/>
          <w:i/>
          <w:iCs/>
        </w:rPr>
        <w:t>s</w:t>
      </w:r>
      <w:r w:rsidRPr="00B70926">
        <w:rPr>
          <w:b/>
          <w:bCs/>
          <w:i/>
          <w:iCs/>
        </w:rPr>
        <w:t>ponsor intend to accommodate administration by a non-professional in the future?</w:t>
      </w:r>
    </w:p>
    <w:p w14:paraId="2338B4A7" w14:textId="593220A3" w:rsidR="00B70926" w:rsidRDefault="00B70926" w:rsidP="00B70926">
      <w:r w:rsidRPr="00B70926">
        <w:t xml:space="preserve">The </w:t>
      </w:r>
      <w:r w:rsidR="00515122">
        <w:t>s</w:t>
      </w:r>
      <w:r w:rsidRPr="00B70926">
        <w:t>ponsor has not yet decided whether to accommodate the administration by a non</w:t>
      </w:r>
      <w:r w:rsidR="008F7694">
        <w:noBreakHyphen/>
      </w:r>
      <w:r w:rsidRPr="00B70926">
        <w:t xml:space="preserve">professional at this time. In the future, the </w:t>
      </w:r>
      <w:r w:rsidR="00515122">
        <w:t>s</w:t>
      </w:r>
      <w:r w:rsidRPr="00B70926">
        <w:t>ponsor may consider this based on the medical needs of patients in each region.</w:t>
      </w:r>
    </w:p>
    <w:p w14:paraId="427E85A1" w14:textId="4A390DD1" w:rsidR="00B70926" w:rsidRDefault="00B70926" w:rsidP="00B70926">
      <w:pPr>
        <w:pStyle w:val="Numberbullet0"/>
        <w:rPr>
          <w:b/>
          <w:bCs/>
          <w:i/>
          <w:iCs/>
        </w:rPr>
      </w:pPr>
      <w:r w:rsidRPr="00B70926">
        <w:rPr>
          <w:b/>
          <w:bCs/>
          <w:i/>
          <w:iCs/>
        </w:rPr>
        <w:t xml:space="preserve">Will the planned post-authorisation </w:t>
      </w:r>
      <w:r w:rsidR="008F7694">
        <w:rPr>
          <w:b/>
          <w:bCs/>
          <w:i/>
          <w:iCs/>
        </w:rPr>
        <w:t xml:space="preserve">safety </w:t>
      </w:r>
      <w:r w:rsidRPr="00B70926">
        <w:rPr>
          <w:b/>
          <w:bCs/>
          <w:i/>
          <w:iCs/>
        </w:rPr>
        <w:t xml:space="preserve">studies (PASS) or post-market data examine the long-term effects of </w:t>
      </w:r>
      <w:proofErr w:type="spellStart"/>
      <w:r w:rsidRPr="00B70926">
        <w:rPr>
          <w:b/>
          <w:bCs/>
          <w:i/>
          <w:iCs/>
        </w:rPr>
        <w:t>burosumab</w:t>
      </w:r>
      <w:proofErr w:type="spellEnd"/>
      <w:r w:rsidRPr="00B70926">
        <w:rPr>
          <w:b/>
          <w:bCs/>
          <w:i/>
          <w:iCs/>
        </w:rPr>
        <w:t xml:space="preserve"> treatment with respect to bone mineral density, </w:t>
      </w:r>
      <w:proofErr w:type="spellStart"/>
      <w:r w:rsidRPr="00B70926">
        <w:rPr>
          <w:b/>
          <w:bCs/>
          <w:i/>
          <w:iCs/>
        </w:rPr>
        <w:t>nephrocalcinosis</w:t>
      </w:r>
      <w:proofErr w:type="spellEnd"/>
      <w:r w:rsidRPr="00B70926">
        <w:rPr>
          <w:b/>
          <w:bCs/>
          <w:i/>
          <w:iCs/>
        </w:rPr>
        <w:t xml:space="preserve"> or dental health?</w:t>
      </w:r>
    </w:p>
    <w:p w14:paraId="37967632" w14:textId="529F6D39" w:rsidR="00164E30" w:rsidRDefault="00164E30" w:rsidP="00AC0898">
      <w:r>
        <w:t xml:space="preserve">The </w:t>
      </w:r>
      <w:proofErr w:type="gramStart"/>
      <w:r>
        <w:t>long</w:t>
      </w:r>
      <w:r w:rsidR="00BA6EE6">
        <w:t xml:space="preserve"> </w:t>
      </w:r>
      <w:r>
        <w:t>term</w:t>
      </w:r>
      <w:proofErr w:type="gramEnd"/>
      <w:r>
        <w:t xml:space="preserve"> effects of </w:t>
      </w:r>
      <w:proofErr w:type="spellStart"/>
      <w:r>
        <w:t>burosumab</w:t>
      </w:r>
      <w:proofErr w:type="spellEnd"/>
      <w:r>
        <w:t xml:space="preserve"> treatment will be examined via routine and additional pharmacovigilance activities. Additional pharmacovigilance activities being conducted are the PASS in the EU and a XLH </w:t>
      </w:r>
      <w:r w:rsidR="00D85143">
        <w:t>D</w:t>
      </w:r>
      <w:r>
        <w:t xml:space="preserve">isease </w:t>
      </w:r>
      <w:r w:rsidR="00D85143">
        <w:t>M</w:t>
      </w:r>
      <w:r>
        <w:t xml:space="preserve">onitoring </w:t>
      </w:r>
      <w:r w:rsidR="00D85143">
        <w:t>P</w:t>
      </w:r>
      <w:r>
        <w:t>rogram</w:t>
      </w:r>
      <w:r w:rsidR="00BA6EE6">
        <w:t xml:space="preserve"> </w:t>
      </w:r>
      <w:r>
        <w:t>in North America and Latin America.</w:t>
      </w:r>
    </w:p>
    <w:p w14:paraId="224131BC" w14:textId="77777777" w:rsidR="00164E30" w:rsidRDefault="00164E30" w:rsidP="00AC0898">
      <w:r>
        <w:t>Post marketing routine pharmacovigilance is conducted according to regulatory requirements. Core procedures for routine pharmacovigilance practices for continuous monitoring and update of the safety profile include the following:</w:t>
      </w:r>
    </w:p>
    <w:p w14:paraId="3A1DBD68" w14:textId="7211BE5B" w:rsidR="00164E30" w:rsidRDefault="00164E30" w:rsidP="00AC0898">
      <w:pPr>
        <w:pStyle w:val="ListBullet"/>
      </w:pPr>
      <w:r>
        <w:t>Evaluation of individual case safety reports from all reporting sources</w:t>
      </w:r>
      <w:r w:rsidR="00BA6EE6">
        <w:t>.</w:t>
      </w:r>
    </w:p>
    <w:p w14:paraId="21F81CE5" w14:textId="2DC09BC6" w:rsidR="00164E30" w:rsidRDefault="00164E30" w:rsidP="00AC0898">
      <w:pPr>
        <w:pStyle w:val="ListBullet"/>
      </w:pPr>
      <w:r>
        <w:t>Review of aggregate safety data from all available sources</w:t>
      </w:r>
      <w:r w:rsidR="00BA6EE6">
        <w:t>.</w:t>
      </w:r>
    </w:p>
    <w:p w14:paraId="46793610" w14:textId="5124D85D" w:rsidR="00164E30" w:rsidRDefault="00164E30" w:rsidP="00AC0898">
      <w:pPr>
        <w:pStyle w:val="ListBullet"/>
      </w:pPr>
      <w:r>
        <w:t>Signal detection</w:t>
      </w:r>
      <w:r w:rsidR="00BA6EE6">
        <w:t>.</w:t>
      </w:r>
    </w:p>
    <w:p w14:paraId="331BD87C" w14:textId="0D8D5509" w:rsidR="00164E30" w:rsidRDefault="00164E30" w:rsidP="00AC0898">
      <w:pPr>
        <w:pStyle w:val="ListBullet"/>
      </w:pPr>
      <w:r>
        <w:t>Review of scientific literature with possible implication for product safety</w:t>
      </w:r>
      <w:r w:rsidR="00BA6EE6">
        <w:t>.</w:t>
      </w:r>
    </w:p>
    <w:p w14:paraId="4E4CCA43" w14:textId="6249A83E" w:rsidR="00164E30" w:rsidRDefault="00164E30" w:rsidP="00AC0898">
      <w:pPr>
        <w:pStyle w:val="ListBullet"/>
      </w:pPr>
      <w:r>
        <w:t>Safety reporting to regulatory authorities in accordance with applicable regulation/legislation</w:t>
      </w:r>
      <w:r w:rsidR="00BA6EE6">
        <w:t>.</w:t>
      </w:r>
    </w:p>
    <w:p w14:paraId="72F85589" w14:textId="3EC83DE5" w:rsidR="00164E30" w:rsidRDefault="00164E30" w:rsidP="00AC0898">
      <w:pPr>
        <w:pStyle w:val="ListBullet"/>
      </w:pPr>
      <w:r>
        <w:t>Preparation of aggregate reports as required by legislation</w:t>
      </w:r>
      <w:r w:rsidR="00BA6EE6">
        <w:t>.</w:t>
      </w:r>
    </w:p>
    <w:p w14:paraId="3BF669DF" w14:textId="731B01A7" w:rsidR="00164E30" w:rsidRDefault="00164E30" w:rsidP="00AC0898">
      <w:pPr>
        <w:pStyle w:val="ListBullet"/>
      </w:pPr>
      <w:r>
        <w:t xml:space="preserve">Provision of comprehensive information to </w:t>
      </w:r>
      <w:r w:rsidR="008F7694">
        <w:t xml:space="preserve">health professionals </w:t>
      </w:r>
      <w:r>
        <w:t>via the Product Information</w:t>
      </w:r>
      <w:r w:rsidR="00BA6EE6">
        <w:t>.</w:t>
      </w:r>
    </w:p>
    <w:p w14:paraId="774868A6" w14:textId="0778521A" w:rsidR="00164E30" w:rsidRDefault="00164E30" w:rsidP="00AC0898">
      <w:r>
        <w:t xml:space="preserve">The </w:t>
      </w:r>
      <w:r w:rsidR="00515122">
        <w:t>s</w:t>
      </w:r>
      <w:r>
        <w:t>ponsor signal detection activities are comprised of periodic signal detection, weekly review of case listing and ad-hoc review of safety information from other sources (</w:t>
      </w:r>
      <w:r w:rsidR="00593DF1">
        <w:t xml:space="preserve">for </w:t>
      </w:r>
      <w:r w:rsidR="00593DF1">
        <w:lastRenderedPageBreak/>
        <w:t>example,</w:t>
      </w:r>
      <w:r>
        <w:t xml:space="preserve"> </w:t>
      </w:r>
      <w:r w:rsidR="00593DF1">
        <w:t>r</w:t>
      </w:r>
      <w:r>
        <w:t xml:space="preserve">egulatory </w:t>
      </w:r>
      <w:r w:rsidR="00593DF1">
        <w:t>a</w:t>
      </w:r>
      <w:r>
        <w:t xml:space="preserve">uthorities, </w:t>
      </w:r>
      <w:r w:rsidR="00593DF1">
        <w:t>p</w:t>
      </w:r>
      <w:r>
        <w:t xml:space="preserve">artners). </w:t>
      </w:r>
      <w:proofErr w:type="gramStart"/>
      <w:r>
        <w:t>For the purpose of</w:t>
      </w:r>
      <w:proofErr w:type="gramEnd"/>
      <w:r>
        <w:t xml:space="preserve"> periodic signal detection all safety data is being evaluated including but not limited to all individual case safety reports collected worldwide</w:t>
      </w:r>
      <w:r w:rsidR="00E577F8">
        <w:t xml:space="preserve"> and</w:t>
      </w:r>
      <w:r>
        <w:t xml:space="preserve"> published literature. During the periodic signal detection, the </w:t>
      </w:r>
      <w:r w:rsidR="00515122">
        <w:t>s</w:t>
      </w:r>
      <w:r>
        <w:t>ponsor reviews all data received worldwide in connection to the safety concerns and the missing information in the RMP.</w:t>
      </w:r>
    </w:p>
    <w:p w14:paraId="2FE3A3F0" w14:textId="27BD28EC" w:rsidR="00164E30" w:rsidRDefault="00164E30" w:rsidP="00AC0898">
      <w:proofErr w:type="spellStart"/>
      <w:r>
        <w:t>Nephrocalcinosis</w:t>
      </w:r>
      <w:proofErr w:type="spellEnd"/>
      <w:r>
        <w:t xml:space="preserve"> is routinely reviewed as part of the risk of ectopic mineralisation. Dental events and any change in bone mineral density, when reported as </w:t>
      </w:r>
      <w:r w:rsidR="00593DF1">
        <w:t>a</w:t>
      </w:r>
      <w:r>
        <w:t xml:space="preserve">dverse </w:t>
      </w:r>
      <w:r w:rsidR="00593DF1">
        <w:t>e</w:t>
      </w:r>
      <w:r>
        <w:t>vents (AEs), are being captured in the safety database and will be evaluated as part of routine signal detection.</w:t>
      </w:r>
    </w:p>
    <w:p w14:paraId="4B14FCF0" w14:textId="09A95324" w:rsidR="00164E30" w:rsidRDefault="00164E30" w:rsidP="00AC0898">
      <w:r>
        <w:t xml:space="preserve">As mentioned above, the </w:t>
      </w:r>
      <w:r w:rsidR="00515122">
        <w:t>s</w:t>
      </w:r>
      <w:r>
        <w:t xml:space="preserve">ponsor is conducting additional pharmacovigilance activities to gather further information on long-term use of </w:t>
      </w:r>
      <w:proofErr w:type="spellStart"/>
      <w:r>
        <w:t>burosumab</w:t>
      </w:r>
      <w:proofErr w:type="spellEnd"/>
      <w:r>
        <w:t>.</w:t>
      </w:r>
    </w:p>
    <w:p w14:paraId="2FC8CD8E" w14:textId="3A87C75B" w:rsidR="00164E30" w:rsidRDefault="00164E30" w:rsidP="00AC0898">
      <w:r>
        <w:t>An XLH registry has been established in the EU</w:t>
      </w:r>
      <w:r w:rsidR="008F7694">
        <w:t xml:space="preserve"> and European Economic Area (EEA)</w:t>
      </w:r>
      <w:r>
        <w:t xml:space="preserve"> to collect natural history data for XLH, to characterise the treatment, </w:t>
      </w:r>
      <w:proofErr w:type="gramStart"/>
      <w:r>
        <w:t>progression</w:t>
      </w:r>
      <w:proofErr w:type="gramEnd"/>
      <w:r>
        <w:t xml:space="preserve"> and long-term outcomes of XLH in patients of all</w:t>
      </w:r>
      <w:r w:rsidR="00BA6EE6">
        <w:t xml:space="preserve"> </w:t>
      </w:r>
      <w:r>
        <w:t>age groups. The EU XLH PASS will use the data collected in the registry. The objectives of the EU XLH PASS are below:</w:t>
      </w:r>
    </w:p>
    <w:p w14:paraId="45827DCD" w14:textId="1B7C8384" w:rsidR="00164E30" w:rsidRDefault="00164E30" w:rsidP="00AC0898">
      <w:pPr>
        <w:pStyle w:val="ListBullet"/>
      </w:pPr>
      <w:r>
        <w:t>Primary objectives:</w:t>
      </w:r>
    </w:p>
    <w:p w14:paraId="3A210AAC" w14:textId="443A66E5" w:rsidR="00164E30" w:rsidRDefault="00164E30" w:rsidP="00AC0898">
      <w:pPr>
        <w:pStyle w:val="ListBullet2"/>
      </w:pPr>
      <w:r>
        <w:t xml:space="preserve">To evaluate the frequency and severity of safety outcomes in children and adolescents aged </w:t>
      </w:r>
      <w:r w:rsidR="00593DF1">
        <w:t>one</w:t>
      </w:r>
      <w:r>
        <w:t xml:space="preserve"> to 17 years with radiographic evidence of bone disease, and adults, treated with </w:t>
      </w:r>
      <w:proofErr w:type="spellStart"/>
      <w:r>
        <w:t>burosumab</w:t>
      </w:r>
      <w:proofErr w:type="spellEnd"/>
      <w:r>
        <w:t>, including but not limited to: death, hospitali</w:t>
      </w:r>
      <w:r w:rsidR="00E577F8">
        <w:t>s</w:t>
      </w:r>
      <w:r>
        <w:t xml:space="preserve">ations, cardiovascular disease, cancer, hyperphosphatemia and its complications, ectopic mineralisation (which includes </w:t>
      </w:r>
      <w:proofErr w:type="spellStart"/>
      <w:r>
        <w:t>nephrocalcinosis</w:t>
      </w:r>
      <w:proofErr w:type="spellEnd"/>
      <w:r>
        <w:t xml:space="preserve">) and increased parathyroid hormone </w:t>
      </w:r>
      <w:proofErr w:type="gramStart"/>
      <w:r>
        <w:t>levels;</w:t>
      </w:r>
      <w:proofErr w:type="gramEnd"/>
    </w:p>
    <w:p w14:paraId="20A3433A" w14:textId="48514C42" w:rsidR="00164E30" w:rsidRDefault="00164E30" w:rsidP="00AC0898">
      <w:pPr>
        <w:pStyle w:val="ListBullet2"/>
      </w:pPr>
      <w:r>
        <w:t xml:space="preserve">To prospectively evaluate the frequency and outcomes of pregnancies in female patients treated with </w:t>
      </w:r>
      <w:proofErr w:type="spellStart"/>
      <w:r>
        <w:t>burosumab</w:t>
      </w:r>
      <w:proofErr w:type="spellEnd"/>
      <w:r>
        <w:t>.</w:t>
      </w:r>
    </w:p>
    <w:p w14:paraId="3256BA46" w14:textId="6529443A" w:rsidR="00164E30" w:rsidRDefault="00164E30" w:rsidP="00AC0898">
      <w:pPr>
        <w:pStyle w:val="ListBullet2"/>
      </w:pPr>
      <w:r>
        <w:t xml:space="preserve">To prospectively evaluate the frequency and severity of safety outcomes in patients with mild to moderate chronic kidney disease at </w:t>
      </w:r>
      <w:r w:rsidR="00593DF1">
        <w:t>B</w:t>
      </w:r>
      <w:r>
        <w:t xml:space="preserve">aseline treated with </w:t>
      </w:r>
      <w:proofErr w:type="spellStart"/>
      <w:r>
        <w:t>burosumab</w:t>
      </w:r>
      <w:proofErr w:type="spellEnd"/>
    </w:p>
    <w:p w14:paraId="4434DDBB" w14:textId="5BE643D3" w:rsidR="00164E30" w:rsidRDefault="00164E30" w:rsidP="00AC0898">
      <w:pPr>
        <w:pStyle w:val="ListBullet"/>
      </w:pPr>
      <w:r>
        <w:t>Secondary objective:</w:t>
      </w:r>
    </w:p>
    <w:p w14:paraId="3B2B21A8" w14:textId="7ABA3F21" w:rsidR="00164E30" w:rsidRDefault="00164E30" w:rsidP="00AC0898">
      <w:pPr>
        <w:pStyle w:val="ListBullet2"/>
      </w:pPr>
      <w:r>
        <w:t xml:space="preserve">To perform a retrospective cohort study using data from the registry to compare the safety outcomes of interest in patients exposed to </w:t>
      </w:r>
      <w:proofErr w:type="spellStart"/>
      <w:r>
        <w:t>burosumab</w:t>
      </w:r>
      <w:proofErr w:type="spellEnd"/>
      <w:r>
        <w:t xml:space="preserve"> to those in patients receiving alternative treatments for XLH.</w:t>
      </w:r>
    </w:p>
    <w:p w14:paraId="00B6F1E4" w14:textId="5AB4656A" w:rsidR="00164E30" w:rsidRDefault="00164E30" w:rsidP="00AC0898">
      <w:r>
        <w:t xml:space="preserve">The EU XLH PASS objectives are safety objectives and long-term effects of </w:t>
      </w:r>
      <w:proofErr w:type="spellStart"/>
      <w:r>
        <w:t>burosumab</w:t>
      </w:r>
      <w:proofErr w:type="spellEnd"/>
      <w:r>
        <w:t xml:space="preserve"> treatment with respect to bone mineral density and dental health will be evaluated as safety outcomes when reported as </w:t>
      </w:r>
      <w:r w:rsidR="00593DF1">
        <w:t>a</w:t>
      </w:r>
      <w:r>
        <w:t xml:space="preserve">dverse </w:t>
      </w:r>
      <w:r w:rsidR="00593DF1">
        <w:t>e</w:t>
      </w:r>
      <w:r>
        <w:t>vents.</w:t>
      </w:r>
    </w:p>
    <w:p w14:paraId="056A72BA" w14:textId="439A4E3A" w:rsidR="00164E30" w:rsidRDefault="00164E30" w:rsidP="00AC0898">
      <w:r>
        <w:t xml:space="preserve">An XLH </w:t>
      </w:r>
      <w:r w:rsidR="008F7694">
        <w:t xml:space="preserve">disease monitoring program </w:t>
      </w:r>
      <w:r>
        <w:t xml:space="preserve">has been established in North America (including Canada) and Latin America (Argentina, Brazil, Canada, Chile, Colombia); it is a global, observational, prospective, </w:t>
      </w:r>
      <w:r w:rsidR="00B4572A">
        <w:t>multicentre</w:t>
      </w:r>
      <w:r>
        <w:t>, longitudinal, long</w:t>
      </w:r>
      <w:r w:rsidR="00593DF1">
        <w:t xml:space="preserve"> </w:t>
      </w:r>
      <w:r>
        <w:t>term outcomes program for subjects on or off treatment designed to characterise XLH disease presentation and progression, assess long</w:t>
      </w:r>
      <w:r w:rsidR="00593DF1">
        <w:t xml:space="preserve"> </w:t>
      </w:r>
      <w:r>
        <w:t xml:space="preserve">term safety and effectiveness of </w:t>
      </w:r>
      <w:proofErr w:type="spellStart"/>
      <w:r>
        <w:t>burosumab</w:t>
      </w:r>
      <w:proofErr w:type="spellEnd"/>
      <w:r>
        <w:t xml:space="preserve">, as well as prospectively investigate longitudinal change over time across biomarker(s), clinical assessments, and patient/caregiver-reported outcome measures in a representative population. The objectives of the XLH </w:t>
      </w:r>
      <w:r w:rsidR="00B4572A">
        <w:t xml:space="preserve">disease monitoring program </w:t>
      </w:r>
      <w:r>
        <w:t>are:</w:t>
      </w:r>
    </w:p>
    <w:p w14:paraId="5FBFF434" w14:textId="1764ABCF" w:rsidR="00164E30" w:rsidRDefault="00164E30" w:rsidP="00AC0898">
      <w:pPr>
        <w:pStyle w:val="ListBullet"/>
      </w:pPr>
      <w:r>
        <w:t xml:space="preserve">To assess the long-term safety of </w:t>
      </w:r>
      <w:proofErr w:type="spellStart"/>
      <w:r>
        <w:t>burosumab</w:t>
      </w:r>
      <w:proofErr w:type="spellEnd"/>
      <w:r>
        <w:t xml:space="preserve"> treatment in adult and paediatric patients with XLH, including overall renal health, the presence and/or progression of </w:t>
      </w:r>
      <w:proofErr w:type="spellStart"/>
      <w:r>
        <w:t>nephrocalcinosis</w:t>
      </w:r>
      <w:proofErr w:type="spellEnd"/>
      <w:r>
        <w:t xml:space="preserve"> and spinal stenosis, and pregnancy outcomes</w:t>
      </w:r>
    </w:p>
    <w:p w14:paraId="620861C9" w14:textId="263BB8A5" w:rsidR="00164E30" w:rsidRDefault="00164E30" w:rsidP="00AC0898">
      <w:pPr>
        <w:pStyle w:val="ListBullet"/>
      </w:pPr>
      <w:r>
        <w:t xml:space="preserve">To evaluate the long-term effectiveness of </w:t>
      </w:r>
      <w:proofErr w:type="spellStart"/>
      <w:r>
        <w:t>burosumab</w:t>
      </w:r>
      <w:proofErr w:type="spellEnd"/>
      <w:r>
        <w:t xml:space="preserve"> treatment on key manifestations of XLH, including skeletal health, stiffness, </w:t>
      </w:r>
      <w:proofErr w:type="gramStart"/>
      <w:r>
        <w:t>mobility</w:t>
      </w:r>
      <w:proofErr w:type="gramEnd"/>
      <w:r>
        <w:t xml:space="preserve"> and physical functioning</w:t>
      </w:r>
    </w:p>
    <w:p w14:paraId="769C5660" w14:textId="4F6E4388" w:rsidR="00164E30" w:rsidRDefault="00164E30" w:rsidP="00AC0898">
      <w:pPr>
        <w:pStyle w:val="ListBullet"/>
      </w:pPr>
      <w:r>
        <w:lastRenderedPageBreak/>
        <w:t>To illustrate the clinical, radiological, biochemical manifestations and progression of XLH over time in both untreated and treated patients with XLH</w:t>
      </w:r>
    </w:p>
    <w:p w14:paraId="03308A0D" w14:textId="66AA9277" w:rsidR="007D53B6" w:rsidRDefault="00164E30" w:rsidP="00AC0898">
      <w:r>
        <w:t>Currently, there is no evidence that the safety profile will be different with long-term use when compared with that of short-term use.</w:t>
      </w:r>
    </w:p>
    <w:p w14:paraId="3F338AC2"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12"/>
      </w:r>
    </w:p>
    <w:p w14:paraId="375F1C07" w14:textId="77777777" w:rsidR="00744121" w:rsidRDefault="00744121" w:rsidP="00744121">
      <w:pPr>
        <w:rPr>
          <w:bCs/>
        </w:rPr>
      </w:pPr>
      <w:bookmarkStart w:id="59" w:name="_Toc247691532"/>
      <w:bookmarkStart w:id="60" w:name="_Toc314842516"/>
      <w:bookmarkEnd w:id="31"/>
      <w:bookmarkEnd w:id="56"/>
      <w:bookmarkEnd w:id="57"/>
      <w:r w:rsidRPr="00456765">
        <w:rPr>
          <w:bCs/>
        </w:rPr>
        <w:t>The Advisory Committee on Medicines (ACM), having considered the evaluations and the Delegate’s overview, as well as the sponsor’s response to these documents, advised the following</w:t>
      </w:r>
      <w:r>
        <w:rPr>
          <w:bCs/>
        </w:rPr>
        <w:t>.</w:t>
      </w:r>
    </w:p>
    <w:p w14:paraId="56C3136E" w14:textId="77777777" w:rsidR="00744121" w:rsidRDefault="00744121" w:rsidP="00744121">
      <w:pPr>
        <w:pStyle w:val="Heading5"/>
      </w:pPr>
      <w:r>
        <w:t>Specific advice to the Delegate</w:t>
      </w:r>
    </w:p>
    <w:p w14:paraId="67B68976" w14:textId="5F1155F6" w:rsidR="00467BE9" w:rsidRPr="009204C4" w:rsidRDefault="00467BE9" w:rsidP="009204C4">
      <w:pPr>
        <w:pStyle w:val="Numberbullet0"/>
        <w:numPr>
          <w:ilvl w:val="0"/>
          <w:numId w:val="33"/>
        </w:numPr>
        <w:rPr>
          <w:b/>
          <w:bCs/>
          <w:i/>
          <w:iCs/>
        </w:rPr>
      </w:pPr>
      <w:r w:rsidRPr="009204C4">
        <w:rPr>
          <w:b/>
          <w:bCs/>
          <w:i/>
          <w:iCs/>
        </w:rPr>
        <w:t>Does the committee consider it reasonable to extrapolate the paediatric dosing regimen to the adolescent population?</w:t>
      </w:r>
    </w:p>
    <w:p w14:paraId="1494CCB2" w14:textId="77777777" w:rsidR="00467BE9" w:rsidRDefault="00467BE9" w:rsidP="00467BE9">
      <w:r>
        <w:t>The ACM advised that it is reasonable to extrapolate the paediatric dosing regimen to the adolescent population, with monitoring and adjustment of dose according to biochemical response. In providing this advice, the ACM considered that while there were no adolescents included in the trials, there is some post-market experience in adolescent patients as per the periodic safety update report. The ACM also reasoned that linear growth and bone mass accrual are both occurring at an increased rate during puberty.</w:t>
      </w:r>
    </w:p>
    <w:p w14:paraId="47F359E6" w14:textId="0AF30184" w:rsidR="00467BE9" w:rsidRDefault="00467BE9" w:rsidP="00467BE9">
      <w:r>
        <w:t>The ACM was of the view that 17 years of age is a reasonable cut-off to extrapolate the paediatric dosing, as there is almost complete epiphyseal fusion by 17 years of age at a population level.</w:t>
      </w:r>
    </w:p>
    <w:p w14:paraId="278DE70B" w14:textId="69F5D568" w:rsidR="00467BE9" w:rsidRDefault="00467BE9" w:rsidP="00467BE9">
      <w:pPr>
        <w:pStyle w:val="Numberbullet0"/>
        <w:rPr>
          <w:b/>
          <w:bCs/>
          <w:i/>
          <w:iCs/>
        </w:rPr>
      </w:pPr>
      <w:r w:rsidRPr="00467BE9">
        <w:rPr>
          <w:b/>
          <w:bCs/>
          <w:i/>
          <w:iCs/>
        </w:rPr>
        <w:t>Does the committee think that contraceptive advice should be included in the PI for sexually active women and adolescents?</w:t>
      </w:r>
    </w:p>
    <w:p w14:paraId="21E406D4" w14:textId="77777777" w:rsidR="00467BE9" w:rsidRDefault="00467BE9" w:rsidP="00467BE9">
      <w:r>
        <w:t xml:space="preserve">The ACM was of the view that the evidence thus far indicates that getting pregnant while on </w:t>
      </w:r>
      <w:proofErr w:type="spellStart"/>
      <w:r>
        <w:t>burosumab</w:t>
      </w:r>
      <w:proofErr w:type="spellEnd"/>
      <w:r>
        <w:t xml:space="preserve"> is not contraindicated, and discussed that, in theory, the high molecular weight of </w:t>
      </w:r>
      <w:proofErr w:type="spellStart"/>
      <w:r>
        <w:t>burosumab</w:t>
      </w:r>
      <w:proofErr w:type="spellEnd"/>
      <w:r>
        <w:t xml:space="preserve"> means that it will not cross the placenta in the first two trimesters of human pregnancy. However, they advised it seems reasonable to exercise some degree of caution due to the lack of human pregnancy or breastfeeding data. As such, they advised that a statement should be included in the PI that sexually active women and adolescents taking </w:t>
      </w:r>
      <w:proofErr w:type="spellStart"/>
      <w:r>
        <w:t>burosumab</w:t>
      </w:r>
      <w:proofErr w:type="spellEnd"/>
      <w:r>
        <w:t xml:space="preserve"> should consider the use of appropriate contraception and discuss this with their healthcare provider to assist in weighing up the individual risks and benefits.</w:t>
      </w:r>
    </w:p>
    <w:p w14:paraId="73870E83" w14:textId="2B7C6AC9" w:rsidR="00467BE9" w:rsidRDefault="00467BE9" w:rsidP="00467BE9">
      <w:r>
        <w:t xml:space="preserve">In providing this advice, the ACM noted that the condition of XLH itself is linked with complications during pregnancy, and female patients with this condition should have counselling regarding contraception and pregnancy, regardless of whether they are using </w:t>
      </w:r>
      <w:proofErr w:type="spellStart"/>
      <w:r>
        <w:t>burosumab</w:t>
      </w:r>
      <w:proofErr w:type="spellEnd"/>
      <w:r>
        <w:t>.</w:t>
      </w:r>
    </w:p>
    <w:p w14:paraId="5F19728A" w14:textId="1403FA59" w:rsidR="00467BE9" w:rsidRDefault="00E50E58" w:rsidP="00E50E58">
      <w:pPr>
        <w:pStyle w:val="Numberbullet0"/>
        <w:rPr>
          <w:b/>
          <w:bCs/>
          <w:i/>
          <w:iCs/>
        </w:rPr>
      </w:pPr>
      <w:r w:rsidRPr="00E50E58">
        <w:rPr>
          <w:b/>
          <w:bCs/>
          <w:i/>
          <w:iCs/>
        </w:rPr>
        <w:t xml:space="preserve">The Delegate proposes to limit the initiation and monitoring of </w:t>
      </w:r>
      <w:proofErr w:type="spellStart"/>
      <w:r w:rsidRPr="00E50E58">
        <w:rPr>
          <w:b/>
          <w:bCs/>
          <w:i/>
          <w:iCs/>
        </w:rPr>
        <w:t>burosumab</w:t>
      </w:r>
      <w:proofErr w:type="spellEnd"/>
      <w:r w:rsidRPr="00E50E58">
        <w:rPr>
          <w:b/>
          <w:bCs/>
          <w:i/>
          <w:iCs/>
        </w:rPr>
        <w:t xml:space="preserve"> treatment to medical specialists with experience in the diagnosis and management of patients with XLH. Is this reasonable in the context of the likely use of </w:t>
      </w:r>
      <w:proofErr w:type="spellStart"/>
      <w:r w:rsidRPr="00E50E58">
        <w:rPr>
          <w:b/>
          <w:bCs/>
          <w:i/>
          <w:iCs/>
        </w:rPr>
        <w:t>burosumab</w:t>
      </w:r>
      <w:proofErr w:type="spellEnd"/>
      <w:r w:rsidRPr="00E50E58">
        <w:rPr>
          <w:b/>
          <w:bCs/>
          <w:i/>
          <w:iCs/>
        </w:rPr>
        <w:t xml:space="preserve"> in clinical practice?</w:t>
      </w:r>
    </w:p>
    <w:p w14:paraId="6468D1E4" w14:textId="77777777" w:rsidR="00E50E58" w:rsidRDefault="00E50E58" w:rsidP="00E50E58">
      <w:r>
        <w:t xml:space="preserve">The ACM agreed that the initiation and monitoring of </w:t>
      </w:r>
      <w:proofErr w:type="spellStart"/>
      <w:r>
        <w:t>burosumab</w:t>
      </w:r>
      <w:proofErr w:type="spellEnd"/>
      <w:r>
        <w:t xml:space="preserve"> treatment should be limited to medical specialists with experience in the diagnosis and management of patients with XLH, as this is a highly complex condition with evolving needs and cannot be appropriately managed without expert advice. In remote or resource-limited areas, the ACM advised that initiation and monitoring of </w:t>
      </w:r>
      <w:proofErr w:type="spellStart"/>
      <w:r>
        <w:t>burosumab</w:t>
      </w:r>
      <w:proofErr w:type="spellEnd"/>
      <w:r>
        <w:t xml:space="preserve"> treatment could only occur </w:t>
      </w:r>
      <w:r>
        <w:lastRenderedPageBreak/>
        <w:t>under the supervision of a local GP or general specialist in consultation with the appropriate expert in XLH, through mechanisms such as telehealth.</w:t>
      </w:r>
    </w:p>
    <w:p w14:paraId="77A7F61B" w14:textId="13663D7C" w:rsidR="00E50E58" w:rsidRDefault="00E50E58" w:rsidP="00E50E58">
      <w:r>
        <w:t xml:space="preserve">The ACM discussed various methods of diagnosing XLH, including genetic testing, raised FGF23, and </w:t>
      </w:r>
      <w:proofErr w:type="spellStart"/>
      <w:r>
        <w:t>hypophosphataemia</w:t>
      </w:r>
      <w:proofErr w:type="spellEnd"/>
      <w:r>
        <w:t xml:space="preserve">, and whether such diagnostic criteria should be stipulated in the indication or another section of the PI. The ACM advised that if initiation and monitoring of </w:t>
      </w:r>
      <w:proofErr w:type="spellStart"/>
      <w:r>
        <w:t>burosumab</w:t>
      </w:r>
      <w:proofErr w:type="spellEnd"/>
      <w:r>
        <w:t xml:space="preserve"> is limited to medical specialists with experience in the diagnosis and management of patients with XLH, there is no need to stipulate how the condition should be diagnosed as the specialists have the relevant expertise in identifying and diagnosing the condition.</w:t>
      </w:r>
    </w:p>
    <w:p w14:paraId="54517531" w14:textId="46C84F71" w:rsidR="00A844B9" w:rsidRDefault="00A844B9" w:rsidP="00A844B9">
      <w:pPr>
        <w:pStyle w:val="Numberbullet0"/>
        <w:rPr>
          <w:b/>
          <w:bCs/>
          <w:i/>
          <w:iCs/>
        </w:rPr>
      </w:pPr>
      <w:r w:rsidRPr="00A844B9">
        <w:rPr>
          <w:b/>
          <w:bCs/>
          <w:i/>
          <w:iCs/>
        </w:rPr>
        <w:t xml:space="preserve">The committee is also requested to provide advice on any other issues that it thinks may be relevant to a decision on </w:t>
      </w:r>
      <w:proofErr w:type="gramStart"/>
      <w:r w:rsidRPr="00A844B9">
        <w:rPr>
          <w:b/>
          <w:bCs/>
          <w:i/>
          <w:iCs/>
        </w:rPr>
        <w:t>whether or not</w:t>
      </w:r>
      <w:proofErr w:type="gramEnd"/>
      <w:r w:rsidRPr="00A844B9">
        <w:rPr>
          <w:b/>
          <w:bCs/>
          <w:i/>
          <w:iCs/>
        </w:rPr>
        <w:t xml:space="preserve"> to approve this application.</w:t>
      </w:r>
    </w:p>
    <w:p w14:paraId="0D9C7B4B" w14:textId="5B16F043" w:rsidR="00A844B9" w:rsidRPr="00A844B9" w:rsidRDefault="00A844B9" w:rsidP="00A844B9">
      <w:r w:rsidRPr="00A844B9">
        <w:t xml:space="preserve">The ACM expressed concern that there is a lack of information in the PI regarding dose reduction with kidney dysfunction, particularly given the condition of XLH is associated with issues with kidney function. The ACM advised that a statement should be added to the PI that caution should be exercised where patients have an eGFR less than 30 mL/min. The drug has not been tested where eGFR is less than 30 mL/min. The main concern with the use of </w:t>
      </w:r>
      <w:proofErr w:type="spellStart"/>
      <w:r w:rsidRPr="00A844B9">
        <w:t>burosumab</w:t>
      </w:r>
      <w:proofErr w:type="spellEnd"/>
      <w:r w:rsidRPr="00A844B9">
        <w:t xml:space="preserve"> is not necessarily drug toxicity, but rather the marked increased risk of </w:t>
      </w:r>
      <w:proofErr w:type="spellStart"/>
      <w:r w:rsidRPr="00A844B9">
        <w:t>hyperphosphataemia</w:t>
      </w:r>
      <w:proofErr w:type="spellEnd"/>
      <w:r w:rsidRPr="00A844B9">
        <w:t>, and associated comorbidities. As such, regular monitoring of serum phosphate is of increased importance in the presence of renal impairment.</w:t>
      </w:r>
    </w:p>
    <w:p w14:paraId="2288204A" w14:textId="3AE60F76" w:rsidR="00744121" w:rsidRDefault="00744121" w:rsidP="00744121">
      <w:pPr>
        <w:pStyle w:val="Heading5"/>
      </w:pPr>
      <w:r>
        <w:t>Conclusion</w:t>
      </w:r>
    </w:p>
    <w:p w14:paraId="631D4BD8" w14:textId="77777777" w:rsidR="00A844B9" w:rsidRDefault="00A844B9" w:rsidP="00A844B9">
      <w:r>
        <w:t>The ACM considered this product to have an overall positive benefit-risk profile for the indication:</w:t>
      </w:r>
    </w:p>
    <w:p w14:paraId="26EBF9D6" w14:textId="7D697712" w:rsidR="00A844B9" w:rsidRPr="00A844B9" w:rsidRDefault="00A844B9" w:rsidP="00A844B9">
      <w:pPr>
        <w:ind w:left="720"/>
        <w:rPr>
          <w:i/>
          <w:iCs/>
        </w:rPr>
      </w:pPr>
      <w:proofErr w:type="spellStart"/>
      <w:r w:rsidRPr="00A844B9">
        <w:rPr>
          <w:i/>
          <w:iCs/>
        </w:rPr>
        <w:t>C</w:t>
      </w:r>
      <w:r>
        <w:rPr>
          <w:i/>
          <w:iCs/>
        </w:rPr>
        <w:t>rysvita</w:t>
      </w:r>
      <w:proofErr w:type="spellEnd"/>
      <w:r w:rsidRPr="00A844B9">
        <w:rPr>
          <w:i/>
          <w:iCs/>
        </w:rPr>
        <w:t xml:space="preserve"> (</w:t>
      </w:r>
      <w:proofErr w:type="spellStart"/>
      <w:r w:rsidRPr="00A844B9">
        <w:rPr>
          <w:i/>
          <w:iCs/>
        </w:rPr>
        <w:t>burosumab</w:t>
      </w:r>
      <w:proofErr w:type="spellEnd"/>
      <w:r w:rsidRPr="00A844B9">
        <w:rPr>
          <w:i/>
          <w:iCs/>
        </w:rPr>
        <w:t xml:space="preserve">) is indicated for the treatment of X-linked </w:t>
      </w:r>
      <w:proofErr w:type="spellStart"/>
      <w:r w:rsidRPr="00A844B9">
        <w:rPr>
          <w:i/>
          <w:iCs/>
        </w:rPr>
        <w:t>hypophosphataemia</w:t>
      </w:r>
      <w:proofErr w:type="spellEnd"/>
      <w:r w:rsidRPr="00A844B9">
        <w:rPr>
          <w:i/>
          <w:iCs/>
        </w:rPr>
        <w:t xml:space="preserve"> (XLH) in adults, </w:t>
      </w:r>
      <w:proofErr w:type="gramStart"/>
      <w:r w:rsidRPr="00A844B9">
        <w:rPr>
          <w:i/>
          <w:iCs/>
        </w:rPr>
        <w:t>adolescents</w:t>
      </w:r>
      <w:proofErr w:type="gramEnd"/>
      <w:r w:rsidRPr="00A844B9">
        <w:rPr>
          <w:i/>
          <w:iCs/>
        </w:rPr>
        <w:t xml:space="preserve"> and children 1 year of age or older.</w:t>
      </w:r>
    </w:p>
    <w:p w14:paraId="2878625F" w14:textId="77777777" w:rsidR="008E7846" w:rsidRPr="002E238E" w:rsidRDefault="008E7846" w:rsidP="008E7846">
      <w:pPr>
        <w:pStyle w:val="Heading3"/>
      </w:pPr>
      <w:bookmarkStart w:id="61" w:name="_Toc107402941"/>
      <w:r>
        <w:t>Outcome</w:t>
      </w:r>
      <w:bookmarkEnd w:id="59"/>
      <w:bookmarkEnd w:id="60"/>
      <w:bookmarkEnd w:id="61"/>
    </w:p>
    <w:p w14:paraId="2D62953A" w14:textId="2B084B43" w:rsidR="00744121" w:rsidRDefault="00744121" w:rsidP="00744121">
      <w:bookmarkStart w:id="62" w:name="_Toc247691533"/>
      <w:bookmarkStart w:id="63" w:name="_Toc314842517"/>
      <w:r>
        <w:t xml:space="preserve">Based on a review of quality, </w:t>
      </w:r>
      <w:proofErr w:type="gramStart"/>
      <w:r>
        <w:t>safety</w:t>
      </w:r>
      <w:proofErr w:type="gramEnd"/>
      <w:r>
        <w:t xml:space="preserve"> and efficacy, the TGA approved the registration of </w:t>
      </w:r>
      <w:proofErr w:type="spellStart"/>
      <w:r w:rsidR="00DC724B">
        <w:t>Crysvita</w:t>
      </w:r>
      <w:proofErr w:type="spellEnd"/>
      <w:r w:rsidRPr="00250271">
        <w:t xml:space="preserve"> (</w:t>
      </w:r>
      <w:proofErr w:type="spellStart"/>
      <w:r w:rsidR="00DC724B">
        <w:t>burosumab</w:t>
      </w:r>
      <w:proofErr w:type="spellEnd"/>
      <w:r w:rsidRPr="00250271">
        <w:t xml:space="preserve">) </w:t>
      </w:r>
      <w:r w:rsidR="00DC724B">
        <w:t>10 mg/mL, 20 mg/mL and 30 mg/mL</w:t>
      </w:r>
      <w:r w:rsidRPr="00250271">
        <w:t xml:space="preserve">, </w:t>
      </w:r>
      <w:r w:rsidR="00DC724B">
        <w:t>solution for injection</w:t>
      </w:r>
      <w:r>
        <w:t xml:space="preserve">, </w:t>
      </w:r>
      <w:r w:rsidR="00DC724B">
        <w:t>vial</w:t>
      </w:r>
      <w:r>
        <w:t>, indicated for:</w:t>
      </w:r>
      <w:r w:rsidR="0075604D">
        <w:t xml:space="preserve"> </w:t>
      </w:r>
    </w:p>
    <w:p w14:paraId="3A03AD2F" w14:textId="1C2EA6B5" w:rsidR="007D53B6" w:rsidRPr="0075604D" w:rsidRDefault="0075604D" w:rsidP="0075604D">
      <w:pPr>
        <w:ind w:left="720"/>
        <w:rPr>
          <w:i/>
          <w:iCs/>
        </w:rPr>
      </w:pPr>
      <w:proofErr w:type="spellStart"/>
      <w:r w:rsidRPr="0075604D">
        <w:rPr>
          <w:i/>
          <w:iCs/>
        </w:rPr>
        <w:t>C</w:t>
      </w:r>
      <w:r w:rsidR="00E52D3C">
        <w:rPr>
          <w:i/>
          <w:iCs/>
        </w:rPr>
        <w:t>rysvita</w:t>
      </w:r>
      <w:proofErr w:type="spellEnd"/>
      <w:r w:rsidRPr="0075604D">
        <w:rPr>
          <w:i/>
          <w:iCs/>
        </w:rPr>
        <w:t xml:space="preserve"> (</w:t>
      </w:r>
      <w:proofErr w:type="spellStart"/>
      <w:r w:rsidRPr="0075604D">
        <w:rPr>
          <w:i/>
          <w:iCs/>
        </w:rPr>
        <w:t>burosumab</w:t>
      </w:r>
      <w:proofErr w:type="spellEnd"/>
      <w:r w:rsidRPr="0075604D">
        <w:rPr>
          <w:i/>
          <w:iCs/>
        </w:rPr>
        <w:t xml:space="preserve">) is indicated for the treatment of X-linked </w:t>
      </w:r>
      <w:proofErr w:type="spellStart"/>
      <w:r w:rsidRPr="0075604D">
        <w:rPr>
          <w:i/>
          <w:iCs/>
        </w:rPr>
        <w:t>hypophosphataemia</w:t>
      </w:r>
      <w:proofErr w:type="spellEnd"/>
      <w:r w:rsidRPr="0075604D">
        <w:rPr>
          <w:i/>
          <w:iCs/>
        </w:rPr>
        <w:t xml:space="preserve"> (XLH) in adults, </w:t>
      </w:r>
      <w:proofErr w:type="gramStart"/>
      <w:r w:rsidRPr="0075604D">
        <w:rPr>
          <w:i/>
          <w:iCs/>
        </w:rPr>
        <w:t>adolescents</w:t>
      </w:r>
      <w:proofErr w:type="gramEnd"/>
      <w:r w:rsidRPr="0075604D">
        <w:rPr>
          <w:i/>
          <w:iCs/>
        </w:rPr>
        <w:t xml:space="preserve"> and children 1 year of age or older.</w:t>
      </w:r>
    </w:p>
    <w:p w14:paraId="1529A920" w14:textId="77777777" w:rsidR="00D23139" w:rsidRPr="00D23139" w:rsidRDefault="00D23139" w:rsidP="00D23139">
      <w:pPr>
        <w:pStyle w:val="Heading4"/>
      </w:pPr>
      <w:r w:rsidRPr="00D23139">
        <w:t>Specific conditions of registration applying to these goods</w:t>
      </w:r>
    </w:p>
    <w:p w14:paraId="260E45A9" w14:textId="5FBCBCF3" w:rsidR="00DC724B" w:rsidRDefault="00DC724B" w:rsidP="00DC724B">
      <w:pPr>
        <w:pStyle w:val="ListBullet"/>
      </w:pPr>
      <w:proofErr w:type="spellStart"/>
      <w:r>
        <w:t>Crysvita</w:t>
      </w:r>
      <w:proofErr w:type="spellEnd"/>
      <w:r>
        <w:t xml:space="preserve"> (</w:t>
      </w:r>
      <w:proofErr w:type="spellStart"/>
      <w:r>
        <w:t>burosumab</w:t>
      </w:r>
      <w:proofErr w:type="spellEnd"/>
      <w:r>
        <w:t>) is to be included in the Black Triangle Scheme. The Product Information (PI) and Consumer Medicines Information (CMI) for Crysvita must include the black triangle symbol and mandatory accompanying text for five years, which starts from the date that the sponsor notifies the TGA of supply of the product.</w:t>
      </w:r>
    </w:p>
    <w:p w14:paraId="21B3B5DD" w14:textId="11B7DA9E" w:rsidR="00EB273C" w:rsidRDefault="00DC724B" w:rsidP="00DC724B">
      <w:pPr>
        <w:pStyle w:val="ListBullet"/>
      </w:pPr>
      <w:r>
        <w:t xml:space="preserve">The Crysvita EU-RMP (version 2.1, dated 31 March 2020; data lock point 18 February 2019), with </w:t>
      </w:r>
      <w:r w:rsidR="00BA6EE6">
        <w:t>ASA</w:t>
      </w:r>
      <w:r>
        <w:t xml:space="preserve"> (version 1.3, dated 26 February 2021), included with submission PM</w:t>
      </w:r>
      <w:r w:rsidR="00B4572A">
        <w:noBreakHyphen/>
      </w:r>
      <w:r>
        <w:t>2020-03892-1-5, and any subsequent revisions, as agreed with the TGA will be implemented in Australia</w:t>
      </w:r>
      <w:r w:rsidR="00EB273C">
        <w:t>.</w:t>
      </w:r>
    </w:p>
    <w:p w14:paraId="02E20DDC" w14:textId="2110EF29" w:rsidR="00DC724B" w:rsidRDefault="00DC724B" w:rsidP="00DC724B">
      <w:pPr>
        <w:ind w:left="360"/>
      </w:pPr>
      <w:r>
        <w:t>An obligatory component of risk management plans is routine pharmacovigilance. Routine pharmacovigilance includes the submission of periodic safety update reports (PSURs).</w:t>
      </w:r>
    </w:p>
    <w:p w14:paraId="353A5DA8" w14:textId="77777777" w:rsidR="00DC724B" w:rsidRDefault="00DC724B" w:rsidP="00DC724B">
      <w:pPr>
        <w:ind w:left="360"/>
      </w:pPr>
      <w:r>
        <w:lastRenderedPageBreak/>
        <w:t>Reports are to be provided in line with the current published list of EU reference dates and frequency of submission of PSURs until the period covered by such reports is not less than three years from the date of the approval letter.</w:t>
      </w:r>
    </w:p>
    <w:p w14:paraId="1B27BA5F" w14:textId="26A70843" w:rsidR="00DC724B" w:rsidRDefault="00DC724B" w:rsidP="00DC724B">
      <w:pPr>
        <w:ind w:left="360"/>
      </w:pPr>
      <w:r>
        <w:t>The reports are to at least meet the requirements for PSURs as described in the European Medicines Agency’s Guideline on Good Pharmacovigilance Practices (GVP) Module VII-periodic safety update report (</w:t>
      </w:r>
      <w:r w:rsidR="00593DF1">
        <w:t>revision</w:t>
      </w:r>
      <w:r>
        <w:t xml:space="preserve"> 1), Part VII.B </w:t>
      </w:r>
      <w:r w:rsidR="00593DF1">
        <w:t>s</w:t>
      </w:r>
      <w:r>
        <w:t>tructures and processes. Note that submission of a PSUR does not constitute an application to vary the registration.</w:t>
      </w:r>
    </w:p>
    <w:p w14:paraId="5E258BCD" w14:textId="6CD9624E" w:rsidR="00DC724B" w:rsidRDefault="00DC724B" w:rsidP="00DC724B">
      <w:pPr>
        <w:pStyle w:val="ListBullet"/>
      </w:pPr>
      <w:r>
        <w:t>Laboratory testing &amp; compliance with Certified Product Details</w:t>
      </w:r>
    </w:p>
    <w:p w14:paraId="617127A3" w14:textId="72EE95E8" w:rsidR="00DC724B" w:rsidRDefault="00DC724B" w:rsidP="00DC724B">
      <w:pPr>
        <w:pStyle w:val="ListBullet2"/>
      </w:pPr>
      <w:r>
        <w:t>All batches of C</w:t>
      </w:r>
      <w:r w:rsidR="00593DF1">
        <w:t>rysvita</w:t>
      </w:r>
      <w:r>
        <w:t xml:space="preserve"> supplied in Australia must comply with the product details and specifications approved during evaluation and detailed in the Certified Product Details (CPD).</w:t>
      </w:r>
    </w:p>
    <w:p w14:paraId="4D0A9532" w14:textId="041BA94E" w:rsidR="00DC724B" w:rsidRDefault="00DC724B" w:rsidP="00DC724B">
      <w:pPr>
        <w:pStyle w:val="ListBullet2"/>
      </w:pPr>
      <w:r>
        <w:t>When requested by the TGA, the Sponsor should be prepared to provide product samples, specified reference materials and documentary evidence to enable the TGA to conduct laboratory testing on the Product. Outcomes of laboratory testing are published biannually in the TGA Database of Laboratory Testing Results http://www.tga.gov.au/ws-labs-index and periodically in testing reports on the TGA website.</w:t>
      </w:r>
    </w:p>
    <w:p w14:paraId="2A0A781B" w14:textId="77777777" w:rsidR="00DC724B" w:rsidRDefault="00DC724B" w:rsidP="00DC724B">
      <w:pPr>
        <w:ind w:firstLine="360"/>
      </w:pPr>
      <w:r>
        <w:t>Certified Product Details</w:t>
      </w:r>
    </w:p>
    <w:p w14:paraId="6EAE6E96" w14:textId="77777777" w:rsidR="00DC724B" w:rsidRDefault="00DC724B" w:rsidP="00DC724B">
      <w:pPr>
        <w:ind w:left="360"/>
      </w:pPr>
      <w:r>
        <w:t>The CPD, as described in Guidance 7: Certified Product Details of the Australian Regulatory Guidelines for Prescription Medicines (ARGPM) [http://www.tga.gov.au/industry/pm-argpm-guidance-7.htm],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34D554F9" w14:textId="4E508412" w:rsidR="00DC724B" w:rsidRDefault="00DC724B" w:rsidP="00DC724B">
      <w:pPr>
        <w:pStyle w:val="ListBullet"/>
      </w:pPr>
      <w:r>
        <w:t>The sponsor is required to update the relevant Good Manufacturing Practice (GMP) clearances to reflect the appropriate steps in the manufacturing process included in the ARTG record. This could be done at the next time a GMP clearance is required but should be completed within the next 12 months.</w:t>
      </w:r>
    </w:p>
    <w:p w14:paraId="7FD4AA35" w14:textId="2954797D" w:rsidR="00456765" w:rsidRDefault="00DC724B" w:rsidP="00DC724B">
      <w:pPr>
        <w:pStyle w:val="ListBullet"/>
      </w:pPr>
      <w:r>
        <w:t>For all injectable products the Product Information must be included with the product as a package insert</w:t>
      </w:r>
    </w:p>
    <w:p w14:paraId="095123B7" w14:textId="77777777" w:rsidR="008E7846" w:rsidRDefault="00A80B5B" w:rsidP="00D23139">
      <w:pPr>
        <w:pStyle w:val="Heading2"/>
      </w:pPr>
      <w:bookmarkStart w:id="64" w:name="_Toc107402942"/>
      <w:r>
        <w:t xml:space="preserve">Attachment 1. </w:t>
      </w:r>
      <w:r w:rsidR="008E7846">
        <w:t xml:space="preserve">Product </w:t>
      </w:r>
      <w:r w:rsidR="00AA0ED0">
        <w:t>I</w:t>
      </w:r>
      <w:r w:rsidR="008E7846">
        <w:t>nformation</w:t>
      </w:r>
      <w:bookmarkEnd w:id="62"/>
      <w:bookmarkEnd w:id="63"/>
      <w:bookmarkEnd w:id="64"/>
    </w:p>
    <w:p w14:paraId="32F77268" w14:textId="6F39718D" w:rsidR="00744121" w:rsidRDefault="006136D7" w:rsidP="00990159">
      <w:pPr>
        <w:rPr>
          <w:lang w:eastAsia="ja-JP"/>
        </w:rPr>
      </w:pPr>
      <w:r w:rsidRPr="002B3624">
        <w:t xml:space="preserve">The </w:t>
      </w:r>
      <w:r>
        <w:t>PI</w:t>
      </w:r>
      <w:r w:rsidRPr="002B3624">
        <w:t xml:space="preserve"> for </w:t>
      </w:r>
      <w:r w:rsidR="00DC724B">
        <w:t>Crysvita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1" w:history="1">
        <w:r w:rsidR="007C6B9B" w:rsidRPr="007C6B9B">
          <w:rPr>
            <w:rStyle w:val="Hyperlink"/>
          </w:rPr>
          <w:t>https://www.tga.gov.au/product-information-pi</w:t>
        </w:r>
      </w:hyperlink>
      <w:r w:rsidR="007C6B9B" w:rsidRPr="007C6B9B">
        <w:t xml:space="preserve">&gt;. </w:t>
      </w:r>
      <w:r w:rsidR="008E7846" w:rsidRPr="00C80137">
        <w:rPr>
          <w:b/>
        </w:rPr>
        <w:br w:type="page"/>
      </w:r>
    </w:p>
    <w:p w14:paraId="59ECBC9F" w14:textId="77777777" w:rsidR="00C80137" w:rsidRPr="001D043B" w:rsidRDefault="00C80137" w:rsidP="003A7F6C">
      <w:pPr>
        <w:pStyle w:val="TableTitle"/>
        <w:sectPr w:rsidR="00C80137"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11A4BA08" w14:textId="77777777" w:rsidTr="00A05FA4">
        <w:trPr>
          <w:trHeight w:hRule="exact" w:val="704"/>
        </w:trPr>
        <w:tc>
          <w:tcPr>
            <w:tcW w:w="9175" w:type="dxa"/>
          </w:tcPr>
          <w:p w14:paraId="6A0D0C7B" w14:textId="77777777" w:rsidR="001C32CD" w:rsidRPr="00487162" w:rsidRDefault="001C32CD" w:rsidP="00A05FA4">
            <w:pPr>
              <w:pStyle w:val="TGASignoff"/>
            </w:pPr>
            <w:r w:rsidRPr="00487162">
              <w:lastRenderedPageBreak/>
              <w:t>Therapeutic Goods Administration</w:t>
            </w:r>
          </w:p>
        </w:tc>
      </w:tr>
      <w:tr w:rsidR="001C32CD" w:rsidRPr="004C239D" w14:paraId="1801FD00" w14:textId="77777777" w:rsidTr="00A05FA4">
        <w:trPr>
          <w:trHeight w:val="1221"/>
        </w:trPr>
        <w:tc>
          <w:tcPr>
            <w:tcW w:w="9175" w:type="dxa"/>
            <w:tcMar>
              <w:top w:w="28" w:type="dxa"/>
            </w:tcMar>
          </w:tcPr>
          <w:p w14:paraId="7781753B" w14:textId="77777777" w:rsidR="001C32CD" w:rsidRPr="00487162" w:rsidRDefault="001C32CD" w:rsidP="00A05FA4">
            <w:pPr>
              <w:pStyle w:val="Address"/>
            </w:pPr>
            <w:r w:rsidRPr="00487162">
              <w:t>PO Box 100 Woden ACT 2606 Australia</w:t>
            </w:r>
          </w:p>
          <w:p w14:paraId="3C7B5EB5" w14:textId="75892CDB" w:rsidR="001C32CD" w:rsidRPr="00487162" w:rsidRDefault="001C32CD" w:rsidP="00A05FA4">
            <w:pPr>
              <w:pStyle w:val="Address"/>
            </w:pPr>
            <w:r w:rsidRPr="00487162">
              <w:t xml:space="preserve">Email: </w:t>
            </w:r>
            <w:hyperlink r:id="rId26" w:history="1">
              <w:r w:rsidRPr="004C239D">
                <w:rPr>
                  <w:rStyle w:val="Hyperlink"/>
                </w:rPr>
                <w:t>info@tga.gov.au</w:t>
              </w:r>
            </w:hyperlink>
            <w:r w:rsidRPr="00487162">
              <w:t xml:space="preserve">  Phone: 1800 020 653 Fax: 02 6232 8605</w:t>
            </w:r>
          </w:p>
          <w:p w14:paraId="63ED0C69" w14:textId="0E5B121D" w:rsidR="001C32CD" w:rsidRPr="004C239D" w:rsidRDefault="00CE651C" w:rsidP="00A05FA4">
            <w:pPr>
              <w:pStyle w:val="Address"/>
              <w:spacing w:line="260" w:lineRule="atLeast"/>
              <w:rPr>
                <w:b/>
                <w:color w:val="0000FF"/>
                <w:u w:val="single"/>
              </w:rPr>
            </w:pPr>
            <w:hyperlink r:id="rId27" w:history="1">
              <w:r w:rsidR="007C6B9B" w:rsidRPr="007C6B9B">
                <w:rPr>
                  <w:rStyle w:val="Hyperlink"/>
                  <w:b/>
                </w:rPr>
                <w:t>https://www.tga.gov.au</w:t>
              </w:r>
            </w:hyperlink>
          </w:p>
        </w:tc>
      </w:tr>
    </w:tbl>
    <w:p w14:paraId="1F53AF36" w14:textId="77777777" w:rsidR="00774E1D" w:rsidRPr="008A5E0B" w:rsidRDefault="00774E1D" w:rsidP="004C239D"/>
    <w:sectPr w:rsidR="00774E1D" w:rsidRPr="008A5E0B"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1D3F9" w14:textId="77777777" w:rsidR="00C232F5" w:rsidRDefault="00C232F5" w:rsidP="00C40A36">
      <w:pPr>
        <w:spacing w:after="0"/>
      </w:pPr>
      <w:r>
        <w:separator/>
      </w:r>
    </w:p>
  </w:endnote>
  <w:endnote w:type="continuationSeparator" w:id="0">
    <w:p w14:paraId="7E997A8D" w14:textId="77777777" w:rsidR="00C232F5" w:rsidRDefault="00C232F5" w:rsidP="00C40A36">
      <w:pPr>
        <w:spacing w:after="0"/>
      </w:pPr>
      <w:r>
        <w:continuationSeparator/>
      </w:r>
    </w:p>
  </w:endnote>
  <w:endnote w:type="continuationNotice" w:id="1">
    <w:p w14:paraId="428BD350" w14:textId="77777777" w:rsidR="00C232F5" w:rsidRDefault="00C232F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232F5" w:rsidRPr="00487162" w14:paraId="4E67B411" w14:textId="77777777" w:rsidTr="00DB750B">
      <w:trPr>
        <w:trHeight w:val="269"/>
      </w:trPr>
      <w:tc>
        <w:tcPr>
          <w:tcW w:w="7371" w:type="dxa"/>
          <w:tcMar>
            <w:top w:w="142" w:type="dxa"/>
            <w:bottom w:w="0" w:type="dxa"/>
          </w:tcMar>
        </w:tcPr>
        <w:p w14:paraId="74FE1BAB" w14:textId="78BACC65" w:rsidR="00C232F5" w:rsidRPr="00890934" w:rsidRDefault="00C232F5" w:rsidP="00890934">
          <w:pPr>
            <w:pStyle w:val="Footer"/>
          </w:pPr>
          <w:proofErr w:type="spellStart"/>
          <w:r w:rsidRPr="00890934">
            <w:t>Aus</w:t>
          </w:r>
          <w:r>
            <w:t>PAR</w:t>
          </w:r>
          <w:proofErr w:type="spellEnd"/>
          <w:r w:rsidRPr="00890934">
            <w:t xml:space="preserve"> - </w:t>
          </w:r>
          <w:proofErr w:type="spellStart"/>
          <w:r w:rsidRPr="00890934">
            <w:t>Crysvita</w:t>
          </w:r>
          <w:proofErr w:type="spellEnd"/>
          <w:r w:rsidRPr="00890934">
            <w:t xml:space="preserve"> – </w:t>
          </w:r>
          <w:proofErr w:type="spellStart"/>
          <w:r w:rsidRPr="00890934">
            <w:t>burosumab</w:t>
          </w:r>
          <w:proofErr w:type="spellEnd"/>
          <w:r w:rsidRPr="00890934">
            <w:t xml:space="preserve"> – Kyowa Kirin Australia Pty Ltd – PM-2020-03892-1-5</w:t>
          </w:r>
          <w:r w:rsidRPr="00890934">
            <w:br/>
          </w:r>
          <w:r>
            <w:t>FINAL 29 June 2022</w:t>
          </w:r>
        </w:p>
      </w:tc>
      <w:tc>
        <w:tcPr>
          <w:tcW w:w="1490" w:type="dxa"/>
          <w:tcMar>
            <w:top w:w="142" w:type="dxa"/>
            <w:bottom w:w="0" w:type="dxa"/>
          </w:tcMar>
        </w:tcPr>
        <w:p w14:paraId="53786FD9" w14:textId="24A1FE48" w:rsidR="00C232F5" w:rsidRPr="00487162" w:rsidRDefault="00C232F5" w:rsidP="00DB750B">
          <w:pPr>
            <w:pStyle w:val="Footer"/>
            <w:jc w:val="right"/>
          </w:pPr>
          <w:r w:rsidRPr="00487162">
            <w:t xml:space="preserve">Page </w:t>
          </w:r>
          <w:r>
            <w:fldChar w:fldCharType="begin"/>
          </w:r>
          <w:r>
            <w:instrText xml:space="preserve"> PAGE  \* Arabic </w:instrText>
          </w:r>
          <w:r>
            <w:fldChar w:fldCharType="separate"/>
          </w:r>
          <w:r>
            <w:rPr>
              <w:noProof/>
            </w:rPr>
            <w:t>43</w:t>
          </w:r>
          <w:r>
            <w:fldChar w:fldCharType="end"/>
          </w:r>
          <w:r w:rsidRPr="00487162">
            <w:t xml:space="preserve"> of </w:t>
          </w:r>
          <w:r>
            <w:fldChar w:fldCharType="begin"/>
          </w:r>
          <w:r>
            <w:instrText>NUMPAGES  \* Arabic</w:instrText>
          </w:r>
          <w:r>
            <w:fldChar w:fldCharType="separate"/>
          </w:r>
          <w:r>
            <w:rPr>
              <w:noProof/>
            </w:rPr>
            <w:t>44</w:t>
          </w:r>
          <w:r>
            <w:fldChar w:fldCharType="end"/>
          </w:r>
        </w:p>
      </w:tc>
    </w:tr>
  </w:tbl>
  <w:p w14:paraId="7B73E104" w14:textId="77777777" w:rsidR="00C232F5" w:rsidRDefault="00C232F5"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232F5" w:rsidRPr="00487162" w14:paraId="19461D38" w14:textId="77777777" w:rsidTr="00E45619">
      <w:trPr>
        <w:trHeight w:val="269"/>
      </w:trPr>
      <w:tc>
        <w:tcPr>
          <w:tcW w:w="4519" w:type="dxa"/>
          <w:tcBorders>
            <w:top w:val="single" w:sz="4" w:space="0" w:color="auto"/>
          </w:tcBorders>
          <w:tcMar>
            <w:top w:w="142" w:type="dxa"/>
            <w:bottom w:w="0" w:type="dxa"/>
          </w:tcMar>
        </w:tcPr>
        <w:p w14:paraId="32C43900" w14:textId="77777777" w:rsidR="00C232F5" w:rsidRPr="00487162" w:rsidRDefault="00C232F5" w:rsidP="00FE1DEE">
          <w:pPr>
            <w:pStyle w:val="Footer"/>
          </w:pPr>
          <w:r w:rsidRPr="00487162">
            <w:t>Document title, Part #, Section # - Section title</w:t>
          </w:r>
        </w:p>
        <w:p w14:paraId="2CCB9296" w14:textId="77777777" w:rsidR="00C232F5" w:rsidRPr="00487162" w:rsidRDefault="00C232F5" w:rsidP="00FE1DEE">
          <w:pPr>
            <w:pStyle w:val="Footer"/>
          </w:pPr>
          <w:r w:rsidRPr="00487162">
            <w:t>V1.0 October 2010</w:t>
          </w:r>
        </w:p>
      </w:tc>
      <w:tc>
        <w:tcPr>
          <w:tcW w:w="4342" w:type="dxa"/>
          <w:tcBorders>
            <w:top w:val="single" w:sz="4" w:space="0" w:color="auto"/>
          </w:tcBorders>
          <w:tcMar>
            <w:top w:w="142" w:type="dxa"/>
            <w:bottom w:w="0" w:type="dxa"/>
          </w:tcMar>
        </w:tcPr>
        <w:p w14:paraId="18C35950" w14:textId="77777777" w:rsidR="00C232F5" w:rsidRPr="00487162" w:rsidRDefault="00C232F5"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NUMPAGES</w:instrText>
          </w:r>
          <w:r>
            <w:fldChar w:fldCharType="separate"/>
          </w:r>
          <w:r>
            <w:rPr>
              <w:noProof/>
            </w:rPr>
            <w:t>21</w:t>
          </w:r>
          <w:r>
            <w:fldChar w:fldCharType="end"/>
          </w:r>
        </w:p>
      </w:tc>
    </w:tr>
  </w:tbl>
  <w:p w14:paraId="31DBA7F0" w14:textId="77777777" w:rsidR="00C232F5" w:rsidRDefault="00C232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DAB6E" w14:textId="77777777" w:rsidR="00C232F5" w:rsidRPr="001C32CD" w:rsidRDefault="00C232F5"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232F5" w14:paraId="26780239" w14:textId="77777777" w:rsidTr="0010601F">
      <w:trPr>
        <w:trHeight w:val="108"/>
      </w:trPr>
      <w:tc>
        <w:tcPr>
          <w:tcW w:w="8875" w:type="dxa"/>
          <w:gridSpan w:val="2"/>
          <w:tcBorders>
            <w:bottom w:val="single" w:sz="4" w:space="0" w:color="auto"/>
          </w:tcBorders>
          <w:tcMar>
            <w:right w:w="284" w:type="dxa"/>
          </w:tcMar>
        </w:tcPr>
        <w:p w14:paraId="3B5B54B7" w14:textId="77777777" w:rsidR="00C232F5" w:rsidRDefault="00C232F5" w:rsidP="006E08B3">
          <w:pPr>
            <w:pStyle w:val="Heading3"/>
          </w:pPr>
          <w:r>
            <w:t>Copyright</w:t>
          </w:r>
        </w:p>
        <w:p w14:paraId="39CDBC3C" w14:textId="77777777" w:rsidR="00C232F5" w:rsidRDefault="00C232F5" w:rsidP="006E08B3">
          <w:r>
            <w:rPr>
              <w:rFonts w:cs="Arial"/>
            </w:rPr>
            <w:t>©</w:t>
          </w:r>
          <w:r>
            <w:t xml:space="preserve"> Commonwealth of Australia [add year]</w:t>
          </w:r>
        </w:p>
        <w:p w14:paraId="24BB15C7" w14:textId="77777777" w:rsidR="00C232F5" w:rsidRDefault="00C232F5" w:rsidP="006E08B3"/>
        <w:p w14:paraId="383F2DD0" w14:textId="77777777" w:rsidR="00C232F5" w:rsidRDefault="00C232F5"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6ACD5914" w14:textId="77777777" w:rsidR="00C232F5" w:rsidRDefault="00C232F5" w:rsidP="006E08B3"/>
        <w:p w14:paraId="62DF5045" w14:textId="77777777" w:rsidR="00C232F5" w:rsidRDefault="00C232F5" w:rsidP="006E08B3">
          <w:pPr>
            <w:pStyle w:val="Heading3"/>
          </w:pPr>
          <w:r>
            <w:t>Confidentiality</w:t>
          </w:r>
        </w:p>
        <w:p w14:paraId="2C175896" w14:textId="77777777" w:rsidR="00C232F5" w:rsidRDefault="00C232F5"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16AE2D17" w14:textId="77777777" w:rsidR="00C232F5" w:rsidRDefault="00C232F5" w:rsidP="006E08B3"/>
        <w:p w14:paraId="3304807B" w14:textId="77777777" w:rsidR="00C232F5" w:rsidRDefault="00C232F5" w:rsidP="006E08B3">
          <w:r>
            <w:t>For submission made by individuals, all personal details, other than your name, will be removed from your submission before it is published on the TGA’s Internet site.</w:t>
          </w:r>
        </w:p>
        <w:p w14:paraId="4EC1C034" w14:textId="77777777" w:rsidR="00C232F5" w:rsidRDefault="00C232F5" w:rsidP="006E08B3"/>
        <w:p w14:paraId="79F77CB4" w14:textId="77777777" w:rsidR="00C232F5" w:rsidRDefault="00C232F5"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232F5" w14:paraId="6DE3CC97" w14:textId="77777777" w:rsidTr="0010601F">
      <w:trPr>
        <w:trHeight w:val="417"/>
      </w:trPr>
      <w:tc>
        <w:tcPr>
          <w:tcW w:w="4519" w:type="dxa"/>
          <w:tcBorders>
            <w:top w:val="single" w:sz="4" w:space="0" w:color="auto"/>
          </w:tcBorders>
          <w:tcMar>
            <w:top w:w="142" w:type="dxa"/>
            <w:bottom w:w="0" w:type="dxa"/>
          </w:tcMar>
        </w:tcPr>
        <w:p w14:paraId="64FA0FDC" w14:textId="77777777" w:rsidR="00C232F5" w:rsidRDefault="00C232F5" w:rsidP="006E08B3">
          <w:r>
            <w:t>Document title, Part #, Section # - Section title</w:t>
          </w:r>
        </w:p>
        <w:p w14:paraId="683F4BE1" w14:textId="77777777" w:rsidR="00C232F5" w:rsidRDefault="00C232F5" w:rsidP="006E08B3">
          <w:r>
            <w:t>V1.0 October 2010</w:t>
          </w:r>
        </w:p>
      </w:tc>
      <w:tc>
        <w:tcPr>
          <w:tcW w:w="4356" w:type="dxa"/>
          <w:tcBorders>
            <w:top w:val="single" w:sz="4" w:space="0" w:color="auto"/>
          </w:tcBorders>
          <w:tcMar>
            <w:top w:w="142" w:type="dxa"/>
            <w:bottom w:w="0" w:type="dxa"/>
          </w:tcMar>
        </w:tcPr>
        <w:p w14:paraId="5F4ED239" w14:textId="77777777" w:rsidR="00C232F5" w:rsidRDefault="00C232F5"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NUMPAGES  \* Arabic</w:instrText>
          </w:r>
          <w:r>
            <w:fldChar w:fldCharType="separate"/>
          </w:r>
          <w:r>
            <w:rPr>
              <w:noProof/>
            </w:rPr>
            <w:t>21</w:t>
          </w:r>
          <w:r>
            <w:fldChar w:fldCharType="end"/>
          </w:r>
          <w:r>
            <w:t xml:space="preserve">  </w:t>
          </w:r>
        </w:p>
      </w:tc>
    </w:tr>
  </w:tbl>
  <w:p w14:paraId="572CAEAC" w14:textId="77777777" w:rsidR="00C232F5" w:rsidRDefault="00C232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8A426" w14:textId="77777777" w:rsidR="00C232F5" w:rsidRDefault="00C232F5" w:rsidP="00C40A36">
      <w:pPr>
        <w:spacing w:after="0"/>
      </w:pPr>
      <w:r>
        <w:separator/>
      </w:r>
    </w:p>
  </w:footnote>
  <w:footnote w:type="continuationSeparator" w:id="0">
    <w:p w14:paraId="3F437EB9" w14:textId="77777777" w:rsidR="00C232F5" w:rsidRDefault="00C232F5" w:rsidP="00C40A36">
      <w:pPr>
        <w:spacing w:after="0"/>
      </w:pPr>
      <w:r>
        <w:continuationSeparator/>
      </w:r>
    </w:p>
  </w:footnote>
  <w:footnote w:type="continuationNotice" w:id="1">
    <w:p w14:paraId="005CF624" w14:textId="77777777" w:rsidR="00C232F5" w:rsidRDefault="00C232F5">
      <w:pPr>
        <w:spacing w:before="0" w:after="0" w:line="240" w:lineRule="auto"/>
      </w:pPr>
    </w:p>
  </w:footnote>
  <w:footnote w:id="2">
    <w:p w14:paraId="75C1892B" w14:textId="77777777" w:rsidR="00C232F5" w:rsidRDefault="00C232F5">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3">
    <w:p w14:paraId="3143E0CD" w14:textId="1196E1E8" w:rsidR="00C232F5" w:rsidRDefault="00C232F5">
      <w:pPr>
        <w:pStyle w:val="FootnoteText"/>
      </w:pPr>
      <w:r>
        <w:rPr>
          <w:rStyle w:val="FootnoteReference"/>
        </w:rPr>
        <w:footnoteRef/>
      </w:r>
      <w:r>
        <w:t xml:space="preserve"> </w:t>
      </w:r>
      <w:r w:rsidRPr="00907EC4">
        <w:t xml:space="preserve">Application to revise the US-PI for updating the results of adult Phase </w:t>
      </w:r>
      <w:r>
        <w:t>III</w:t>
      </w:r>
      <w:r w:rsidRPr="00907EC4">
        <w:t xml:space="preserve"> study (Study UX023-CL303)</w:t>
      </w:r>
    </w:p>
  </w:footnote>
  <w:footnote w:id="4">
    <w:p w14:paraId="7A469137" w14:textId="64654B9C" w:rsidR="00C232F5" w:rsidRDefault="00C232F5">
      <w:pPr>
        <w:pStyle w:val="FootnoteText"/>
      </w:pPr>
      <w:r>
        <w:rPr>
          <w:rStyle w:val="FootnoteReference"/>
        </w:rPr>
        <w:footnoteRef/>
      </w:r>
      <w:r>
        <w:t xml:space="preserve"> </w:t>
      </w:r>
      <w:r w:rsidRPr="00907EC4">
        <w:t>Application to extend the indication for paediatric XLH patients aged 6 to 12 months and to revise the US-PI for including the result o</w:t>
      </w:r>
      <w:r w:rsidRPr="00883EC1">
        <w:t xml:space="preserve">f paediatric Phase </w:t>
      </w:r>
      <w:r>
        <w:t>III</w:t>
      </w:r>
      <w:r w:rsidRPr="00883EC1">
        <w:t xml:space="preserve"> study (Study UX023-CL301).</w:t>
      </w:r>
    </w:p>
  </w:footnote>
  <w:footnote w:id="5">
    <w:p w14:paraId="68F43547" w14:textId="35469292" w:rsidR="00C232F5" w:rsidRDefault="00C232F5">
      <w:pPr>
        <w:pStyle w:val="FootnoteText"/>
      </w:pPr>
      <w:r>
        <w:rPr>
          <w:rStyle w:val="FootnoteReference"/>
        </w:rPr>
        <w:footnoteRef/>
      </w:r>
      <w:r>
        <w:t xml:space="preserve"> </w:t>
      </w:r>
      <w:r w:rsidRPr="003D0869">
        <w:t>The TGA has implemented a priority pathway for the registration of novel prescription medicines for Australian patients. The priority pathway provides a formal mechanism for faster assessment of vital and life-saving prescription medicines. The target timeframe of 150 working days is up to three months shorter than the standard prescription medicines registration process.</w:t>
      </w:r>
      <w:r>
        <w:t xml:space="preserve"> </w:t>
      </w:r>
    </w:p>
  </w:footnote>
  <w:footnote w:id="6">
    <w:p w14:paraId="34FD8F66" w14:textId="7221DF88" w:rsidR="00C232F5" w:rsidRDefault="00C232F5">
      <w:pPr>
        <w:pStyle w:val="FootnoteText"/>
      </w:pPr>
      <w:r>
        <w:rPr>
          <w:rStyle w:val="FootnoteReference"/>
        </w:rPr>
        <w:footnoteRef/>
      </w:r>
      <w:r>
        <w:t xml:space="preserve"> </w:t>
      </w:r>
      <w:r w:rsidRPr="003D0869">
        <w:t>'Orphan drugs' are often developed to treat small and very specific patient populations who suffer from rare diseases and conditions. In order to facilitate orphan drug access to the Australian marketplace and help offset orphan drug development costs the TGA waives application and evaluation fees for prescription medicine registration applications if a related orphan designation is in force. A medicine may be eligible for orphan drug designation if all orphan criteria set by the TGA are met. The orphan designation application precedes the registration application and the designation is specific to the sponsor, orphan indication for which designation was granted and dosage form of the medicine.</w:t>
      </w:r>
      <w:r>
        <w:t xml:space="preserve"> </w:t>
      </w:r>
    </w:p>
  </w:footnote>
  <w:footnote w:id="7">
    <w:p w14:paraId="0ED17DB8" w14:textId="4B9ACFAC" w:rsidR="00C232F5" w:rsidRDefault="00C232F5">
      <w:pPr>
        <w:pStyle w:val="FootnoteText"/>
      </w:pPr>
      <w:r>
        <w:rPr>
          <w:rStyle w:val="FootnoteReference"/>
        </w:rPr>
        <w:footnoteRef/>
      </w:r>
      <w:r>
        <w:t xml:space="preserve"> </w:t>
      </w:r>
      <w:r w:rsidRPr="002321DC">
        <w:t xml:space="preserve">Drugs which have been taken by only a limited number of pregnant women and women of childbearing age, without an increase in the frequency of malformation or other direct or indirect harmful effects on the human </w:t>
      </w:r>
      <w:r w:rsidRPr="002321DC">
        <w:t>fetus having been observed. Studies in animals have shown evidence of an increased occurrence of fetal damage, the significance of which is considered uncertain in humans.</w:t>
      </w:r>
      <w:r>
        <w:t xml:space="preserve"> </w:t>
      </w:r>
    </w:p>
  </w:footnote>
  <w:footnote w:id="8">
    <w:p w14:paraId="3AB1A735" w14:textId="40088032" w:rsidR="00C232F5" w:rsidRDefault="00C232F5">
      <w:pPr>
        <w:pStyle w:val="FootnoteText"/>
      </w:pPr>
      <w:r>
        <w:rPr>
          <w:rStyle w:val="FootnoteReference"/>
        </w:rPr>
        <w:footnoteRef/>
      </w:r>
      <w:r>
        <w:t xml:space="preserve"> </w:t>
      </w:r>
      <w:r w:rsidRPr="00E31D3F">
        <w:t>The E</w:t>
      </w:r>
      <w:r w:rsidRPr="00E31D3F">
        <w:rPr>
          <w:vertAlign w:val="subscript"/>
        </w:rPr>
        <w:t>max</w:t>
      </w:r>
      <w:r w:rsidRPr="00E31D3F">
        <w:t xml:space="preserve"> model is a nonlinear model frequently used in dose-response analyses.</w:t>
      </w:r>
    </w:p>
  </w:footnote>
  <w:footnote w:id="9">
    <w:p w14:paraId="2018BBB6" w14:textId="2FDF5680" w:rsidR="00C232F5" w:rsidRDefault="00C232F5">
      <w:pPr>
        <w:pStyle w:val="FootnoteText"/>
      </w:pPr>
      <w:r>
        <w:rPr>
          <w:rStyle w:val="FootnoteReference"/>
        </w:rPr>
        <w:footnoteRef/>
      </w:r>
      <w:r>
        <w:t xml:space="preserve"> </w:t>
      </w:r>
      <w:r w:rsidRPr="00EA1515">
        <w:t>At Week 24, the participants that were in placebo group were switched over to burosuman (1 mg/kg).</w:t>
      </w:r>
      <w:r>
        <w:t xml:space="preserve"> </w:t>
      </w:r>
    </w:p>
  </w:footnote>
  <w:footnote w:id="10">
    <w:p w14:paraId="1CB81DBA" w14:textId="77777777" w:rsidR="00C232F5" w:rsidRDefault="00C232F5"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5E5919A6" w14:textId="77777777" w:rsidR="00C232F5" w:rsidRDefault="00C232F5" w:rsidP="007D53B6">
      <w:pPr>
        <w:pStyle w:val="FootnoteText"/>
      </w:pPr>
      <w:r w:rsidRPr="007D53B6">
        <w:rPr>
          <w:i/>
        </w:rPr>
        <w:t>Routine pharmacovigilance</w:t>
      </w:r>
      <w:r>
        <w:t xml:space="preserve"> practices involve the following activities:</w:t>
      </w:r>
    </w:p>
    <w:p w14:paraId="1B39CE2C" w14:textId="77777777" w:rsidR="00C232F5" w:rsidRDefault="00C232F5" w:rsidP="007D53B6">
      <w:pPr>
        <w:pStyle w:val="FootnoteText"/>
        <w:numPr>
          <w:ilvl w:val="0"/>
          <w:numId w:val="32"/>
        </w:numPr>
        <w:ind w:left="284" w:hanging="284"/>
      </w:pPr>
      <w:r>
        <w:t>All suspected adverse reactions that are reported to the personnel of the company are collected and collated in an accessible manner;</w:t>
      </w:r>
    </w:p>
    <w:p w14:paraId="13A731CC" w14:textId="77777777" w:rsidR="00C232F5" w:rsidRDefault="00C232F5" w:rsidP="007D53B6">
      <w:pPr>
        <w:pStyle w:val="FootnoteText"/>
        <w:numPr>
          <w:ilvl w:val="0"/>
          <w:numId w:val="32"/>
        </w:numPr>
        <w:ind w:left="284" w:hanging="284"/>
      </w:pPr>
      <w:r>
        <w:t>Reporting to regulatory authorities;</w:t>
      </w:r>
    </w:p>
    <w:p w14:paraId="102E2159" w14:textId="77777777" w:rsidR="00C232F5" w:rsidRDefault="00C232F5" w:rsidP="007D53B6">
      <w:pPr>
        <w:pStyle w:val="FootnoteText"/>
        <w:numPr>
          <w:ilvl w:val="0"/>
          <w:numId w:val="32"/>
        </w:numPr>
        <w:ind w:left="284" w:hanging="284"/>
      </w:pPr>
      <w:r>
        <w:t>Continuous monitoring of the safety profiles of approved products including signal detection and updating of labelling;</w:t>
      </w:r>
    </w:p>
    <w:p w14:paraId="54C21CB0" w14:textId="77777777" w:rsidR="00C232F5" w:rsidRDefault="00C232F5" w:rsidP="007D53B6">
      <w:pPr>
        <w:pStyle w:val="FootnoteText"/>
        <w:numPr>
          <w:ilvl w:val="0"/>
          <w:numId w:val="32"/>
        </w:numPr>
        <w:ind w:left="284" w:hanging="284"/>
      </w:pPr>
      <w:r>
        <w:t>Submission of PSURs;</w:t>
      </w:r>
    </w:p>
    <w:p w14:paraId="35D35F1C" w14:textId="77777777" w:rsidR="00C232F5" w:rsidRDefault="00C232F5" w:rsidP="007D53B6">
      <w:pPr>
        <w:pStyle w:val="FootnoteText"/>
        <w:numPr>
          <w:ilvl w:val="0"/>
          <w:numId w:val="32"/>
        </w:numPr>
        <w:ind w:left="284" w:hanging="284"/>
      </w:pPr>
      <w:r>
        <w:t>Meeting other local regulatory agency requirements.</w:t>
      </w:r>
    </w:p>
  </w:footnote>
  <w:footnote w:id="11">
    <w:p w14:paraId="327E04D7" w14:textId="479101EF" w:rsidR="00C232F5" w:rsidRDefault="00C232F5">
      <w:pPr>
        <w:pStyle w:val="FootnoteText"/>
      </w:pPr>
      <w:r>
        <w:rPr>
          <w:rStyle w:val="FootnoteReference"/>
        </w:rPr>
        <w:footnoteRef/>
      </w:r>
      <w:r>
        <w:t xml:space="preserve"> EMA, European Public Assessment Report (EPAR), Crysvita (burosumab), EMEA/H/C/004275-IA/0027/G, 3 December 2021. Available from the EMA website. </w:t>
      </w:r>
    </w:p>
  </w:footnote>
  <w:footnote w:id="12">
    <w:p w14:paraId="26F190DA" w14:textId="77777777" w:rsidR="00C232F5" w:rsidRPr="00456765" w:rsidRDefault="00C232F5" w:rsidP="00FB369D">
      <w:pPr>
        <w:pStyle w:val="FootnoteText"/>
        <w:rPr>
          <w:lang w:val="en-US"/>
        </w:rPr>
      </w:pPr>
      <w:r>
        <w:rPr>
          <w:rStyle w:val="FootnoteReference"/>
        </w:rPr>
        <w:footnoteRef/>
      </w:r>
      <w:r>
        <w:t xml:space="preserve"> </w:t>
      </w:r>
      <w:r w:rsidRPr="00FB369D">
        <w:t xml:space="preserve">The ACM provides independent medical and scientific advice to the Minister for Health and the TGA on issues relating to the safety, quality and efficacy of medicines supplied in Australia including issues relating to pre market and post-market functions for medicines. Further information can be found here: </w:t>
      </w:r>
      <w:hyperlink r:id="rId1" w:history="1">
        <w:r w:rsidRPr="0004151A">
          <w:rPr>
            <w:rStyle w:val="Hyperlink"/>
          </w:rPr>
          <w:t>https://www.tga.gov.au/committee/advisory-committee-medicines-acm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92239" w14:textId="77777777" w:rsidR="00C232F5" w:rsidRDefault="00C232F5"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01A86" w14:textId="77777777" w:rsidR="00C232F5" w:rsidRDefault="00C232F5">
    <w:pPr>
      <w:rPr>
        <w:noProof/>
        <w:lang w:eastAsia="en-AU"/>
      </w:rPr>
    </w:pPr>
    <w:r w:rsidRPr="00347824">
      <w:rPr>
        <w:noProof/>
        <w:lang w:val="en-GB" w:eastAsia="en-GB"/>
      </w:rPr>
      <w:drawing>
        <wp:anchor distT="0" distB="0" distL="114300" distR="114300" simplePos="0" relativeHeight="251658240" behindDoc="1" locked="0" layoutInCell="1" allowOverlap="1" wp14:anchorId="7A27E7D9" wp14:editId="67F67A5F">
          <wp:simplePos x="0" y="0"/>
          <wp:positionH relativeFrom="column">
            <wp:posOffset>-1089660</wp:posOffset>
          </wp:positionH>
          <wp:positionV relativeFrom="paragraph">
            <wp:posOffset>-585470</wp:posOffset>
          </wp:positionV>
          <wp:extent cx="7572375" cy="10706100"/>
          <wp:effectExtent l="19050" t="0" r="0" b="0"/>
          <wp:wrapNone/>
          <wp:docPr id="6"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5B165BCC" w14:textId="77777777" w:rsidR="00C232F5" w:rsidRDefault="00C232F5"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99E09" w14:textId="77777777" w:rsidR="00C232F5" w:rsidRDefault="00C232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C3B82" w14:textId="77777777" w:rsidR="00C232F5" w:rsidRDefault="00C232F5">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E22CE" w14:textId="77777777" w:rsidR="00C232F5" w:rsidRDefault="00C232F5">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0275F" w14:textId="77777777" w:rsidR="00C232F5" w:rsidRDefault="00C232F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70432" w14:textId="77777777" w:rsidR="00C232F5" w:rsidRDefault="00C232F5"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75F49" w14:textId="77777777" w:rsidR="00C232F5" w:rsidRDefault="00C232F5" w:rsidP="006E08B3">
    <w:r>
      <w:t>Therapeutic Goods Administration</w:t>
    </w:r>
  </w:p>
  <w:p w14:paraId="04EF6C62" w14:textId="77777777" w:rsidR="00C232F5" w:rsidRDefault="00C232F5"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7B3E7304"/>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C0C0642"/>
    <w:multiLevelType w:val="hybridMultilevel"/>
    <w:tmpl w:val="137AA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9"/>
  </w:num>
  <w:num w:numId="28">
    <w:abstractNumId w:val="12"/>
  </w:num>
  <w:num w:numId="29">
    <w:abstractNumId w:val="6"/>
  </w:num>
  <w:num w:numId="30">
    <w:abstractNumId w:val="8"/>
  </w:num>
  <w:num w:numId="31">
    <w:abstractNumId w:val="4"/>
  </w:num>
  <w:num w:numId="32">
    <w:abstractNumId w:val="10"/>
  </w:num>
  <w:num w:numId="33">
    <w:abstractNumId w:val="5"/>
    <w:lvlOverride w:ilvl="0">
      <w:startOverride w:val="1"/>
    </w:lvlOverride>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8A"/>
    <w:rsid w:val="00002031"/>
    <w:rsid w:val="00003F1C"/>
    <w:rsid w:val="0000452F"/>
    <w:rsid w:val="00004734"/>
    <w:rsid w:val="00006B22"/>
    <w:rsid w:val="00006FAB"/>
    <w:rsid w:val="0001276A"/>
    <w:rsid w:val="00020753"/>
    <w:rsid w:val="000246AE"/>
    <w:rsid w:val="00025C67"/>
    <w:rsid w:val="00031B2F"/>
    <w:rsid w:val="00044772"/>
    <w:rsid w:val="0004541C"/>
    <w:rsid w:val="0005559E"/>
    <w:rsid w:val="000604D6"/>
    <w:rsid w:val="00062FC7"/>
    <w:rsid w:val="00065AFA"/>
    <w:rsid w:val="000734D8"/>
    <w:rsid w:val="00077775"/>
    <w:rsid w:val="000808AC"/>
    <w:rsid w:val="000831F2"/>
    <w:rsid w:val="00090471"/>
    <w:rsid w:val="000909B6"/>
    <w:rsid w:val="00091EB7"/>
    <w:rsid w:val="00096AA7"/>
    <w:rsid w:val="000A3AED"/>
    <w:rsid w:val="000B3532"/>
    <w:rsid w:val="000B3A75"/>
    <w:rsid w:val="000B5AF3"/>
    <w:rsid w:val="000C00C2"/>
    <w:rsid w:val="000C690F"/>
    <w:rsid w:val="000D1295"/>
    <w:rsid w:val="000D391B"/>
    <w:rsid w:val="000D3D6D"/>
    <w:rsid w:val="000D4FC7"/>
    <w:rsid w:val="000D7F3A"/>
    <w:rsid w:val="000E6196"/>
    <w:rsid w:val="000E79A0"/>
    <w:rsid w:val="000F4869"/>
    <w:rsid w:val="000F5B42"/>
    <w:rsid w:val="000F6E6F"/>
    <w:rsid w:val="00102142"/>
    <w:rsid w:val="0010601F"/>
    <w:rsid w:val="001070FA"/>
    <w:rsid w:val="0010788A"/>
    <w:rsid w:val="00107A31"/>
    <w:rsid w:val="00110EA5"/>
    <w:rsid w:val="00112F56"/>
    <w:rsid w:val="00122C2E"/>
    <w:rsid w:val="00124ACD"/>
    <w:rsid w:val="00125318"/>
    <w:rsid w:val="001305A2"/>
    <w:rsid w:val="00132A82"/>
    <w:rsid w:val="00133238"/>
    <w:rsid w:val="00133A1B"/>
    <w:rsid w:val="00134CDE"/>
    <w:rsid w:val="0014197B"/>
    <w:rsid w:val="00144696"/>
    <w:rsid w:val="001447CD"/>
    <w:rsid w:val="00146809"/>
    <w:rsid w:val="001474A5"/>
    <w:rsid w:val="0014758F"/>
    <w:rsid w:val="001516B1"/>
    <w:rsid w:val="00154EBB"/>
    <w:rsid w:val="00156316"/>
    <w:rsid w:val="00161181"/>
    <w:rsid w:val="00162D14"/>
    <w:rsid w:val="00163780"/>
    <w:rsid w:val="00164E30"/>
    <w:rsid w:val="00165389"/>
    <w:rsid w:val="00171F81"/>
    <w:rsid w:val="00173F06"/>
    <w:rsid w:val="0017693F"/>
    <w:rsid w:val="0018110E"/>
    <w:rsid w:val="00181684"/>
    <w:rsid w:val="001843C6"/>
    <w:rsid w:val="001850E0"/>
    <w:rsid w:val="001A0170"/>
    <w:rsid w:val="001A03AF"/>
    <w:rsid w:val="001A2158"/>
    <w:rsid w:val="001A525F"/>
    <w:rsid w:val="001B09F9"/>
    <w:rsid w:val="001B5C90"/>
    <w:rsid w:val="001B6448"/>
    <w:rsid w:val="001C32CD"/>
    <w:rsid w:val="001D2984"/>
    <w:rsid w:val="001E07CF"/>
    <w:rsid w:val="001E59F1"/>
    <w:rsid w:val="001E7C7F"/>
    <w:rsid w:val="001F2CEE"/>
    <w:rsid w:val="001F49EB"/>
    <w:rsid w:val="001F6CBA"/>
    <w:rsid w:val="00201D4E"/>
    <w:rsid w:val="0020505B"/>
    <w:rsid w:val="002076C9"/>
    <w:rsid w:val="002206A4"/>
    <w:rsid w:val="00220B8A"/>
    <w:rsid w:val="002257F3"/>
    <w:rsid w:val="002262AD"/>
    <w:rsid w:val="002321DC"/>
    <w:rsid w:val="00233456"/>
    <w:rsid w:val="002339A5"/>
    <w:rsid w:val="0023783C"/>
    <w:rsid w:val="00241C1D"/>
    <w:rsid w:val="00250271"/>
    <w:rsid w:val="00251415"/>
    <w:rsid w:val="00257848"/>
    <w:rsid w:val="002578E8"/>
    <w:rsid w:val="002615AC"/>
    <w:rsid w:val="0027084A"/>
    <w:rsid w:val="00272413"/>
    <w:rsid w:val="00274714"/>
    <w:rsid w:val="00280265"/>
    <w:rsid w:val="00286434"/>
    <w:rsid w:val="00286C59"/>
    <w:rsid w:val="0029012C"/>
    <w:rsid w:val="00291957"/>
    <w:rsid w:val="00292157"/>
    <w:rsid w:val="002942D1"/>
    <w:rsid w:val="0029501A"/>
    <w:rsid w:val="002A3721"/>
    <w:rsid w:val="002A66C5"/>
    <w:rsid w:val="002B1638"/>
    <w:rsid w:val="002B3624"/>
    <w:rsid w:val="002D0952"/>
    <w:rsid w:val="002D2512"/>
    <w:rsid w:val="002D42CE"/>
    <w:rsid w:val="002D797A"/>
    <w:rsid w:val="002E12AF"/>
    <w:rsid w:val="002E31CB"/>
    <w:rsid w:val="002E39C1"/>
    <w:rsid w:val="002E40B3"/>
    <w:rsid w:val="002E4C9A"/>
    <w:rsid w:val="002E7DE3"/>
    <w:rsid w:val="002F11F8"/>
    <w:rsid w:val="002F38C7"/>
    <w:rsid w:val="002F3F56"/>
    <w:rsid w:val="002F44B5"/>
    <w:rsid w:val="002F5122"/>
    <w:rsid w:val="00311AC0"/>
    <w:rsid w:val="003176FC"/>
    <w:rsid w:val="00324E45"/>
    <w:rsid w:val="0032583B"/>
    <w:rsid w:val="00327883"/>
    <w:rsid w:val="00335504"/>
    <w:rsid w:val="00340C18"/>
    <w:rsid w:val="003442FD"/>
    <w:rsid w:val="00347824"/>
    <w:rsid w:val="00350567"/>
    <w:rsid w:val="003521E8"/>
    <w:rsid w:val="0036247F"/>
    <w:rsid w:val="00370CE3"/>
    <w:rsid w:val="003728F3"/>
    <w:rsid w:val="003735BC"/>
    <w:rsid w:val="0037496E"/>
    <w:rsid w:val="00383221"/>
    <w:rsid w:val="0038562F"/>
    <w:rsid w:val="00386150"/>
    <w:rsid w:val="003874CE"/>
    <w:rsid w:val="00390900"/>
    <w:rsid w:val="0039201B"/>
    <w:rsid w:val="003978F4"/>
    <w:rsid w:val="003A7F6C"/>
    <w:rsid w:val="003B4D60"/>
    <w:rsid w:val="003B7E39"/>
    <w:rsid w:val="003C58DC"/>
    <w:rsid w:val="003C7212"/>
    <w:rsid w:val="003D0869"/>
    <w:rsid w:val="003D0B0A"/>
    <w:rsid w:val="003D1C88"/>
    <w:rsid w:val="003D1E62"/>
    <w:rsid w:val="003E0B99"/>
    <w:rsid w:val="003E2082"/>
    <w:rsid w:val="003E2486"/>
    <w:rsid w:val="003E3208"/>
    <w:rsid w:val="003F0B04"/>
    <w:rsid w:val="003F22BF"/>
    <w:rsid w:val="003F3AE8"/>
    <w:rsid w:val="0040134E"/>
    <w:rsid w:val="00420EA4"/>
    <w:rsid w:val="00421C5E"/>
    <w:rsid w:val="004334C7"/>
    <w:rsid w:val="00437117"/>
    <w:rsid w:val="0044010F"/>
    <w:rsid w:val="00440A2D"/>
    <w:rsid w:val="00441C3F"/>
    <w:rsid w:val="00441E75"/>
    <w:rsid w:val="0044488A"/>
    <w:rsid w:val="00444D1A"/>
    <w:rsid w:val="0045186A"/>
    <w:rsid w:val="004564A7"/>
    <w:rsid w:val="00456765"/>
    <w:rsid w:val="00460036"/>
    <w:rsid w:val="004617BF"/>
    <w:rsid w:val="00463658"/>
    <w:rsid w:val="004637A0"/>
    <w:rsid w:val="00467BE9"/>
    <w:rsid w:val="004722CC"/>
    <w:rsid w:val="0047276E"/>
    <w:rsid w:val="00476C81"/>
    <w:rsid w:val="0048546B"/>
    <w:rsid w:val="00490483"/>
    <w:rsid w:val="004936E4"/>
    <w:rsid w:val="00494E60"/>
    <w:rsid w:val="00497487"/>
    <w:rsid w:val="004A2771"/>
    <w:rsid w:val="004A36CB"/>
    <w:rsid w:val="004A4DE5"/>
    <w:rsid w:val="004A59C0"/>
    <w:rsid w:val="004A6189"/>
    <w:rsid w:val="004A7390"/>
    <w:rsid w:val="004B53C0"/>
    <w:rsid w:val="004B6D2E"/>
    <w:rsid w:val="004B7B76"/>
    <w:rsid w:val="004C239D"/>
    <w:rsid w:val="004C2DCA"/>
    <w:rsid w:val="004C4FBE"/>
    <w:rsid w:val="004C61D2"/>
    <w:rsid w:val="004D4B6E"/>
    <w:rsid w:val="004E3CB5"/>
    <w:rsid w:val="004F0C4A"/>
    <w:rsid w:val="004F0F38"/>
    <w:rsid w:val="004F47D6"/>
    <w:rsid w:val="00500337"/>
    <w:rsid w:val="00501921"/>
    <w:rsid w:val="00513642"/>
    <w:rsid w:val="00515122"/>
    <w:rsid w:val="005162FB"/>
    <w:rsid w:val="00524DE3"/>
    <w:rsid w:val="005252B2"/>
    <w:rsid w:val="005273A8"/>
    <w:rsid w:val="00530354"/>
    <w:rsid w:val="005312B4"/>
    <w:rsid w:val="0053625B"/>
    <w:rsid w:val="005434C6"/>
    <w:rsid w:val="00543B39"/>
    <w:rsid w:val="00546154"/>
    <w:rsid w:val="00550096"/>
    <w:rsid w:val="00550345"/>
    <w:rsid w:val="005516AF"/>
    <w:rsid w:val="00555280"/>
    <w:rsid w:val="00557FF9"/>
    <w:rsid w:val="00562327"/>
    <w:rsid w:val="005711D5"/>
    <w:rsid w:val="00573CC2"/>
    <w:rsid w:val="00576378"/>
    <w:rsid w:val="00577130"/>
    <w:rsid w:val="00577945"/>
    <w:rsid w:val="00577E38"/>
    <w:rsid w:val="00585322"/>
    <w:rsid w:val="005857C6"/>
    <w:rsid w:val="00592D27"/>
    <w:rsid w:val="00592F6E"/>
    <w:rsid w:val="00593AD1"/>
    <w:rsid w:val="00593DF1"/>
    <w:rsid w:val="005A0392"/>
    <w:rsid w:val="005A68B6"/>
    <w:rsid w:val="005C4B85"/>
    <w:rsid w:val="005C5570"/>
    <w:rsid w:val="005C5B66"/>
    <w:rsid w:val="005C79A4"/>
    <w:rsid w:val="005D3B31"/>
    <w:rsid w:val="005D5442"/>
    <w:rsid w:val="005F0E26"/>
    <w:rsid w:val="00603F32"/>
    <w:rsid w:val="00604074"/>
    <w:rsid w:val="00605AD4"/>
    <w:rsid w:val="00610182"/>
    <w:rsid w:val="00610C61"/>
    <w:rsid w:val="006136D7"/>
    <w:rsid w:val="00625A2F"/>
    <w:rsid w:val="00625A6E"/>
    <w:rsid w:val="00632398"/>
    <w:rsid w:val="00640FC3"/>
    <w:rsid w:val="00642020"/>
    <w:rsid w:val="006430EE"/>
    <w:rsid w:val="006466E5"/>
    <w:rsid w:val="0065337B"/>
    <w:rsid w:val="0065419D"/>
    <w:rsid w:val="00656613"/>
    <w:rsid w:val="006603BC"/>
    <w:rsid w:val="006604D8"/>
    <w:rsid w:val="00664A5B"/>
    <w:rsid w:val="0066610E"/>
    <w:rsid w:val="0066735C"/>
    <w:rsid w:val="00667EEA"/>
    <w:rsid w:val="00674F81"/>
    <w:rsid w:val="006763D2"/>
    <w:rsid w:val="00680C08"/>
    <w:rsid w:val="00681427"/>
    <w:rsid w:val="006823B6"/>
    <w:rsid w:val="006853FE"/>
    <w:rsid w:val="006916A0"/>
    <w:rsid w:val="006931B1"/>
    <w:rsid w:val="006A15C0"/>
    <w:rsid w:val="006A58A8"/>
    <w:rsid w:val="006B23B5"/>
    <w:rsid w:val="006B5683"/>
    <w:rsid w:val="006C3E2A"/>
    <w:rsid w:val="006C642F"/>
    <w:rsid w:val="006D03E5"/>
    <w:rsid w:val="006D12EF"/>
    <w:rsid w:val="006D2E8F"/>
    <w:rsid w:val="006D4981"/>
    <w:rsid w:val="006D5D3E"/>
    <w:rsid w:val="006D667A"/>
    <w:rsid w:val="006E08B3"/>
    <w:rsid w:val="006F17AC"/>
    <w:rsid w:val="006F25B8"/>
    <w:rsid w:val="006F572E"/>
    <w:rsid w:val="007020CE"/>
    <w:rsid w:val="00703E28"/>
    <w:rsid w:val="007046D6"/>
    <w:rsid w:val="00705DB0"/>
    <w:rsid w:val="00715390"/>
    <w:rsid w:val="00722B57"/>
    <w:rsid w:val="00730F8A"/>
    <w:rsid w:val="00731AC9"/>
    <w:rsid w:val="007321A2"/>
    <w:rsid w:val="00733075"/>
    <w:rsid w:val="00735623"/>
    <w:rsid w:val="00735A8C"/>
    <w:rsid w:val="0073676A"/>
    <w:rsid w:val="0074253D"/>
    <w:rsid w:val="00744121"/>
    <w:rsid w:val="0074429B"/>
    <w:rsid w:val="0074628E"/>
    <w:rsid w:val="0075604D"/>
    <w:rsid w:val="007615BC"/>
    <w:rsid w:val="00762F05"/>
    <w:rsid w:val="007652FF"/>
    <w:rsid w:val="00770CAC"/>
    <w:rsid w:val="00770EF1"/>
    <w:rsid w:val="00773EF7"/>
    <w:rsid w:val="00774E1D"/>
    <w:rsid w:val="007765D8"/>
    <w:rsid w:val="0077675A"/>
    <w:rsid w:val="00780355"/>
    <w:rsid w:val="007819FD"/>
    <w:rsid w:val="00785717"/>
    <w:rsid w:val="00785721"/>
    <w:rsid w:val="00786E9C"/>
    <w:rsid w:val="00791548"/>
    <w:rsid w:val="00793A59"/>
    <w:rsid w:val="00796061"/>
    <w:rsid w:val="007A362D"/>
    <w:rsid w:val="007A46F5"/>
    <w:rsid w:val="007A6505"/>
    <w:rsid w:val="007B6132"/>
    <w:rsid w:val="007B6E9F"/>
    <w:rsid w:val="007B78B9"/>
    <w:rsid w:val="007C1216"/>
    <w:rsid w:val="007C121B"/>
    <w:rsid w:val="007C1AF7"/>
    <w:rsid w:val="007C6B9B"/>
    <w:rsid w:val="007D0E9D"/>
    <w:rsid w:val="007D53B6"/>
    <w:rsid w:val="007D54CA"/>
    <w:rsid w:val="007E65A9"/>
    <w:rsid w:val="007F4302"/>
    <w:rsid w:val="00802909"/>
    <w:rsid w:val="00805D27"/>
    <w:rsid w:val="00806DCB"/>
    <w:rsid w:val="00810FF4"/>
    <w:rsid w:val="00821776"/>
    <w:rsid w:val="00823099"/>
    <w:rsid w:val="008321F5"/>
    <w:rsid w:val="00832369"/>
    <w:rsid w:val="00834660"/>
    <w:rsid w:val="00834CEC"/>
    <w:rsid w:val="00836BC2"/>
    <w:rsid w:val="008404F4"/>
    <w:rsid w:val="0084507F"/>
    <w:rsid w:val="008450E9"/>
    <w:rsid w:val="0085156D"/>
    <w:rsid w:val="00852B28"/>
    <w:rsid w:val="0085641B"/>
    <w:rsid w:val="00857136"/>
    <w:rsid w:val="00857D8B"/>
    <w:rsid w:val="0086567D"/>
    <w:rsid w:val="008724BF"/>
    <w:rsid w:val="00875A6B"/>
    <w:rsid w:val="00882812"/>
    <w:rsid w:val="00883EC1"/>
    <w:rsid w:val="00885B11"/>
    <w:rsid w:val="00886D15"/>
    <w:rsid w:val="00887DD8"/>
    <w:rsid w:val="00890934"/>
    <w:rsid w:val="00891BA9"/>
    <w:rsid w:val="0089203A"/>
    <w:rsid w:val="00896018"/>
    <w:rsid w:val="008960DD"/>
    <w:rsid w:val="0089635C"/>
    <w:rsid w:val="008A2B9D"/>
    <w:rsid w:val="008A3D9F"/>
    <w:rsid w:val="008A5E0B"/>
    <w:rsid w:val="008A6D59"/>
    <w:rsid w:val="008B4B03"/>
    <w:rsid w:val="008B596F"/>
    <w:rsid w:val="008C121B"/>
    <w:rsid w:val="008C159F"/>
    <w:rsid w:val="008C1623"/>
    <w:rsid w:val="008C1850"/>
    <w:rsid w:val="008C1D7A"/>
    <w:rsid w:val="008C51A9"/>
    <w:rsid w:val="008C7415"/>
    <w:rsid w:val="008E2C09"/>
    <w:rsid w:val="008E7846"/>
    <w:rsid w:val="008F02E5"/>
    <w:rsid w:val="008F1CCC"/>
    <w:rsid w:val="008F2967"/>
    <w:rsid w:val="008F6943"/>
    <w:rsid w:val="008F7694"/>
    <w:rsid w:val="00902A21"/>
    <w:rsid w:val="00907EC4"/>
    <w:rsid w:val="009137AE"/>
    <w:rsid w:val="0091523F"/>
    <w:rsid w:val="00920330"/>
    <w:rsid w:val="009204C4"/>
    <w:rsid w:val="009219D7"/>
    <w:rsid w:val="00922D53"/>
    <w:rsid w:val="00923B70"/>
    <w:rsid w:val="00923FA6"/>
    <w:rsid w:val="00924482"/>
    <w:rsid w:val="00930237"/>
    <w:rsid w:val="00937C17"/>
    <w:rsid w:val="00940A89"/>
    <w:rsid w:val="009418F8"/>
    <w:rsid w:val="00941F77"/>
    <w:rsid w:val="00946EA5"/>
    <w:rsid w:val="00951812"/>
    <w:rsid w:val="00953CF5"/>
    <w:rsid w:val="00960520"/>
    <w:rsid w:val="00963C08"/>
    <w:rsid w:val="00972DB1"/>
    <w:rsid w:val="009752A5"/>
    <w:rsid w:val="009769E8"/>
    <w:rsid w:val="0098585A"/>
    <w:rsid w:val="00990159"/>
    <w:rsid w:val="00990ADC"/>
    <w:rsid w:val="0099114C"/>
    <w:rsid w:val="009958F5"/>
    <w:rsid w:val="009A3C36"/>
    <w:rsid w:val="009A4CED"/>
    <w:rsid w:val="009A6538"/>
    <w:rsid w:val="009A690D"/>
    <w:rsid w:val="009B187B"/>
    <w:rsid w:val="009B1D12"/>
    <w:rsid w:val="009B416B"/>
    <w:rsid w:val="009B649D"/>
    <w:rsid w:val="009C4BD5"/>
    <w:rsid w:val="009D7B77"/>
    <w:rsid w:val="009E0BB0"/>
    <w:rsid w:val="009E3FBB"/>
    <w:rsid w:val="009E4EF3"/>
    <w:rsid w:val="009E60B0"/>
    <w:rsid w:val="009F7353"/>
    <w:rsid w:val="00A00218"/>
    <w:rsid w:val="00A04F85"/>
    <w:rsid w:val="00A05FA4"/>
    <w:rsid w:val="00A102E4"/>
    <w:rsid w:val="00A1219C"/>
    <w:rsid w:val="00A12C42"/>
    <w:rsid w:val="00A14083"/>
    <w:rsid w:val="00A14DF7"/>
    <w:rsid w:val="00A22D57"/>
    <w:rsid w:val="00A239EA"/>
    <w:rsid w:val="00A26C47"/>
    <w:rsid w:val="00A3246D"/>
    <w:rsid w:val="00A36FA7"/>
    <w:rsid w:val="00A43C70"/>
    <w:rsid w:val="00A44716"/>
    <w:rsid w:val="00A448A6"/>
    <w:rsid w:val="00A44DDB"/>
    <w:rsid w:val="00A475B7"/>
    <w:rsid w:val="00A47AF7"/>
    <w:rsid w:val="00A47C3E"/>
    <w:rsid w:val="00A50226"/>
    <w:rsid w:val="00A60BAD"/>
    <w:rsid w:val="00A63971"/>
    <w:rsid w:val="00A6572E"/>
    <w:rsid w:val="00A7070A"/>
    <w:rsid w:val="00A72CAA"/>
    <w:rsid w:val="00A7306E"/>
    <w:rsid w:val="00A77F87"/>
    <w:rsid w:val="00A80B5B"/>
    <w:rsid w:val="00A844B9"/>
    <w:rsid w:val="00A8460B"/>
    <w:rsid w:val="00A84E36"/>
    <w:rsid w:val="00A86D91"/>
    <w:rsid w:val="00A912F5"/>
    <w:rsid w:val="00A918EF"/>
    <w:rsid w:val="00A964D1"/>
    <w:rsid w:val="00AA0ED0"/>
    <w:rsid w:val="00AA1FC6"/>
    <w:rsid w:val="00AC0898"/>
    <w:rsid w:val="00AC2B40"/>
    <w:rsid w:val="00AC2BB2"/>
    <w:rsid w:val="00AC2C3C"/>
    <w:rsid w:val="00AC512D"/>
    <w:rsid w:val="00AD0083"/>
    <w:rsid w:val="00AD3935"/>
    <w:rsid w:val="00AD400E"/>
    <w:rsid w:val="00AD5B7A"/>
    <w:rsid w:val="00AD667D"/>
    <w:rsid w:val="00AD6A19"/>
    <w:rsid w:val="00AE600B"/>
    <w:rsid w:val="00AE65EB"/>
    <w:rsid w:val="00AE67A7"/>
    <w:rsid w:val="00AF1D94"/>
    <w:rsid w:val="00AF60C5"/>
    <w:rsid w:val="00B009C6"/>
    <w:rsid w:val="00B01548"/>
    <w:rsid w:val="00B024DC"/>
    <w:rsid w:val="00B05F0D"/>
    <w:rsid w:val="00B067EA"/>
    <w:rsid w:val="00B130C5"/>
    <w:rsid w:val="00B13EBD"/>
    <w:rsid w:val="00B15220"/>
    <w:rsid w:val="00B21B24"/>
    <w:rsid w:val="00B21D29"/>
    <w:rsid w:val="00B23F5E"/>
    <w:rsid w:val="00B25034"/>
    <w:rsid w:val="00B3198D"/>
    <w:rsid w:val="00B33588"/>
    <w:rsid w:val="00B33863"/>
    <w:rsid w:val="00B3731C"/>
    <w:rsid w:val="00B37D17"/>
    <w:rsid w:val="00B4175E"/>
    <w:rsid w:val="00B41C85"/>
    <w:rsid w:val="00B452CE"/>
    <w:rsid w:val="00B45449"/>
    <w:rsid w:val="00B4572A"/>
    <w:rsid w:val="00B46716"/>
    <w:rsid w:val="00B47F8D"/>
    <w:rsid w:val="00B50E92"/>
    <w:rsid w:val="00B54C25"/>
    <w:rsid w:val="00B56404"/>
    <w:rsid w:val="00B6663F"/>
    <w:rsid w:val="00B70926"/>
    <w:rsid w:val="00B71E8D"/>
    <w:rsid w:val="00B7532A"/>
    <w:rsid w:val="00B76B91"/>
    <w:rsid w:val="00B77EB1"/>
    <w:rsid w:val="00B811C6"/>
    <w:rsid w:val="00B855B0"/>
    <w:rsid w:val="00B92E08"/>
    <w:rsid w:val="00B945D1"/>
    <w:rsid w:val="00BA6158"/>
    <w:rsid w:val="00BA6D19"/>
    <w:rsid w:val="00BA6EE6"/>
    <w:rsid w:val="00BC445F"/>
    <w:rsid w:val="00BC622A"/>
    <w:rsid w:val="00BD0426"/>
    <w:rsid w:val="00BD06FC"/>
    <w:rsid w:val="00BD1843"/>
    <w:rsid w:val="00BD1F85"/>
    <w:rsid w:val="00BD4DE9"/>
    <w:rsid w:val="00BE0A78"/>
    <w:rsid w:val="00BE59A2"/>
    <w:rsid w:val="00BE777E"/>
    <w:rsid w:val="00BE79F0"/>
    <w:rsid w:val="00BF046D"/>
    <w:rsid w:val="00BF1190"/>
    <w:rsid w:val="00BF314B"/>
    <w:rsid w:val="00BF36DA"/>
    <w:rsid w:val="00BF3774"/>
    <w:rsid w:val="00BF5D04"/>
    <w:rsid w:val="00C009AA"/>
    <w:rsid w:val="00C041B4"/>
    <w:rsid w:val="00C07413"/>
    <w:rsid w:val="00C1164D"/>
    <w:rsid w:val="00C1439C"/>
    <w:rsid w:val="00C16861"/>
    <w:rsid w:val="00C232F5"/>
    <w:rsid w:val="00C23D00"/>
    <w:rsid w:val="00C254C2"/>
    <w:rsid w:val="00C33AB6"/>
    <w:rsid w:val="00C346AB"/>
    <w:rsid w:val="00C3617C"/>
    <w:rsid w:val="00C404A6"/>
    <w:rsid w:val="00C40A36"/>
    <w:rsid w:val="00C40A3B"/>
    <w:rsid w:val="00C44419"/>
    <w:rsid w:val="00C45E7B"/>
    <w:rsid w:val="00C471A6"/>
    <w:rsid w:val="00C471B1"/>
    <w:rsid w:val="00C525A2"/>
    <w:rsid w:val="00C52E24"/>
    <w:rsid w:val="00C6316B"/>
    <w:rsid w:val="00C634A9"/>
    <w:rsid w:val="00C64586"/>
    <w:rsid w:val="00C70A36"/>
    <w:rsid w:val="00C70D53"/>
    <w:rsid w:val="00C73089"/>
    <w:rsid w:val="00C73D0B"/>
    <w:rsid w:val="00C74F5C"/>
    <w:rsid w:val="00C75526"/>
    <w:rsid w:val="00C772FF"/>
    <w:rsid w:val="00C7738B"/>
    <w:rsid w:val="00C80137"/>
    <w:rsid w:val="00C801AF"/>
    <w:rsid w:val="00C80256"/>
    <w:rsid w:val="00C91B94"/>
    <w:rsid w:val="00C91E29"/>
    <w:rsid w:val="00C9385A"/>
    <w:rsid w:val="00C94CD4"/>
    <w:rsid w:val="00C9747E"/>
    <w:rsid w:val="00CA165A"/>
    <w:rsid w:val="00CA7B08"/>
    <w:rsid w:val="00CB60F5"/>
    <w:rsid w:val="00CB6BC0"/>
    <w:rsid w:val="00CC1B7C"/>
    <w:rsid w:val="00CC49CB"/>
    <w:rsid w:val="00CC727F"/>
    <w:rsid w:val="00CE651C"/>
    <w:rsid w:val="00CF0D2A"/>
    <w:rsid w:val="00CF15C3"/>
    <w:rsid w:val="00CF2B6F"/>
    <w:rsid w:val="00CF2F3E"/>
    <w:rsid w:val="00CF3FC9"/>
    <w:rsid w:val="00CF58B6"/>
    <w:rsid w:val="00CF5DAD"/>
    <w:rsid w:val="00D0062D"/>
    <w:rsid w:val="00D017ED"/>
    <w:rsid w:val="00D040D3"/>
    <w:rsid w:val="00D04C65"/>
    <w:rsid w:val="00D0649F"/>
    <w:rsid w:val="00D11940"/>
    <w:rsid w:val="00D11FDA"/>
    <w:rsid w:val="00D153D8"/>
    <w:rsid w:val="00D201D2"/>
    <w:rsid w:val="00D224FE"/>
    <w:rsid w:val="00D23139"/>
    <w:rsid w:val="00D24F94"/>
    <w:rsid w:val="00D32D0E"/>
    <w:rsid w:val="00D425BB"/>
    <w:rsid w:val="00D453FA"/>
    <w:rsid w:val="00D6493E"/>
    <w:rsid w:val="00D7195D"/>
    <w:rsid w:val="00D7281C"/>
    <w:rsid w:val="00D7301E"/>
    <w:rsid w:val="00D83AE1"/>
    <w:rsid w:val="00D85143"/>
    <w:rsid w:val="00D855D4"/>
    <w:rsid w:val="00D902C9"/>
    <w:rsid w:val="00D93466"/>
    <w:rsid w:val="00DA1124"/>
    <w:rsid w:val="00DA64CB"/>
    <w:rsid w:val="00DA686E"/>
    <w:rsid w:val="00DB06B8"/>
    <w:rsid w:val="00DB3E53"/>
    <w:rsid w:val="00DB6124"/>
    <w:rsid w:val="00DB750B"/>
    <w:rsid w:val="00DB7560"/>
    <w:rsid w:val="00DB75B7"/>
    <w:rsid w:val="00DC0A2F"/>
    <w:rsid w:val="00DC1948"/>
    <w:rsid w:val="00DC1FE9"/>
    <w:rsid w:val="00DC378E"/>
    <w:rsid w:val="00DC6E02"/>
    <w:rsid w:val="00DC724B"/>
    <w:rsid w:val="00DD28CD"/>
    <w:rsid w:val="00DE02AE"/>
    <w:rsid w:val="00DE39D1"/>
    <w:rsid w:val="00DF1D7F"/>
    <w:rsid w:val="00DF29EB"/>
    <w:rsid w:val="00DF4BE4"/>
    <w:rsid w:val="00E02382"/>
    <w:rsid w:val="00E02FB4"/>
    <w:rsid w:val="00E13FC7"/>
    <w:rsid w:val="00E14F25"/>
    <w:rsid w:val="00E20571"/>
    <w:rsid w:val="00E235F7"/>
    <w:rsid w:val="00E23659"/>
    <w:rsid w:val="00E239D4"/>
    <w:rsid w:val="00E26130"/>
    <w:rsid w:val="00E31D3F"/>
    <w:rsid w:val="00E33D42"/>
    <w:rsid w:val="00E40B22"/>
    <w:rsid w:val="00E44ED1"/>
    <w:rsid w:val="00E45619"/>
    <w:rsid w:val="00E4588F"/>
    <w:rsid w:val="00E46DA3"/>
    <w:rsid w:val="00E50E58"/>
    <w:rsid w:val="00E51BB1"/>
    <w:rsid w:val="00E52D3C"/>
    <w:rsid w:val="00E5568D"/>
    <w:rsid w:val="00E55CB0"/>
    <w:rsid w:val="00E577F8"/>
    <w:rsid w:val="00E624A5"/>
    <w:rsid w:val="00E64BA4"/>
    <w:rsid w:val="00E7344E"/>
    <w:rsid w:val="00E77035"/>
    <w:rsid w:val="00E82665"/>
    <w:rsid w:val="00E851DB"/>
    <w:rsid w:val="00E93339"/>
    <w:rsid w:val="00E9584A"/>
    <w:rsid w:val="00E976B6"/>
    <w:rsid w:val="00EA1515"/>
    <w:rsid w:val="00EA53AC"/>
    <w:rsid w:val="00EB0798"/>
    <w:rsid w:val="00EB273C"/>
    <w:rsid w:val="00EB40AD"/>
    <w:rsid w:val="00EB586E"/>
    <w:rsid w:val="00EB5FC8"/>
    <w:rsid w:val="00EC4124"/>
    <w:rsid w:val="00EC463D"/>
    <w:rsid w:val="00EC4EA2"/>
    <w:rsid w:val="00EC7A85"/>
    <w:rsid w:val="00ED14E2"/>
    <w:rsid w:val="00ED2922"/>
    <w:rsid w:val="00ED3CAD"/>
    <w:rsid w:val="00ED5A41"/>
    <w:rsid w:val="00EE1DE8"/>
    <w:rsid w:val="00EE27C2"/>
    <w:rsid w:val="00EF4BAD"/>
    <w:rsid w:val="00EF59DC"/>
    <w:rsid w:val="00F00C8A"/>
    <w:rsid w:val="00F02D6E"/>
    <w:rsid w:val="00F02E5F"/>
    <w:rsid w:val="00F033EC"/>
    <w:rsid w:val="00F04EC7"/>
    <w:rsid w:val="00F04F68"/>
    <w:rsid w:val="00F12670"/>
    <w:rsid w:val="00F14B27"/>
    <w:rsid w:val="00F20F21"/>
    <w:rsid w:val="00F2554C"/>
    <w:rsid w:val="00F261FF"/>
    <w:rsid w:val="00F3148D"/>
    <w:rsid w:val="00F31663"/>
    <w:rsid w:val="00F325C5"/>
    <w:rsid w:val="00F32FE0"/>
    <w:rsid w:val="00F3302E"/>
    <w:rsid w:val="00F337C9"/>
    <w:rsid w:val="00F35298"/>
    <w:rsid w:val="00F36D55"/>
    <w:rsid w:val="00F47333"/>
    <w:rsid w:val="00F47E37"/>
    <w:rsid w:val="00F53C07"/>
    <w:rsid w:val="00F54B65"/>
    <w:rsid w:val="00F63736"/>
    <w:rsid w:val="00F63DBF"/>
    <w:rsid w:val="00F640B6"/>
    <w:rsid w:val="00F66DF2"/>
    <w:rsid w:val="00F70BB5"/>
    <w:rsid w:val="00F80C3E"/>
    <w:rsid w:val="00F80E40"/>
    <w:rsid w:val="00F848D9"/>
    <w:rsid w:val="00FA5069"/>
    <w:rsid w:val="00FA5A11"/>
    <w:rsid w:val="00FA5B82"/>
    <w:rsid w:val="00FA639E"/>
    <w:rsid w:val="00FB0F81"/>
    <w:rsid w:val="00FB369D"/>
    <w:rsid w:val="00FB5479"/>
    <w:rsid w:val="00FC1339"/>
    <w:rsid w:val="00FC1FCA"/>
    <w:rsid w:val="00FC25E4"/>
    <w:rsid w:val="00FC4EF7"/>
    <w:rsid w:val="00FD0824"/>
    <w:rsid w:val="00FD119B"/>
    <w:rsid w:val="00FD1EDC"/>
    <w:rsid w:val="00FD70F7"/>
    <w:rsid w:val="00FE1DEE"/>
    <w:rsid w:val="00FE4EE6"/>
    <w:rsid w:val="00FF2126"/>
    <w:rsid w:val="00FF2748"/>
    <w:rsid w:val="00FF4551"/>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840F8F"/>
  <w15:docId w15:val="{2F59A042-28C8-4C94-849D-04A3E10A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731AC9"/>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UnresolvedMention1">
    <w:name w:val="Unresolved Mention1"/>
    <w:basedOn w:val="DefaultParagraphFont"/>
    <w:uiPriority w:val="99"/>
    <w:semiHidden/>
    <w:unhideWhenUsed/>
    <w:rsid w:val="00FB369D"/>
    <w:rPr>
      <w:color w:val="605E5C"/>
      <w:shd w:val="clear" w:color="auto" w:fill="E1DFDD"/>
    </w:rPr>
  </w:style>
  <w:style w:type="paragraph" w:customStyle="1" w:styleId="Standard">
    <w:name w:val="Standard"/>
    <w:basedOn w:val="Normal"/>
    <w:link w:val="StandardChar"/>
    <w:qFormat/>
    <w:rsid w:val="008404F4"/>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8404F4"/>
    <w:rPr>
      <w:rFonts w:ascii="Cambria" w:eastAsia="Times New Roman" w:hAnsi="Cambria" w:cs="Times New Roman"/>
      <w:snapToGrid w:val="0"/>
      <w:kern w:val="16"/>
      <w:sz w:val="23"/>
      <w:szCs w:val="24"/>
    </w:rPr>
  </w:style>
  <w:style w:type="character" w:customStyle="1" w:styleId="TabletextChar">
    <w:name w:val="Table text Char"/>
    <w:basedOn w:val="StandardChar"/>
    <w:link w:val="Tabletext"/>
    <w:rsid w:val="008404F4"/>
    <w:rPr>
      <w:rFonts w:ascii="Cambria" w:eastAsia="Cambria" w:hAnsi="Cambria" w:cs="Times New Roman"/>
      <w:snapToGrid/>
      <w:kern w:val="16"/>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tga.gov.au/product-information-pi" TargetMode="External"/><Relationship Id="rId18" Type="http://schemas.openxmlformats.org/officeDocument/2006/relationships/image" Target="media/image6.emf"/><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product-information-p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hyperlink" Target="https://www.tga.gov.au" TargetMode="Externa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committee/advisory-committee-medicines-ac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1B5E1-5253-41A2-A03A-A9947E6E2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16213</Words>
  <Characters>92418</Characters>
  <Application>Microsoft Office Word</Application>
  <DocSecurity>0</DocSecurity>
  <Lines>770</Lines>
  <Paragraphs>216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Australian public assessment report for Burosumab</vt:lpstr>
      <vt:lpstr>Australian public assessment report for</vt:lpstr>
    </vt:vector>
  </TitlesOfParts>
  <Company>Department of Health Therapeutic Goods Administration</Company>
  <LinksUpToDate>false</LinksUpToDate>
  <CharactersWithSpaces>108415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Burosumab</dc:title>
  <dc:subject>prescription medicines</dc:subject>
  <dc:creator> Therapeutic Goods Administration</dc:creator>
  <cp:keywords/>
  <cp:lastModifiedBy>LACK, Janet</cp:lastModifiedBy>
  <cp:revision>2</cp:revision>
  <cp:lastPrinted>2019-08-14T04:30:00Z</cp:lastPrinted>
  <dcterms:created xsi:type="dcterms:W3CDTF">2022-07-28T01:12:00Z</dcterms:created>
  <dcterms:modified xsi:type="dcterms:W3CDTF">2022-07-28T01:12:00Z</dcterms:modified>
  <cp:category/>
</cp:coreProperties>
</file>