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rsidTr="00ED0C8B">
        <w:tc>
          <w:tcPr>
            <w:tcW w:w="8720" w:type="dxa"/>
          </w:tcPr>
          <w:p w:rsidR="001D480A" w:rsidRPr="008F2A6D" w:rsidRDefault="00E24497" w:rsidP="00735A2D">
            <w:pPr>
              <w:pStyle w:val="Title"/>
            </w:pPr>
            <w:r w:rsidRPr="008F2A6D">
              <w:rPr>
                <w:lang w:eastAsia="en-AU"/>
              </w:rPr>
              <w:t>Consultation</w:t>
            </w:r>
            <w:r>
              <w:rPr>
                <w:lang w:eastAsia="en-AU"/>
              </w:rPr>
              <w:t>:</w:t>
            </w:r>
            <w:r w:rsidRPr="008F2A6D">
              <w:t xml:space="preserve"> </w:t>
            </w:r>
            <w:r w:rsidR="00454A11" w:rsidRPr="00454A11">
              <w:t>Strengthening monitoring of medicines in Australia</w:t>
            </w:r>
          </w:p>
        </w:tc>
      </w:tr>
      <w:tr w:rsidR="00ED0C8B" w:rsidRPr="009401F6" w:rsidTr="00ED0C8B">
        <w:trPr>
          <w:trHeight w:val="1387"/>
        </w:trPr>
        <w:tc>
          <w:tcPr>
            <w:tcW w:w="8720" w:type="dxa"/>
          </w:tcPr>
          <w:p w:rsidR="001D480A" w:rsidRPr="008F2A6D" w:rsidRDefault="00454A11" w:rsidP="005B185A">
            <w:pPr>
              <w:pStyle w:val="Subtitle"/>
              <w:ind w:left="0"/>
              <w:rPr>
                <w:lang w:eastAsia="en-AU"/>
              </w:rPr>
            </w:pPr>
            <w:r>
              <w:rPr>
                <w:lang w:eastAsia="en-AU"/>
              </w:rPr>
              <w:t>E</w:t>
            </w:r>
            <w:r w:rsidRPr="00454A11">
              <w:rPr>
                <w:lang w:eastAsia="en-AU"/>
              </w:rPr>
              <w:t>nhanced medicines vigilance</w:t>
            </w:r>
          </w:p>
        </w:tc>
      </w:tr>
      <w:tr w:rsidR="00ED0C8B" w:rsidRPr="009401F6" w:rsidTr="00ED0C8B">
        <w:tc>
          <w:tcPr>
            <w:tcW w:w="8720" w:type="dxa"/>
          </w:tcPr>
          <w:p w:rsidR="009D30DC" w:rsidRPr="00CC5F99" w:rsidRDefault="00321EDD" w:rsidP="000D144A">
            <w:pPr>
              <w:pStyle w:val="Date"/>
              <w:rPr>
                <w:lang w:eastAsia="en-AU"/>
              </w:rPr>
            </w:pPr>
            <w:r>
              <w:rPr>
                <w:lang w:eastAsia="en-AU"/>
              </w:rPr>
              <w:t>Version 1.</w:t>
            </w:r>
            <w:r w:rsidR="000D144A">
              <w:rPr>
                <w:lang w:eastAsia="en-AU"/>
              </w:rPr>
              <w:t>0</w:t>
            </w:r>
            <w:r w:rsidR="00ED0C8B" w:rsidRPr="009401F6">
              <w:rPr>
                <w:lang w:eastAsia="en-AU"/>
              </w:rPr>
              <w:t xml:space="preserve"> </w:t>
            </w:r>
            <w:r w:rsidR="005B185A">
              <w:t>March</w:t>
            </w:r>
            <w:r>
              <w:rPr>
                <w:lang w:eastAsia="en-AU"/>
              </w:rPr>
              <w:t xml:space="preserve"> 2017</w:t>
            </w:r>
          </w:p>
        </w:tc>
      </w:tr>
    </w:tbl>
    <w:p w:rsidR="001D480A" w:rsidRPr="009401F6" w:rsidRDefault="001D480A" w:rsidP="0054583D">
      <w:pPr>
        <w:rPr>
          <w:lang w:eastAsia="en-AU"/>
        </w:rPr>
        <w:sectPr w:rsidR="001D480A" w:rsidRPr="009401F6" w:rsidSect="003E5041">
          <w:headerReference w:type="default" r:id="rId9"/>
          <w:footerReference w:type="default" r:id="rId10"/>
          <w:headerReference w:type="first" r:id="rId11"/>
          <w:footerReference w:type="first" r:id="rId12"/>
          <w:type w:val="continuous"/>
          <w:pgSz w:w="11906" w:h="16838" w:code="9"/>
          <w:pgMar w:top="6923" w:right="1418" w:bottom="709" w:left="1418" w:header="998" w:footer="0" w:gutter="0"/>
          <w:cols w:space="708"/>
          <w:titlePg/>
          <w:docGrid w:linePitch="360"/>
        </w:sectPr>
      </w:pPr>
    </w:p>
    <w:p w:rsidR="00BA6FF1" w:rsidRPr="005D4EA1" w:rsidRDefault="00BA6FF1" w:rsidP="00506B33">
      <w:pPr>
        <w:pStyle w:val="LegalSubheading"/>
        <w:pageBreakBefore/>
      </w:pPr>
      <w:r w:rsidRPr="00691723">
        <w:lastRenderedPageBreak/>
        <w:t>Copyright</w:t>
      </w:r>
    </w:p>
    <w:p w:rsidR="00611B57" w:rsidRDefault="00EA453A" w:rsidP="00506B33">
      <w:pPr>
        <w:pStyle w:val="LegalCopy"/>
        <w:spacing w:after="0"/>
      </w:pPr>
      <w:r w:rsidRPr="009401F6">
        <w:t>© Commonwealth of Australia 201</w:t>
      </w:r>
      <w:r w:rsidR="00C175DD">
        <w:t>7</w:t>
      </w:r>
      <w:r w:rsidRPr="009401F6">
        <w:br/>
      </w:r>
      <w:proofErr w:type="gramStart"/>
      <w:r w:rsidRPr="009401F6">
        <w:t>This</w:t>
      </w:r>
      <w:proofErr w:type="gramEnd"/>
      <w:r w:rsidRPr="009401F6">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3" w:history="1">
        <w:r w:rsidRPr="009401F6">
          <w:rPr>
            <w:rStyle w:val="Hyperlink"/>
            <w:rFonts w:cs="Arial"/>
          </w:rPr>
          <w:t>tga.copyright@tga.gov.au</w:t>
        </w:r>
      </w:hyperlink>
      <w:r w:rsidR="004169A8" w:rsidRPr="009401F6">
        <w:t>&gt;</w:t>
      </w:r>
    </w:p>
    <w:p w:rsidR="008D2B09" w:rsidRPr="009401F6" w:rsidRDefault="008D2B09" w:rsidP="00611B57">
      <w:pPr>
        <w:pStyle w:val="LegalSubheading"/>
      </w:pPr>
      <w:r w:rsidRPr="009401F6">
        <w:t>Confidentiality</w:t>
      </w:r>
    </w:p>
    <w:p w:rsidR="00F8365F" w:rsidRPr="009401F6" w:rsidRDefault="008D2B09" w:rsidP="0025750D">
      <w:pPr>
        <w:pStyle w:val="LegalCopy"/>
      </w:pPr>
      <w:r w:rsidRPr="00447762">
        <w:t>All submissions received will be placed on the TGA’s Internet site, unless marked confidential. Any confidential</w:t>
      </w:r>
      <w:r w:rsidR="00907ACE" w:rsidRPr="00447762">
        <w:t xml:space="preserve"> </w:t>
      </w:r>
      <w:r w:rsidRPr="00447762">
        <w:t>material contained within your submission should be provided under a separate cover and clearly marked</w:t>
      </w:r>
      <w:r w:rsidR="00907ACE" w:rsidRPr="00447762">
        <w:t xml:space="preserve"> </w:t>
      </w:r>
      <w:r w:rsidRPr="00447762">
        <w:t>“IN CONFIDENCE”. Reasons for a claim to confidentiality must be included in the space provided on the TGA</w:t>
      </w:r>
      <w:r w:rsidR="00907ACE" w:rsidRPr="00447762">
        <w:t xml:space="preserve"> </w:t>
      </w:r>
      <w:r w:rsidRPr="00447762">
        <w:t xml:space="preserve">submission </w:t>
      </w:r>
      <w:r w:rsidR="003C7461" w:rsidRPr="00447762">
        <w:t>form</w:t>
      </w:r>
      <w:r w:rsidRPr="00447762">
        <w:t>.</w:t>
      </w:r>
      <w:r w:rsidR="00611B57" w:rsidRPr="00447762">
        <w:t xml:space="preserve"> </w:t>
      </w:r>
      <w:r w:rsidRPr="00447762">
        <w:t>For submission made by individuals, all personal details, other than your name, will be removed from your</w:t>
      </w:r>
      <w:r w:rsidR="00611B57" w:rsidRPr="00447762">
        <w:t xml:space="preserve"> </w:t>
      </w:r>
      <w:r w:rsidRPr="00447762">
        <w:t>submission before it is published on the TGA’s Internet site.</w:t>
      </w:r>
      <w:r w:rsidR="00611B57" w:rsidRPr="00447762">
        <w:t xml:space="preserve"> </w:t>
      </w:r>
      <w:r w:rsidRPr="00447762">
        <w:t>In addition, a list of parties making submissions will be published. If you do not wish to be identified with your</w:t>
      </w:r>
      <w:r w:rsidR="00611B57" w:rsidRPr="00447762">
        <w:t xml:space="preserve"> </w:t>
      </w:r>
      <w:r w:rsidRPr="00447762">
        <w:t xml:space="preserve">submission you must specifically request this in the space provided on the submission </w:t>
      </w:r>
      <w:r w:rsidR="003C7461" w:rsidRPr="00447762">
        <w:t>form.</w:t>
      </w:r>
      <w:r w:rsidR="00277EF5" w:rsidRPr="009401F6">
        <w:br w:type="page"/>
      </w:r>
      <w:bookmarkStart w:id="0" w:name="_Toc323738670"/>
    </w:p>
    <w:sdt>
      <w:sdtPr>
        <w:rPr>
          <w:rFonts w:ascii="Cambria" w:hAnsi="Cambria"/>
          <w:b w:val="0"/>
          <w:sz w:val="22"/>
        </w:rPr>
        <w:id w:val="3701955"/>
        <w:docPartObj>
          <w:docPartGallery w:val="Table of Contents"/>
          <w:docPartUnique/>
        </w:docPartObj>
      </w:sdtPr>
      <w:sdtEndPr/>
      <w:sdtContent>
        <w:p w:rsidR="00B92C72" w:rsidRPr="00936E5F" w:rsidRDefault="00B92C72" w:rsidP="00735A2D">
          <w:pPr>
            <w:pStyle w:val="NonTOCheading2"/>
          </w:pPr>
          <w:r w:rsidRPr="00735A2D">
            <w:t>Contents</w:t>
          </w:r>
        </w:p>
        <w:p w:rsidR="003B056A" w:rsidRDefault="006C626D">
          <w:pPr>
            <w:pStyle w:val="TOC1"/>
            <w:rPr>
              <w:rFonts w:asciiTheme="minorHAnsi" w:eastAsiaTheme="minorEastAsia" w:hAnsiTheme="minorHAnsi" w:cstheme="minorBidi"/>
              <w:b w:val="0"/>
              <w:noProof/>
              <w:sz w:val="22"/>
              <w:szCs w:val="22"/>
              <w:lang w:eastAsia="en-AU"/>
            </w:rPr>
          </w:pPr>
          <w:r w:rsidRPr="00936E5F">
            <w:rPr>
              <w:rFonts w:asciiTheme="minorHAnsi" w:hAnsiTheme="minorHAnsi"/>
            </w:rPr>
            <w:fldChar w:fldCharType="begin"/>
          </w:r>
          <w:r w:rsidR="00B92C72" w:rsidRPr="00936E5F">
            <w:rPr>
              <w:rFonts w:asciiTheme="minorHAnsi" w:hAnsiTheme="minorHAnsi"/>
            </w:rPr>
            <w:instrText xml:space="preserve"> TOC \h \z \u \t "Heading 2,1,Heading 3,2,Heading 4,3" </w:instrText>
          </w:r>
          <w:r w:rsidRPr="00936E5F">
            <w:rPr>
              <w:rFonts w:asciiTheme="minorHAnsi" w:hAnsiTheme="minorHAnsi"/>
            </w:rPr>
            <w:fldChar w:fldCharType="separate"/>
          </w:r>
          <w:hyperlink w:anchor="_Toc476752716" w:history="1">
            <w:r w:rsidR="003B056A" w:rsidRPr="002639D6">
              <w:rPr>
                <w:rStyle w:val="Hyperlink"/>
                <w:noProof/>
              </w:rPr>
              <w:t>Purpose and scope</w:t>
            </w:r>
            <w:r w:rsidR="003B056A">
              <w:rPr>
                <w:noProof/>
                <w:webHidden/>
              </w:rPr>
              <w:tab/>
            </w:r>
            <w:r w:rsidR="003B056A">
              <w:rPr>
                <w:noProof/>
                <w:webHidden/>
              </w:rPr>
              <w:fldChar w:fldCharType="begin"/>
            </w:r>
            <w:r w:rsidR="003B056A">
              <w:rPr>
                <w:noProof/>
                <w:webHidden/>
              </w:rPr>
              <w:instrText xml:space="preserve"> PAGEREF _Toc476752716 \h </w:instrText>
            </w:r>
            <w:r w:rsidR="003B056A">
              <w:rPr>
                <w:noProof/>
                <w:webHidden/>
              </w:rPr>
            </w:r>
            <w:r w:rsidR="003B056A">
              <w:rPr>
                <w:noProof/>
                <w:webHidden/>
              </w:rPr>
              <w:fldChar w:fldCharType="separate"/>
            </w:r>
            <w:r w:rsidR="003B056A">
              <w:rPr>
                <w:noProof/>
                <w:webHidden/>
              </w:rPr>
              <w:t>4</w:t>
            </w:r>
            <w:r w:rsidR="003B056A">
              <w:rPr>
                <w:noProof/>
                <w:webHidden/>
              </w:rPr>
              <w:fldChar w:fldCharType="end"/>
            </w:r>
          </w:hyperlink>
        </w:p>
        <w:p w:rsidR="003B056A" w:rsidRDefault="003B056A">
          <w:pPr>
            <w:pStyle w:val="TOC1"/>
            <w:rPr>
              <w:rFonts w:asciiTheme="minorHAnsi" w:eastAsiaTheme="minorEastAsia" w:hAnsiTheme="minorHAnsi" w:cstheme="minorBidi"/>
              <w:b w:val="0"/>
              <w:noProof/>
              <w:sz w:val="22"/>
              <w:szCs w:val="22"/>
              <w:lang w:eastAsia="en-AU"/>
            </w:rPr>
          </w:pPr>
          <w:hyperlink w:anchor="_Toc476752717" w:history="1">
            <w:r w:rsidRPr="002639D6">
              <w:rPr>
                <w:rStyle w:val="Hyperlink"/>
                <w:noProof/>
              </w:rPr>
              <w:t>About the TGA</w:t>
            </w:r>
            <w:r>
              <w:rPr>
                <w:noProof/>
                <w:webHidden/>
              </w:rPr>
              <w:tab/>
            </w:r>
            <w:r>
              <w:rPr>
                <w:noProof/>
                <w:webHidden/>
              </w:rPr>
              <w:fldChar w:fldCharType="begin"/>
            </w:r>
            <w:r>
              <w:rPr>
                <w:noProof/>
                <w:webHidden/>
              </w:rPr>
              <w:instrText xml:space="preserve"> PAGEREF _Toc476752717 \h </w:instrText>
            </w:r>
            <w:r>
              <w:rPr>
                <w:noProof/>
                <w:webHidden/>
              </w:rPr>
            </w:r>
            <w:r>
              <w:rPr>
                <w:noProof/>
                <w:webHidden/>
              </w:rPr>
              <w:fldChar w:fldCharType="separate"/>
            </w:r>
            <w:r>
              <w:rPr>
                <w:noProof/>
                <w:webHidden/>
              </w:rPr>
              <w:t>4</w:t>
            </w:r>
            <w:r>
              <w:rPr>
                <w:noProof/>
                <w:webHidden/>
              </w:rPr>
              <w:fldChar w:fldCharType="end"/>
            </w:r>
          </w:hyperlink>
        </w:p>
        <w:p w:rsidR="003B056A" w:rsidRDefault="003B056A">
          <w:pPr>
            <w:pStyle w:val="TOC1"/>
            <w:rPr>
              <w:rFonts w:asciiTheme="minorHAnsi" w:eastAsiaTheme="minorEastAsia" w:hAnsiTheme="minorHAnsi" w:cstheme="minorBidi"/>
              <w:b w:val="0"/>
              <w:noProof/>
              <w:sz w:val="22"/>
              <w:szCs w:val="22"/>
              <w:lang w:eastAsia="en-AU"/>
            </w:rPr>
          </w:pPr>
          <w:hyperlink w:anchor="_Toc476752718" w:history="1">
            <w:r w:rsidRPr="002639D6">
              <w:rPr>
                <w:rStyle w:val="Hyperlink"/>
                <w:noProof/>
              </w:rPr>
              <w:t>Background</w:t>
            </w:r>
            <w:r>
              <w:rPr>
                <w:noProof/>
                <w:webHidden/>
              </w:rPr>
              <w:tab/>
            </w:r>
            <w:r>
              <w:rPr>
                <w:noProof/>
                <w:webHidden/>
              </w:rPr>
              <w:fldChar w:fldCharType="begin"/>
            </w:r>
            <w:r>
              <w:rPr>
                <w:noProof/>
                <w:webHidden/>
              </w:rPr>
              <w:instrText xml:space="preserve"> PAGEREF _Toc476752718 \h </w:instrText>
            </w:r>
            <w:r>
              <w:rPr>
                <w:noProof/>
                <w:webHidden/>
              </w:rPr>
            </w:r>
            <w:r>
              <w:rPr>
                <w:noProof/>
                <w:webHidden/>
              </w:rPr>
              <w:fldChar w:fldCharType="separate"/>
            </w:r>
            <w:r>
              <w:rPr>
                <w:noProof/>
                <w:webHidden/>
              </w:rPr>
              <w:t>4</w:t>
            </w:r>
            <w:r>
              <w:rPr>
                <w:noProof/>
                <w:webHidden/>
              </w:rPr>
              <w:fldChar w:fldCharType="end"/>
            </w:r>
          </w:hyperlink>
        </w:p>
        <w:p w:rsidR="003B056A" w:rsidRDefault="003B056A">
          <w:pPr>
            <w:pStyle w:val="TOC1"/>
            <w:rPr>
              <w:rFonts w:asciiTheme="minorHAnsi" w:eastAsiaTheme="minorEastAsia" w:hAnsiTheme="minorHAnsi" w:cstheme="minorBidi"/>
              <w:b w:val="0"/>
              <w:noProof/>
              <w:sz w:val="22"/>
              <w:szCs w:val="22"/>
              <w:lang w:eastAsia="en-AU"/>
            </w:rPr>
          </w:pPr>
          <w:hyperlink w:anchor="_Toc476752719" w:history="1">
            <w:r w:rsidRPr="002639D6">
              <w:rPr>
                <w:rStyle w:val="Hyperlink"/>
                <w:noProof/>
              </w:rPr>
              <w:t>Enhancements</w:t>
            </w:r>
            <w:r>
              <w:rPr>
                <w:noProof/>
                <w:webHidden/>
              </w:rPr>
              <w:tab/>
            </w:r>
            <w:r>
              <w:rPr>
                <w:noProof/>
                <w:webHidden/>
              </w:rPr>
              <w:fldChar w:fldCharType="begin"/>
            </w:r>
            <w:r>
              <w:rPr>
                <w:noProof/>
                <w:webHidden/>
              </w:rPr>
              <w:instrText xml:space="preserve"> PAGEREF _Toc476752719 \h </w:instrText>
            </w:r>
            <w:r>
              <w:rPr>
                <w:noProof/>
                <w:webHidden/>
              </w:rPr>
            </w:r>
            <w:r>
              <w:rPr>
                <w:noProof/>
                <w:webHidden/>
              </w:rPr>
              <w:fldChar w:fldCharType="separate"/>
            </w:r>
            <w:r>
              <w:rPr>
                <w:noProof/>
                <w:webHidden/>
              </w:rPr>
              <w:t>7</w:t>
            </w:r>
            <w:r>
              <w:rPr>
                <w:noProof/>
                <w:webHidden/>
              </w:rPr>
              <w:fldChar w:fldCharType="end"/>
            </w:r>
          </w:hyperlink>
        </w:p>
        <w:p w:rsidR="003B056A" w:rsidRDefault="003B056A">
          <w:pPr>
            <w:pStyle w:val="TOC2"/>
            <w:rPr>
              <w:rFonts w:asciiTheme="minorHAnsi" w:eastAsiaTheme="minorEastAsia" w:hAnsiTheme="minorHAnsi" w:cstheme="minorBidi"/>
              <w:b w:val="0"/>
              <w:noProof/>
              <w:sz w:val="22"/>
              <w:szCs w:val="22"/>
              <w:lang w:eastAsia="en-AU"/>
            </w:rPr>
          </w:pPr>
          <w:hyperlink w:anchor="_Toc476752720" w:history="1">
            <w:r w:rsidRPr="002639D6">
              <w:rPr>
                <w:rStyle w:val="Hyperlink"/>
                <w:noProof/>
              </w:rPr>
              <w:t>Adverse event reporting</w:t>
            </w:r>
            <w:r>
              <w:rPr>
                <w:noProof/>
                <w:webHidden/>
              </w:rPr>
              <w:tab/>
            </w:r>
            <w:r>
              <w:rPr>
                <w:noProof/>
                <w:webHidden/>
              </w:rPr>
              <w:fldChar w:fldCharType="begin"/>
            </w:r>
            <w:r>
              <w:rPr>
                <w:noProof/>
                <w:webHidden/>
              </w:rPr>
              <w:instrText xml:space="preserve"> PAGEREF _Toc476752720 \h </w:instrText>
            </w:r>
            <w:r>
              <w:rPr>
                <w:noProof/>
                <w:webHidden/>
              </w:rPr>
            </w:r>
            <w:r>
              <w:rPr>
                <w:noProof/>
                <w:webHidden/>
              </w:rPr>
              <w:fldChar w:fldCharType="separate"/>
            </w:r>
            <w:r>
              <w:rPr>
                <w:noProof/>
                <w:webHidden/>
              </w:rPr>
              <w:t>7</w:t>
            </w:r>
            <w:r>
              <w:rPr>
                <w:noProof/>
                <w:webHidden/>
              </w:rPr>
              <w:fldChar w:fldCharType="end"/>
            </w:r>
          </w:hyperlink>
        </w:p>
        <w:p w:rsidR="003B056A" w:rsidRDefault="003B056A">
          <w:pPr>
            <w:pStyle w:val="TOC3"/>
            <w:rPr>
              <w:rFonts w:asciiTheme="minorHAnsi" w:eastAsiaTheme="minorEastAsia" w:hAnsiTheme="minorHAnsi" w:cstheme="minorBidi"/>
              <w:b w:val="0"/>
              <w:noProof/>
              <w:szCs w:val="22"/>
              <w:lang w:eastAsia="en-AU"/>
            </w:rPr>
          </w:pPr>
          <w:hyperlink w:anchor="_Toc476752721" w:history="1">
            <w:r w:rsidRPr="002639D6">
              <w:rPr>
                <w:rStyle w:val="Hyperlink"/>
                <w:noProof/>
              </w:rPr>
              <w:t>Black triangle scheme</w:t>
            </w:r>
            <w:r>
              <w:rPr>
                <w:noProof/>
                <w:webHidden/>
              </w:rPr>
              <w:tab/>
            </w:r>
            <w:r>
              <w:rPr>
                <w:noProof/>
                <w:webHidden/>
              </w:rPr>
              <w:fldChar w:fldCharType="begin"/>
            </w:r>
            <w:r>
              <w:rPr>
                <w:noProof/>
                <w:webHidden/>
              </w:rPr>
              <w:instrText xml:space="preserve"> PAGEREF _Toc476752721 \h </w:instrText>
            </w:r>
            <w:r>
              <w:rPr>
                <w:noProof/>
                <w:webHidden/>
              </w:rPr>
            </w:r>
            <w:r>
              <w:rPr>
                <w:noProof/>
                <w:webHidden/>
              </w:rPr>
              <w:fldChar w:fldCharType="separate"/>
            </w:r>
            <w:r>
              <w:rPr>
                <w:noProof/>
                <w:webHidden/>
              </w:rPr>
              <w:t>7</w:t>
            </w:r>
            <w:r>
              <w:rPr>
                <w:noProof/>
                <w:webHidden/>
              </w:rPr>
              <w:fldChar w:fldCharType="end"/>
            </w:r>
          </w:hyperlink>
        </w:p>
        <w:p w:rsidR="003B056A" w:rsidRDefault="003B056A">
          <w:pPr>
            <w:pStyle w:val="TOC3"/>
            <w:rPr>
              <w:rFonts w:asciiTheme="minorHAnsi" w:eastAsiaTheme="minorEastAsia" w:hAnsiTheme="minorHAnsi" w:cstheme="minorBidi"/>
              <w:b w:val="0"/>
              <w:noProof/>
              <w:szCs w:val="22"/>
              <w:lang w:eastAsia="en-AU"/>
            </w:rPr>
          </w:pPr>
          <w:hyperlink w:anchor="_Toc476752722" w:history="1">
            <w:r w:rsidRPr="002639D6">
              <w:rPr>
                <w:rStyle w:val="Hyperlink"/>
                <w:noProof/>
              </w:rPr>
              <w:t>Product Information (PI) reformat</w:t>
            </w:r>
            <w:r>
              <w:rPr>
                <w:noProof/>
                <w:webHidden/>
              </w:rPr>
              <w:tab/>
            </w:r>
            <w:r>
              <w:rPr>
                <w:noProof/>
                <w:webHidden/>
              </w:rPr>
              <w:fldChar w:fldCharType="begin"/>
            </w:r>
            <w:r>
              <w:rPr>
                <w:noProof/>
                <w:webHidden/>
              </w:rPr>
              <w:instrText xml:space="preserve"> PAGEREF _Toc476752722 \h </w:instrText>
            </w:r>
            <w:r>
              <w:rPr>
                <w:noProof/>
                <w:webHidden/>
              </w:rPr>
            </w:r>
            <w:r>
              <w:rPr>
                <w:noProof/>
                <w:webHidden/>
              </w:rPr>
              <w:fldChar w:fldCharType="separate"/>
            </w:r>
            <w:r>
              <w:rPr>
                <w:noProof/>
                <w:webHidden/>
              </w:rPr>
              <w:t>8</w:t>
            </w:r>
            <w:r>
              <w:rPr>
                <w:noProof/>
                <w:webHidden/>
              </w:rPr>
              <w:fldChar w:fldCharType="end"/>
            </w:r>
          </w:hyperlink>
        </w:p>
        <w:p w:rsidR="003B056A" w:rsidRDefault="003B056A">
          <w:pPr>
            <w:pStyle w:val="TOC2"/>
            <w:rPr>
              <w:rFonts w:asciiTheme="minorHAnsi" w:eastAsiaTheme="minorEastAsia" w:hAnsiTheme="minorHAnsi" w:cstheme="minorBidi"/>
              <w:b w:val="0"/>
              <w:noProof/>
              <w:sz w:val="22"/>
              <w:szCs w:val="22"/>
              <w:lang w:eastAsia="en-AU"/>
            </w:rPr>
          </w:pPr>
          <w:hyperlink w:anchor="_Toc476752723" w:history="1">
            <w:r w:rsidRPr="002639D6">
              <w:rPr>
                <w:rStyle w:val="Hyperlink"/>
                <w:noProof/>
              </w:rPr>
              <w:t>Compliance</w:t>
            </w:r>
            <w:r>
              <w:rPr>
                <w:noProof/>
                <w:webHidden/>
              </w:rPr>
              <w:tab/>
            </w:r>
            <w:r>
              <w:rPr>
                <w:noProof/>
                <w:webHidden/>
              </w:rPr>
              <w:fldChar w:fldCharType="begin"/>
            </w:r>
            <w:r>
              <w:rPr>
                <w:noProof/>
                <w:webHidden/>
              </w:rPr>
              <w:instrText xml:space="preserve"> PAGEREF _Toc476752723 \h </w:instrText>
            </w:r>
            <w:r>
              <w:rPr>
                <w:noProof/>
                <w:webHidden/>
              </w:rPr>
            </w:r>
            <w:r>
              <w:rPr>
                <w:noProof/>
                <w:webHidden/>
              </w:rPr>
              <w:fldChar w:fldCharType="separate"/>
            </w:r>
            <w:r>
              <w:rPr>
                <w:noProof/>
                <w:webHidden/>
              </w:rPr>
              <w:t>9</w:t>
            </w:r>
            <w:r>
              <w:rPr>
                <w:noProof/>
                <w:webHidden/>
              </w:rPr>
              <w:fldChar w:fldCharType="end"/>
            </w:r>
          </w:hyperlink>
        </w:p>
        <w:p w:rsidR="003B056A" w:rsidRDefault="003B056A">
          <w:pPr>
            <w:pStyle w:val="TOC3"/>
            <w:rPr>
              <w:rFonts w:asciiTheme="minorHAnsi" w:eastAsiaTheme="minorEastAsia" w:hAnsiTheme="minorHAnsi" w:cstheme="minorBidi"/>
              <w:b w:val="0"/>
              <w:noProof/>
              <w:szCs w:val="22"/>
              <w:lang w:eastAsia="en-AU"/>
            </w:rPr>
          </w:pPr>
          <w:hyperlink w:anchor="_Toc476752724" w:history="1">
            <w:r w:rsidRPr="002639D6">
              <w:rPr>
                <w:rStyle w:val="Hyperlink"/>
                <w:noProof/>
              </w:rPr>
              <w:t>Pharmacovigilance (PV) inspection program</w:t>
            </w:r>
            <w:r>
              <w:rPr>
                <w:noProof/>
                <w:webHidden/>
              </w:rPr>
              <w:tab/>
            </w:r>
            <w:r>
              <w:rPr>
                <w:noProof/>
                <w:webHidden/>
              </w:rPr>
              <w:fldChar w:fldCharType="begin"/>
            </w:r>
            <w:r>
              <w:rPr>
                <w:noProof/>
                <w:webHidden/>
              </w:rPr>
              <w:instrText xml:space="preserve"> PAGEREF _Toc476752724 \h </w:instrText>
            </w:r>
            <w:r>
              <w:rPr>
                <w:noProof/>
                <w:webHidden/>
              </w:rPr>
            </w:r>
            <w:r>
              <w:rPr>
                <w:noProof/>
                <w:webHidden/>
              </w:rPr>
              <w:fldChar w:fldCharType="separate"/>
            </w:r>
            <w:r>
              <w:rPr>
                <w:noProof/>
                <w:webHidden/>
              </w:rPr>
              <w:t>9</w:t>
            </w:r>
            <w:r>
              <w:rPr>
                <w:noProof/>
                <w:webHidden/>
              </w:rPr>
              <w:fldChar w:fldCharType="end"/>
            </w:r>
          </w:hyperlink>
        </w:p>
        <w:p w:rsidR="003B056A" w:rsidRDefault="003B056A">
          <w:pPr>
            <w:pStyle w:val="TOC3"/>
            <w:rPr>
              <w:rFonts w:asciiTheme="minorHAnsi" w:eastAsiaTheme="minorEastAsia" w:hAnsiTheme="minorHAnsi" w:cstheme="minorBidi"/>
              <w:b w:val="0"/>
              <w:noProof/>
              <w:szCs w:val="22"/>
              <w:lang w:eastAsia="en-AU"/>
            </w:rPr>
          </w:pPr>
          <w:hyperlink w:anchor="_Toc476752725" w:history="1">
            <w:r w:rsidRPr="002639D6">
              <w:rPr>
                <w:rStyle w:val="Hyperlink"/>
                <w:noProof/>
              </w:rPr>
              <w:t>Risk Management Plan (RMP) compliance monitoring</w:t>
            </w:r>
            <w:r>
              <w:rPr>
                <w:noProof/>
                <w:webHidden/>
              </w:rPr>
              <w:tab/>
            </w:r>
            <w:r>
              <w:rPr>
                <w:noProof/>
                <w:webHidden/>
              </w:rPr>
              <w:fldChar w:fldCharType="begin"/>
            </w:r>
            <w:r>
              <w:rPr>
                <w:noProof/>
                <w:webHidden/>
              </w:rPr>
              <w:instrText xml:space="preserve"> PAGEREF _Toc476752725 \h </w:instrText>
            </w:r>
            <w:r>
              <w:rPr>
                <w:noProof/>
                <w:webHidden/>
              </w:rPr>
            </w:r>
            <w:r>
              <w:rPr>
                <w:noProof/>
                <w:webHidden/>
              </w:rPr>
              <w:fldChar w:fldCharType="separate"/>
            </w:r>
            <w:r>
              <w:rPr>
                <w:noProof/>
                <w:webHidden/>
              </w:rPr>
              <w:t>10</w:t>
            </w:r>
            <w:r>
              <w:rPr>
                <w:noProof/>
                <w:webHidden/>
              </w:rPr>
              <w:fldChar w:fldCharType="end"/>
            </w:r>
          </w:hyperlink>
        </w:p>
        <w:p w:rsidR="003B056A" w:rsidRDefault="003B056A">
          <w:pPr>
            <w:pStyle w:val="TOC2"/>
            <w:rPr>
              <w:rFonts w:asciiTheme="minorHAnsi" w:eastAsiaTheme="minorEastAsia" w:hAnsiTheme="minorHAnsi" w:cstheme="minorBidi"/>
              <w:b w:val="0"/>
              <w:noProof/>
              <w:sz w:val="22"/>
              <w:szCs w:val="22"/>
              <w:lang w:eastAsia="en-AU"/>
            </w:rPr>
          </w:pPr>
          <w:hyperlink w:anchor="_Toc476752726" w:history="1">
            <w:r w:rsidRPr="002639D6">
              <w:rPr>
                <w:rStyle w:val="Hyperlink"/>
                <w:noProof/>
              </w:rPr>
              <w:t>Improved collection and use of data</w:t>
            </w:r>
            <w:r>
              <w:rPr>
                <w:noProof/>
                <w:webHidden/>
              </w:rPr>
              <w:tab/>
            </w:r>
            <w:r>
              <w:rPr>
                <w:noProof/>
                <w:webHidden/>
              </w:rPr>
              <w:fldChar w:fldCharType="begin"/>
            </w:r>
            <w:r>
              <w:rPr>
                <w:noProof/>
                <w:webHidden/>
              </w:rPr>
              <w:instrText xml:space="preserve"> PAGEREF _Toc476752726 \h </w:instrText>
            </w:r>
            <w:r>
              <w:rPr>
                <w:noProof/>
                <w:webHidden/>
              </w:rPr>
            </w:r>
            <w:r>
              <w:rPr>
                <w:noProof/>
                <w:webHidden/>
              </w:rPr>
              <w:fldChar w:fldCharType="separate"/>
            </w:r>
            <w:r>
              <w:rPr>
                <w:noProof/>
                <w:webHidden/>
              </w:rPr>
              <w:t>11</w:t>
            </w:r>
            <w:r>
              <w:rPr>
                <w:noProof/>
                <w:webHidden/>
              </w:rPr>
              <w:fldChar w:fldCharType="end"/>
            </w:r>
          </w:hyperlink>
        </w:p>
        <w:p w:rsidR="003B056A" w:rsidRDefault="003B056A">
          <w:pPr>
            <w:pStyle w:val="TOC3"/>
            <w:rPr>
              <w:rFonts w:asciiTheme="minorHAnsi" w:eastAsiaTheme="minorEastAsia" w:hAnsiTheme="minorHAnsi" w:cstheme="minorBidi"/>
              <w:b w:val="0"/>
              <w:noProof/>
              <w:szCs w:val="22"/>
              <w:lang w:eastAsia="en-AU"/>
            </w:rPr>
          </w:pPr>
          <w:hyperlink w:anchor="_Toc476752727" w:history="1">
            <w:r w:rsidRPr="002639D6">
              <w:rPr>
                <w:rStyle w:val="Hyperlink"/>
                <w:noProof/>
              </w:rPr>
              <w:t>Adverse Events Management System (ADRS)</w:t>
            </w:r>
            <w:r>
              <w:rPr>
                <w:noProof/>
                <w:webHidden/>
              </w:rPr>
              <w:tab/>
            </w:r>
            <w:r>
              <w:rPr>
                <w:noProof/>
                <w:webHidden/>
              </w:rPr>
              <w:fldChar w:fldCharType="begin"/>
            </w:r>
            <w:r>
              <w:rPr>
                <w:noProof/>
                <w:webHidden/>
              </w:rPr>
              <w:instrText xml:space="preserve"> PAGEREF _Toc476752727 \h </w:instrText>
            </w:r>
            <w:r>
              <w:rPr>
                <w:noProof/>
                <w:webHidden/>
              </w:rPr>
            </w:r>
            <w:r>
              <w:rPr>
                <w:noProof/>
                <w:webHidden/>
              </w:rPr>
              <w:fldChar w:fldCharType="separate"/>
            </w:r>
            <w:r>
              <w:rPr>
                <w:noProof/>
                <w:webHidden/>
              </w:rPr>
              <w:t>12</w:t>
            </w:r>
            <w:r>
              <w:rPr>
                <w:noProof/>
                <w:webHidden/>
              </w:rPr>
              <w:fldChar w:fldCharType="end"/>
            </w:r>
          </w:hyperlink>
        </w:p>
        <w:p w:rsidR="003B056A" w:rsidRDefault="003B056A">
          <w:pPr>
            <w:pStyle w:val="TOC2"/>
            <w:rPr>
              <w:rFonts w:asciiTheme="minorHAnsi" w:eastAsiaTheme="minorEastAsia" w:hAnsiTheme="minorHAnsi" w:cstheme="minorBidi"/>
              <w:b w:val="0"/>
              <w:noProof/>
              <w:sz w:val="22"/>
              <w:szCs w:val="22"/>
              <w:lang w:eastAsia="en-AU"/>
            </w:rPr>
          </w:pPr>
          <w:hyperlink w:anchor="_Toc476752728" w:history="1">
            <w:r w:rsidRPr="002639D6">
              <w:rPr>
                <w:rStyle w:val="Hyperlink"/>
                <w:noProof/>
              </w:rPr>
              <w:t>International information sharing</w:t>
            </w:r>
            <w:r>
              <w:rPr>
                <w:noProof/>
                <w:webHidden/>
              </w:rPr>
              <w:tab/>
            </w:r>
            <w:r>
              <w:rPr>
                <w:noProof/>
                <w:webHidden/>
              </w:rPr>
              <w:fldChar w:fldCharType="begin"/>
            </w:r>
            <w:r>
              <w:rPr>
                <w:noProof/>
                <w:webHidden/>
              </w:rPr>
              <w:instrText xml:space="preserve"> PAGEREF _Toc476752728 \h </w:instrText>
            </w:r>
            <w:r>
              <w:rPr>
                <w:noProof/>
                <w:webHidden/>
              </w:rPr>
            </w:r>
            <w:r>
              <w:rPr>
                <w:noProof/>
                <w:webHidden/>
              </w:rPr>
              <w:fldChar w:fldCharType="separate"/>
            </w:r>
            <w:r>
              <w:rPr>
                <w:noProof/>
                <w:webHidden/>
              </w:rPr>
              <w:t>12</w:t>
            </w:r>
            <w:r>
              <w:rPr>
                <w:noProof/>
                <w:webHidden/>
              </w:rPr>
              <w:fldChar w:fldCharType="end"/>
            </w:r>
          </w:hyperlink>
        </w:p>
        <w:p w:rsidR="003B056A" w:rsidRDefault="003B056A">
          <w:pPr>
            <w:pStyle w:val="TOC1"/>
            <w:rPr>
              <w:rFonts w:asciiTheme="minorHAnsi" w:eastAsiaTheme="minorEastAsia" w:hAnsiTheme="minorHAnsi" w:cstheme="minorBidi"/>
              <w:b w:val="0"/>
              <w:noProof/>
              <w:sz w:val="22"/>
              <w:szCs w:val="22"/>
              <w:lang w:eastAsia="en-AU"/>
            </w:rPr>
          </w:pPr>
          <w:hyperlink w:anchor="_Toc476752729" w:history="1">
            <w:r w:rsidRPr="002639D6">
              <w:rPr>
                <w:rStyle w:val="Hyperlink"/>
                <w:noProof/>
              </w:rPr>
              <w:t>Conclusion</w:t>
            </w:r>
            <w:r>
              <w:rPr>
                <w:noProof/>
                <w:webHidden/>
              </w:rPr>
              <w:tab/>
            </w:r>
            <w:r>
              <w:rPr>
                <w:noProof/>
                <w:webHidden/>
              </w:rPr>
              <w:fldChar w:fldCharType="begin"/>
            </w:r>
            <w:r>
              <w:rPr>
                <w:noProof/>
                <w:webHidden/>
              </w:rPr>
              <w:instrText xml:space="preserve"> PAGEREF _Toc476752729 \h </w:instrText>
            </w:r>
            <w:r>
              <w:rPr>
                <w:noProof/>
                <w:webHidden/>
              </w:rPr>
            </w:r>
            <w:r>
              <w:rPr>
                <w:noProof/>
                <w:webHidden/>
              </w:rPr>
              <w:fldChar w:fldCharType="separate"/>
            </w:r>
            <w:r>
              <w:rPr>
                <w:noProof/>
                <w:webHidden/>
              </w:rPr>
              <w:t>12</w:t>
            </w:r>
            <w:r>
              <w:rPr>
                <w:noProof/>
                <w:webHidden/>
              </w:rPr>
              <w:fldChar w:fldCharType="end"/>
            </w:r>
          </w:hyperlink>
        </w:p>
        <w:p w:rsidR="003B056A" w:rsidRDefault="003B056A">
          <w:pPr>
            <w:pStyle w:val="TOC2"/>
            <w:rPr>
              <w:rFonts w:asciiTheme="minorHAnsi" w:eastAsiaTheme="minorEastAsia" w:hAnsiTheme="minorHAnsi" w:cstheme="minorBidi"/>
              <w:b w:val="0"/>
              <w:noProof/>
              <w:sz w:val="22"/>
              <w:szCs w:val="22"/>
              <w:lang w:eastAsia="en-AU"/>
            </w:rPr>
          </w:pPr>
          <w:hyperlink w:anchor="_Toc476752730" w:history="1">
            <w:r w:rsidRPr="002639D6">
              <w:rPr>
                <w:rStyle w:val="Hyperlink"/>
                <w:noProof/>
              </w:rPr>
              <w:t>Next steps</w:t>
            </w:r>
            <w:r>
              <w:rPr>
                <w:noProof/>
                <w:webHidden/>
              </w:rPr>
              <w:tab/>
            </w:r>
            <w:r>
              <w:rPr>
                <w:noProof/>
                <w:webHidden/>
              </w:rPr>
              <w:fldChar w:fldCharType="begin"/>
            </w:r>
            <w:r>
              <w:rPr>
                <w:noProof/>
                <w:webHidden/>
              </w:rPr>
              <w:instrText xml:space="preserve"> PAGEREF _Toc476752730 \h </w:instrText>
            </w:r>
            <w:r>
              <w:rPr>
                <w:noProof/>
                <w:webHidden/>
              </w:rPr>
            </w:r>
            <w:r>
              <w:rPr>
                <w:noProof/>
                <w:webHidden/>
              </w:rPr>
              <w:fldChar w:fldCharType="separate"/>
            </w:r>
            <w:r>
              <w:rPr>
                <w:noProof/>
                <w:webHidden/>
              </w:rPr>
              <w:t>13</w:t>
            </w:r>
            <w:r>
              <w:rPr>
                <w:noProof/>
                <w:webHidden/>
              </w:rPr>
              <w:fldChar w:fldCharType="end"/>
            </w:r>
          </w:hyperlink>
        </w:p>
        <w:p w:rsidR="003B056A" w:rsidRDefault="003B056A">
          <w:pPr>
            <w:pStyle w:val="TOC1"/>
            <w:rPr>
              <w:rFonts w:asciiTheme="minorHAnsi" w:eastAsiaTheme="minorEastAsia" w:hAnsiTheme="minorHAnsi" w:cstheme="minorBidi"/>
              <w:b w:val="0"/>
              <w:noProof/>
              <w:sz w:val="22"/>
              <w:szCs w:val="22"/>
              <w:lang w:eastAsia="en-AU"/>
            </w:rPr>
          </w:pPr>
          <w:hyperlink w:anchor="_Toc476752731" w:history="1">
            <w:r w:rsidRPr="002639D6">
              <w:rPr>
                <w:rStyle w:val="Hyperlink"/>
                <w:noProof/>
              </w:rPr>
              <w:t>Appendix</w:t>
            </w:r>
            <w:r>
              <w:rPr>
                <w:noProof/>
                <w:webHidden/>
              </w:rPr>
              <w:tab/>
            </w:r>
            <w:r>
              <w:rPr>
                <w:noProof/>
                <w:webHidden/>
              </w:rPr>
              <w:fldChar w:fldCharType="begin"/>
            </w:r>
            <w:r>
              <w:rPr>
                <w:noProof/>
                <w:webHidden/>
              </w:rPr>
              <w:instrText xml:space="preserve"> PAGEREF _Toc476752731 \h </w:instrText>
            </w:r>
            <w:r>
              <w:rPr>
                <w:noProof/>
                <w:webHidden/>
              </w:rPr>
            </w:r>
            <w:r>
              <w:rPr>
                <w:noProof/>
                <w:webHidden/>
              </w:rPr>
              <w:fldChar w:fldCharType="separate"/>
            </w:r>
            <w:r>
              <w:rPr>
                <w:noProof/>
                <w:webHidden/>
              </w:rPr>
              <w:t>14</w:t>
            </w:r>
            <w:r>
              <w:rPr>
                <w:noProof/>
                <w:webHidden/>
              </w:rPr>
              <w:fldChar w:fldCharType="end"/>
            </w:r>
          </w:hyperlink>
        </w:p>
        <w:p w:rsidR="003B056A" w:rsidRDefault="003B056A">
          <w:pPr>
            <w:pStyle w:val="TOC2"/>
            <w:rPr>
              <w:rFonts w:asciiTheme="minorHAnsi" w:eastAsiaTheme="minorEastAsia" w:hAnsiTheme="minorHAnsi" w:cstheme="minorBidi"/>
              <w:b w:val="0"/>
              <w:noProof/>
              <w:sz w:val="22"/>
              <w:szCs w:val="22"/>
              <w:lang w:eastAsia="en-AU"/>
            </w:rPr>
          </w:pPr>
          <w:hyperlink w:anchor="_Toc476752732" w:history="1">
            <w:r w:rsidRPr="002639D6">
              <w:rPr>
                <w:rStyle w:val="Hyperlink"/>
                <w:noProof/>
              </w:rPr>
              <w:t>Definitions</w:t>
            </w:r>
            <w:r>
              <w:rPr>
                <w:noProof/>
                <w:webHidden/>
              </w:rPr>
              <w:tab/>
            </w:r>
            <w:r>
              <w:rPr>
                <w:noProof/>
                <w:webHidden/>
              </w:rPr>
              <w:fldChar w:fldCharType="begin"/>
            </w:r>
            <w:r>
              <w:rPr>
                <w:noProof/>
                <w:webHidden/>
              </w:rPr>
              <w:instrText xml:space="preserve"> PAGEREF _Toc476752732 \h </w:instrText>
            </w:r>
            <w:r>
              <w:rPr>
                <w:noProof/>
                <w:webHidden/>
              </w:rPr>
            </w:r>
            <w:r>
              <w:rPr>
                <w:noProof/>
                <w:webHidden/>
              </w:rPr>
              <w:fldChar w:fldCharType="separate"/>
            </w:r>
            <w:r>
              <w:rPr>
                <w:noProof/>
                <w:webHidden/>
              </w:rPr>
              <w:t>14</w:t>
            </w:r>
            <w:r>
              <w:rPr>
                <w:noProof/>
                <w:webHidden/>
              </w:rPr>
              <w:fldChar w:fldCharType="end"/>
            </w:r>
          </w:hyperlink>
        </w:p>
        <w:p w:rsidR="00B92C72" w:rsidRPr="009401F6" w:rsidRDefault="006C626D" w:rsidP="0023397F">
          <w:r w:rsidRPr="00936E5F">
            <w:rPr>
              <w:rFonts w:asciiTheme="minorHAnsi" w:hAnsiTheme="minorHAnsi"/>
            </w:rPr>
            <w:fldChar w:fldCharType="end"/>
          </w:r>
        </w:p>
      </w:sdtContent>
    </w:sdt>
    <w:bookmarkEnd w:id="0"/>
    <w:p w:rsidR="000D4A63" w:rsidRPr="000D4A63" w:rsidRDefault="00D507A4" w:rsidP="00D750F4">
      <w:pPr>
        <w:spacing w:before="0" w:after="0" w:line="240" w:lineRule="auto"/>
      </w:pPr>
      <w:r>
        <w:br w:type="page"/>
      </w:r>
    </w:p>
    <w:p w:rsidR="001525B4" w:rsidRDefault="00413157" w:rsidP="00574DE5">
      <w:pPr>
        <w:pStyle w:val="Heading2"/>
      </w:pPr>
      <w:bookmarkStart w:id="1" w:name="_Toc476752716"/>
      <w:r>
        <w:lastRenderedPageBreak/>
        <w:t>Purpose</w:t>
      </w:r>
      <w:r w:rsidR="00484299">
        <w:t xml:space="preserve"> and </w:t>
      </w:r>
      <w:r w:rsidR="00735A2D" w:rsidRPr="00574DE5">
        <w:t>s</w:t>
      </w:r>
      <w:r w:rsidR="00484299" w:rsidRPr="00574DE5">
        <w:t>cope</w:t>
      </w:r>
      <w:bookmarkEnd w:id="1"/>
    </w:p>
    <w:p w:rsidR="000B6B3E" w:rsidRPr="00442E4E" w:rsidRDefault="00275558" w:rsidP="00735A2D">
      <w:r>
        <w:t>The Therapeutic Goods Administration (TGA) is s</w:t>
      </w:r>
      <w:r w:rsidR="00FB291D">
        <w:t xml:space="preserve">eeking </w:t>
      </w:r>
      <w:r w:rsidR="00861DC1">
        <w:t>comments</w:t>
      </w:r>
      <w:r w:rsidR="00FB291D">
        <w:t xml:space="preserve"> on </w:t>
      </w:r>
      <w:r w:rsidR="00E04E17">
        <w:t xml:space="preserve">the implementation of </w:t>
      </w:r>
      <w:r w:rsidR="0025338B">
        <w:t>a range of enhancements to the</w:t>
      </w:r>
      <w:r w:rsidR="00261ACF">
        <w:t xml:space="preserve"> existing</w:t>
      </w:r>
      <w:r w:rsidR="0025338B">
        <w:t xml:space="preserve"> Medicines Vigilance Framework</w:t>
      </w:r>
      <w:r w:rsidR="00442E4E">
        <w:t xml:space="preserve">. These enhancements </w:t>
      </w:r>
      <w:proofErr w:type="gramStart"/>
      <w:r w:rsidR="00D75541">
        <w:t>are designed</w:t>
      </w:r>
      <w:proofErr w:type="gramEnd"/>
      <w:r w:rsidR="00D75541">
        <w:t xml:space="preserve"> to proactively minimise, detect and address m</w:t>
      </w:r>
      <w:r w:rsidR="00735A2D">
        <w:t>edicine safety-related issues.</w:t>
      </w:r>
    </w:p>
    <w:p w:rsidR="00781A1E" w:rsidRDefault="006F418A" w:rsidP="00574DE5">
      <w:pPr>
        <w:pStyle w:val="Heading2"/>
      </w:pPr>
      <w:bookmarkStart w:id="2" w:name="_Toc476752717"/>
      <w:r>
        <w:t xml:space="preserve">About </w:t>
      </w:r>
      <w:r w:rsidRPr="00735A2D">
        <w:t>the</w:t>
      </w:r>
      <w:r>
        <w:t xml:space="preserve"> TGA</w:t>
      </w:r>
      <w:bookmarkEnd w:id="2"/>
    </w:p>
    <w:p w:rsidR="006F418A" w:rsidRPr="006F418A" w:rsidRDefault="006F418A" w:rsidP="00574DE5">
      <w:r w:rsidRPr="006F418A">
        <w:t>The TGA is responsible for ensuring that therapeutic goods available for supply in Australia are safe and fit for their intended purpose. These include goods Australians rely on every day, such as vitamin tablets and sunscreens, through to goods used to treat serious conditions, such as prescription medicines, vaccines, blood products and surgical implants.</w:t>
      </w:r>
    </w:p>
    <w:p w:rsidR="006F418A" w:rsidRPr="006F418A" w:rsidRDefault="006F418A" w:rsidP="00574DE5">
      <w:r w:rsidRPr="006F418A">
        <w:t xml:space="preserve">The TGA regulates the supply </w:t>
      </w:r>
      <w:proofErr w:type="gramStart"/>
      <w:r w:rsidRPr="006F418A">
        <w:t>of</w:t>
      </w:r>
      <w:proofErr w:type="gramEnd"/>
      <w:r w:rsidRPr="006F418A">
        <w:t>:</w:t>
      </w:r>
    </w:p>
    <w:p w:rsidR="006F418A" w:rsidRPr="00735A2D" w:rsidRDefault="006F418A" w:rsidP="00735A2D">
      <w:pPr>
        <w:pStyle w:val="ListBullet"/>
      </w:pPr>
      <w:r w:rsidRPr="00735A2D">
        <w:t>medicines prescribed by a doctor or dentist</w:t>
      </w:r>
    </w:p>
    <w:p w:rsidR="006F418A" w:rsidRPr="00735A2D" w:rsidRDefault="006F418A" w:rsidP="00735A2D">
      <w:pPr>
        <w:pStyle w:val="ListBullet"/>
      </w:pPr>
      <w:r w:rsidRPr="00735A2D">
        <w:t>medicines available from behind the pharmacy counter</w:t>
      </w:r>
    </w:p>
    <w:p w:rsidR="006F418A" w:rsidRPr="00735A2D" w:rsidRDefault="006F418A" w:rsidP="00735A2D">
      <w:pPr>
        <w:pStyle w:val="ListBullet"/>
      </w:pPr>
      <w:r w:rsidRPr="00735A2D">
        <w:t>medicines available in the general pharmacy</w:t>
      </w:r>
    </w:p>
    <w:p w:rsidR="006F418A" w:rsidRPr="00735A2D" w:rsidRDefault="006F418A" w:rsidP="00735A2D">
      <w:pPr>
        <w:pStyle w:val="ListBullet"/>
      </w:pPr>
      <w:r w:rsidRPr="00735A2D">
        <w:t>medicines available from supermarkets</w:t>
      </w:r>
    </w:p>
    <w:p w:rsidR="006F418A" w:rsidRPr="00735A2D" w:rsidRDefault="006F418A" w:rsidP="00735A2D">
      <w:pPr>
        <w:pStyle w:val="ListBullet"/>
      </w:pPr>
      <w:r w:rsidRPr="00735A2D">
        <w:t>complementary medicines, these include vitamins, herbal and traditional medicines</w:t>
      </w:r>
    </w:p>
    <w:p w:rsidR="006F418A" w:rsidRPr="00735A2D" w:rsidRDefault="006F418A" w:rsidP="00735A2D">
      <w:pPr>
        <w:pStyle w:val="ListBullet"/>
      </w:pPr>
      <w:r w:rsidRPr="00735A2D">
        <w:t>medical devices, from simple devices like bandages to complex technologies like heart pacemakers</w:t>
      </w:r>
    </w:p>
    <w:p w:rsidR="006F418A" w:rsidRPr="00735A2D" w:rsidRDefault="006F418A" w:rsidP="00735A2D">
      <w:pPr>
        <w:pStyle w:val="ListBullet"/>
      </w:pPr>
      <w:r w:rsidRPr="00735A2D">
        <w:t>products used to test for various diseases or conditions (in vitro diagnostic devices), such as blood tests; and</w:t>
      </w:r>
    </w:p>
    <w:p w:rsidR="006F418A" w:rsidRPr="00735A2D" w:rsidRDefault="006F418A" w:rsidP="00735A2D">
      <w:pPr>
        <w:pStyle w:val="ListBullet"/>
      </w:pPr>
      <w:r w:rsidRPr="00735A2D">
        <w:t>vaccines, bloo</w:t>
      </w:r>
      <w:r w:rsidR="00735A2D">
        <w:t>d products, and other biologics</w:t>
      </w:r>
    </w:p>
    <w:p w:rsidR="006F418A" w:rsidRDefault="006F418A" w:rsidP="00735A2D">
      <w:proofErr w:type="gramStart"/>
      <w:r w:rsidRPr="006F418A">
        <w:t>and</w:t>
      </w:r>
      <w:proofErr w:type="gramEnd"/>
      <w:r w:rsidRPr="006F418A">
        <w:t xml:space="preserve"> the manufacturing and advertising of these products.</w:t>
      </w:r>
    </w:p>
    <w:p w:rsidR="006F418A" w:rsidRDefault="006F418A" w:rsidP="00574DE5">
      <w:r w:rsidRPr="006F418A">
        <w:t xml:space="preserve">The TGA mandate is to regulate medicines, medical devices and biological products throughout their lifecycle. The TGA is focusing on implementing changes to ensure a greater emphasis on transparency of regulatory decision-making processes, a continuing focus on business process reform and a </w:t>
      </w:r>
      <w:proofErr w:type="gramStart"/>
      <w:r w:rsidRPr="006F418A">
        <w:t>more strategic</w:t>
      </w:r>
      <w:proofErr w:type="gramEnd"/>
      <w:r w:rsidRPr="006F418A">
        <w:t xml:space="preserve"> approach to the use of information technology to support regulatory operations</w:t>
      </w:r>
      <w:r w:rsidR="00DB5916">
        <w:t xml:space="preserve"> for the monitoring of medicines once they are marketed in Australia</w:t>
      </w:r>
      <w:r w:rsidRPr="006F418A">
        <w:t>.</w:t>
      </w:r>
    </w:p>
    <w:p w:rsidR="006F418A" w:rsidRDefault="006F418A" w:rsidP="00E138A9">
      <w:pPr>
        <w:pStyle w:val="Heading2"/>
      </w:pPr>
      <w:bookmarkStart w:id="3" w:name="_Toc476752718"/>
      <w:r w:rsidRPr="00E138A9">
        <w:t>Background</w:t>
      </w:r>
      <w:bookmarkEnd w:id="3"/>
    </w:p>
    <w:p w:rsidR="00E02117" w:rsidRDefault="006F418A" w:rsidP="003A66BE">
      <w:pPr>
        <w:rPr>
          <w:szCs w:val="22"/>
        </w:rPr>
      </w:pPr>
      <w:r w:rsidRPr="006F418A">
        <w:rPr>
          <w:szCs w:val="22"/>
        </w:rPr>
        <w:t xml:space="preserve">In 2015, </w:t>
      </w:r>
      <w:proofErr w:type="gramStart"/>
      <w:r>
        <w:rPr>
          <w:szCs w:val="22"/>
        </w:rPr>
        <w:t>a</w:t>
      </w:r>
      <w:r w:rsidR="003E61A7">
        <w:rPr>
          <w:szCs w:val="22"/>
        </w:rPr>
        <w:t xml:space="preserve"> </w:t>
      </w:r>
      <w:r>
        <w:rPr>
          <w:szCs w:val="22"/>
        </w:rPr>
        <w:t>r</w:t>
      </w:r>
      <w:r w:rsidR="00413157" w:rsidRPr="002B1488">
        <w:rPr>
          <w:szCs w:val="22"/>
        </w:rPr>
        <w:t xml:space="preserve">eview of </w:t>
      </w:r>
      <w:hyperlink r:id="rId14" w:history="1">
        <w:r w:rsidR="00413157" w:rsidRPr="008A5742">
          <w:rPr>
            <w:rStyle w:val="Hyperlink"/>
            <w:szCs w:val="22"/>
          </w:rPr>
          <w:t>Medicines and Medical Devices Regulation</w:t>
        </w:r>
      </w:hyperlink>
      <w:r w:rsidR="008A5742">
        <w:rPr>
          <w:rStyle w:val="FootnoteReference"/>
          <w:szCs w:val="22"/>
        </w:rPr>
        <w:footnoteReference w:id="1"/>
      </w:r>
      <w:r w:rsidR="00413157" w:rsidRPr="002B1488">
        <w:rPr>
          <w:szCs w:val="22"/>
        </w:rPr>
        <w:t xml:space="preserve"> (MMDR)</w:t>
      </w:r>
      <w:r w:rsidR="00E501DC">
        <w:rPr>
          <w:szCs w:val="22"/>
        </w:rPr>
        <w:t xml:space="preserve"> was undertaken by an </w:t>
      </w:r>
      <w:r w:rsidR="00EF6C2A">
        <w:rPr>
          <w:szCs w:val="22"/>
        </w:rPr>
        <w:t xml:space="preserve">Expert </w:t>
      </w:r>
      <w:r w:rsidR="00E501DC">
        <w:rPr>
          <w:szCs w:val="22"/>
        </w:rPr>
        <w:t>P</w:t>
      </w:r>
      <w:r>
        <w:rPr>
          <w:szCs w:val="22"/>
        </w:rPr>
        <w:t>anel</w:t>
      </w:r>
      <w:proofErr w:type="gramEnd"/>
      <w:r>
        <w:rPr>
          <w:szCs w:val="22"/>
        </w:rPr>
        <w:t xml:space="preserve">. </w:t>
      </w:r>
      <w:r w:rsidR="00E501DC" w:rsidRPr="00E501DC">
        <w:rPr>
          <w:szCs w:val="22"/>
        </w:rPr>
        <w:t>It identifies ways to improve access to therapeutic goods for consumers and remove unnecessary red-tape for industry whilst maintaining the safety of therapeutic goods in Australia</w:t>
      </w:r>
      <w:r w:rsidR="00E501DC">
        <w:rPr>
          <w:szCs w:val="22"/>
        </w:rPr>
        <w:t xml:space="preserve">. </w:t>
      </w:r>
      <w:r>
        <w:rPr>
          <w:szCs w:val="22"/>
        </w:rPr>
        <w:t xml:space="preserve">The </w:t>
      </w:r>
      <w:r w:rsidR="00EF6C2A">
        <w:rPr>
          <w:szCs w:val="22"/>
        </w:rPr>
        <w:t xml:space="preserve">Expert </w:t>
      </w:r>
      <w:r w:rsidR="00E501DC">
        <w:rPr>
          <w:szCs w:val="22"/>
        </w:rPr>
        <w:t xml:space="preserve">Panel </w:t>
      </w:r>
      <w:r w:rsidR="00413157" w:rsidRPr="002B1488">
        <w:rPr>
          <w:szCs w:val="22"/>
        </w:rPr>
        <w:t>made</w:t>
      </w:r>
      <w:r>
        <w:rPr>
          <w:szCs w:val="22"/>
        </w:rPr>
        <w:t xml:space="preserve"> a number of</w:t>
      </w:r>
      <w:r w:rsidR="00413157" w:rsidRPr="002B1488">
        <w:rPr>
          <w:szCs w:val="22"/>
        </w:rPr>
        <w:t xml:space="preserve"> recommendations</w:t>
      </w:r>
      <w:r>
        <w:rPr>
          <w:szCs w:val="22"/>
        </w:rPr>
        <w:t xml:space="preserve"> including those</w:t>
      </w:r>
      <w:r w:rsidR="00413157" w:rsidRPr="002B1488">
        <w:rPr>
          <w:szCs w:val="22"/>
        </w:rPr>
        <w:t xml:space="preserve"> aimed at </w:t>
      </w:r>
      <w:r w:rsidR="006C0A37">
        <w:rPr>
          <w:szCs w:val="22"/>
        </w:rPr>
        <w:t>enhancing the post market monitoring processes c</w:t>
      </w:r>
      <w:r w:rsidR="003A66BE">
        <w:rPr>
          <w:szCs w:val="22"/>
        </w:rPr>
        <w:t>urrently undertaken by the TGA.</w:t>
      </w:r>
    </w:p>
    <w:p w:rsidR="00330E6C" w:rsidRPr="00390D85" w:rsidRDefault="00330E6C" w:rsidP="003A66BE">
      <w:pPr>
        <w:pageBreakBefore/>
      </w:pPr>
      <w:r w:rsidRPr="00390D85">
        <w:lastRenderedPageBreak/>
        <w:t xml:space="preserve">These recommendations </w:t>
      </w:r>
      <w:proofErr w:type="gramStart"/>
      <w:r w:rsidRPr="00390D85">
        <w:t>were made</w:t>
      </w:r>
      <w:proofErr w:type="gramEnd"/>
      <w:r w:rsidRPr="00390D85">
        <w:t xml:space="preserve"> predominantly in Recommendation 27, where the </w:t>
      </w:r>
      <w:r w:rsidR="00EF6C2A">
        <w:t>Expert</w:t>
      </w:r>
      <w:r w:rsidRPr="00390D85">
        <w:t xml:space="preserve"> Panel proposed that the Government undertake:</w:t>
      </w:r>
    </w:p>
    <w:p w:rsidR="00330E6C" w:rsidRPr="00390D85" w:rsidRDefault="00330E6C" w:rsidP="003A66BE">
      <w:pPr>
        <w:pStyle w:val="Numberbullet0"/>
      </w:pPr>
      <w:r w:rsidRPr="00390D85">
        <w:t>Better integration and timely analysis of available datasets, including analysis of matched de-identified data from the Pharmaceutical Benefits Scheme, Medical Benefits Scheme, eHealth records, hospital records, private health insurance records and device and other relevant registries and datasets;</w:t>
      </w:r>
    </w:p>
    <w:p w:rsidR="00330E6C" w:rsidRPr="00390D85" w:rsidRDefault="00330E6C" w:rsidP="003A66BE">
      <w:pPr>
        <w:pStyle w:val="Numberbullet0"/>
      </w:pPr>
      <w:r w:rsidRPr="00390D85">
        <w:t>Establishment and maintenance of registries for all high-risk implantable devices;</w:t>
      </w:r>
    </w:p>
    <w:p w:rsidR="00330E6C" w:rsidRPr="00390D85" w:rsidRDefault="00330E6C" w:rsidP="003A66BE">
      <w:pPr>
        <w:pStyle w:val="Numberbullet0"/>
      </w:pPr>
      <w:r w:rsidRPr="00390D85">
        <w:t>Implementation of a scheme to alert practitioners and consumers that a drug is newly registered and to encourage reporting of any adverse events;</w:t>
      </w:r>
    </w:p>
    <w:p w:rsidR="00330E6C" w:rsidRPr="00390D85" w:rsidRDefault="00330E6C" w:rsidP="003A66BE">
      <w:pPr>
        <w:pStyle w:val="Numberbullet0"/>
      </w:pPr>
      <w:r w:rsidRPr="00390D85">
        <w:t>Provision for electronic reporting of adverse events; and</w:t>
      </w:r>
    </w:p>
    <w:p w:rsidR="00330E6C" w:rsidRPr="00390D85" w:rsidRDefault="00330E6C" w:rsidP="003A66BE">
      <w:pPr>
        <w:pStyle w:val="Numberbullet0"/>
      </w:pPr>
      <w:proofErr w:type="gramStart"/>
      <w:r w:rsidRPr="00390D85">
        <w:t>Enhanced collaboration with overseas National Regulatory Authorities to share information relating to safety or efficacy.</w:t>
      </w:r>
      <w:proofErr w:type="gramEnd"/>
    </w:p>
    <w:p w:rsidR="00330E6C" w:rsidRPr="00330E6C" w:rsidRDefault="00E501DC" w:rsidP="005B185A">
      <w:r w:rsidRPr="00E501DC">
        <w:t xml:space="preserve">On 15 September </w:t>
      </w:r>
      <w:proofErr w:type="gramStart"/>
      <w:r w:rsidRPr="00E501DC">
        <w:t>2016</w:t>
      </w:r>
      <w:proofErr w:type="gramEnd"/>
      <w:r w:rsidRPr="00E501DC">
        <w:t xml:space="preserve"> the Australian Government Response to the Review of Medicines and Medical Devices Regulation was released.</w:t>
      </w:r>
      <w:r>
        <w:t xml:space="preserve"> In it, t</w:t>
      </w:r>
      <w:r w:rsidR="00330E6C" w:rsidRPr="00390D85">
        <w:t>he Government</w:t>
      </w:r>
      <w:r w:rsidR="00FF0DB0">
        <w:t xml:space="preserve"> </w:t>
      </w:r>
      <w:r w:rsidR="00EF6C2A">
        <w:t xml:space="preserve">accepted </w:t>
      </w:r>
      <w:r w:rsidR="00FF0DB0">
        <w:t>the recommendations made, with the caveat that R</w:t>
      </w:r>
      <w:r w:rsidR="00330E6C" w:rsidRPr="00390D85">
        <w:t xml:space="preserve">ecommendation 27.2 </w:t>
      </w:r>
      <w:proofErr w:type="gramStart"/>
      <w:r w:rsidR="00FF0DB0">
        <w:t>will be deferred</w:t>
      </w:r>
      <w:proofErr w:type="gramEnd"/>
      <w:r w:rsidR="00FF0DB0">
        <w:t xml:space="preserve"> until other work is </w:t>
      </w:r>
      <w:r w:rsidR="00EF6C2A">
        <w:t>undertaken</w:t>
      </w:r>
      <w:r w:rsidR="00441B9F">
        <w:t xml:space="preserve">. </w:t>
      </w:r>
      <w:r>
        <w:t>Now</w:t>
      </w:r>
      <w:r w:rsidR="00FF0DB0">
        <w:t xml:space="preserve">, </w:t>
      </w:r>
      <w:proofErr w:type="gramStart"/>
      <w:r w:rsidR="00FF0DB0">
        <w:t>as a result</w:t>
      </w:r>
      <w:proofErr w:type="gramEnd"/>
      <w:r w:rsidR="00FF0DB0">
        <w:t xml:space="preserve"> of the Government’s </w:t>
      </w:r>
      <w:r w:rsidR="00EF6C2A">
        <w:t>acceptance</w:t>
      </w:r>
      <w:r w:rsidR="00FF0DB0">
        <w:t>, we are undertaking extensive enhancement to the safety monito</w:t>
      </w:r>
      <w:r w:rsidR="003A66BE">
        <w:t>ring of medicines in Australia.</w:t>
      </w:r>
    </w:p>
    <w:p w:rsidR="00321EDD" w:rsidRDefault="000B6B3E" w:rsidP="005B185A">
      <w:r w:rsidRPr="000B6B3E">
        <w:t xml:space="preserve">The scope of </w:t>
      </w:r>
      <w:r w:rsidR="00FF0DB0">
        <w:t>our</w:t>
      </w:r>
      <w:r w:rsidRPr="000B6B3E">
        <w:t xml:space="preserve"> post-market monitoring activities extends across listed and registered complementary, over-the-counter and prescription medicines, as well as vaccines, biologicals and the different classes of medical devices</w:t>
      </w:r>
      <w:r w:rsidR="00441B9F">
        <w:t xml:space="preserve">. </w:t>
      </w:r>
      <w:r w:rsidR="00321EDD">
        <w:t>Post-market monitoring is a collaborative activity that TGA shares with medicine sponsors, health professionals</w:t>
      </w:r>
      <w:r w:rsidR="00D75541">
        <w:t>,</w:t>
      </w:r>
      <w:r w:rsidR="00321EDD">
        <w:t xml:space="preserve"> consumers</w:t>
      </w:r>
      <w:r w:rsidR="00D75541">
        <w:t xml:space="preserve"> and overseas medicines regulators</w:t>
      </w:r>
      <w:r w:rsidR="003A66BE">
        <w:t>.</w:t>
      </w:r>
    </w:p>
    <w:tbl>
      <w:tblPr>
        <w:tblStyle w:val="TableGrid"/>
        <w:tblW w:w="0" w:type="auto"/>
        <w:tblInd w:w="108" w:type="dxa"/>
        <w:tblLook w:val="04A0" w:firstRow="1" w:lastRow="0" w:firstColumn="1" w:lastColumn="0" w:noHBand="0" w:noVBand="1"/>
      </w:tblPr>
      <w:tblGrid>
        <w:gridCol w:w="1134"/>
        <w:gridCol w:w="8044"/>
      </w:tblGrid>
      <w:tr w:rsidR="00AE7A9F" w:rsidTr="00ED42BA">
        <w:tc>
          <w:tcPr>
            <w:tcW w:w="1134" w:type="dxa"/>
            <w:tcBorders>
              <w:top w:val="nil"/>
              <w:left w:val="nil"/>
              <w:bottom w:val="nil"/>
              <w:right w:val="nil"/>
            </w:tcBorders>
            <w:vAlign w:val="center"/>
          </w:tcPr>
          <w:p w:rsidR="00AE7A9F" w:rsidRDefault="00AE7A9F" w:rsidP="003A66BE">
            <w:r w:rsidRPr="0027181F">
              <w:rPr>
                <w:noProof/>
                <w:lang w:eastAsia="en-AU"/>
              </w:rPr>
              <w:drawing>
                <wp:inline distT="0" distB="0" distL="0" distR="0" wp14:anchorId="634CC907" wp14:editId="13C908AF">
                  <wp:extent cx="487681" cy="487681"/>
                  <wp:effectExtent l="0" t="0" r="7620" b="7620"/>
                  <wp:docPr id="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duotone>
                              <a:schemeClr val="accent3">
                                <a:shade val="45000"/>
                                <a:satMod val="135000"/>
                              </a:schemeClr>
                              <a:prstClr val="white"/>
                            </a:duotone>
                          </a:blip>
                          <a:stretch>
                            <a:fillRect/>
                          </a:stretch>
                        </pic:blipFill>
                        <pic:spPr>
                          <a:xfrm>
                            <a:off x="0" y="0"/>
                            <a:ext cx="487681" cy="487681"/>
                          </a:xfrm>
                          <a:prstGeom prst="rect">
                            <a:avLst/>
                          </a:prstGeom>
                        </pic:spPr>
                      </pic:pic>
                    </a:graphicData>
                  </a:graphic>
                </wp:inline>
              </w:drawing>
            </w:r>
          </w:p>
        </w:tc>
        <w:tc>
          <w:tcPr>
            <w:tcW w:w="8044" w:type="dxa"/>
            <w:tcBorders>
              <w:top w:val="nil"/>
              <w:left w:val="nil"/>
              <w:bottom w:val="nil"/>
              <w:right w:val="nil"/>
            </w:tcBorders>
            <w:shd w:val="clear" w:color="auto" w:fill="F2F2F2"/>
            <w:vAlign w:val="center"/>
          </w:tcPr>
          <w:p w:rsidR="00AE7A9F" w:rsidRPr="00AE7A9F" w:rsidRDefault="00AE7A9F" w:rsidP="005B185A">
            <w:r w:rsidRPr="00AE7A9F">
              <w:t>For the purposes of this consultation paper, the focus is on medicines, which i</w:t>
            </w:r>
            <w:r w:rsidR="00291752">
              <w:t>ncludes vaccines and biological medicines</w:t>
            </w:r>
            <w:r>
              <w:t>.</w:t>
            </w:r>
          </w:p>
        </w:tc>
      </w:tr>
    </w:tbl>
    <w:p w:rsidR="00D05F92" w:rsidRDefault="00FF0DB0" w:rsidP="00441B9F">
      <w:pPr>
        <w:pageBreakBefore/>
      </w:pPr>
      <w:r>
        <w:lastRenderedPageBreak/>
        <w:t>Our current</w:t>
      </w:r>
      <w:r w:rsidR="000B6B3E">
        <w:t xml:space="preserve"> medicines vigilance tools</w:t>
      </w:r>
      <w:r w:rsidR="002C59B6">
        <w:t xml:space="preserve">, aligned to international best practice, </w:t>
      </w:r>
      <w:proofErr w:type="gramStart"/>
      <w:r w:rsidR="00014788">
        <w:t>are detailed</w:t>
      </w:r>
      <w:proofErr w:type="gramEnd"/>
      <w:r w:rsidR="00014788">
        <w:t xml:space="preserve"> below</w:t>
      </w:r>
      <w:r w:rsidR="00441B9F">
        <w:t>:</w:t>
      </w:r>
    </w:p>
    <w:p w:rsidR="00F7116D" w:rsidRDefault="00FE3E85" w:rsidP="00441B9F">
      <w:r>
        <w:rPr>
          <w:noProof/>
          <w:lang w:eastAsia="en-AU"/>
        </w:rPr>
        <w:drawing>
          <wp:inline distT="0" distB="0" distL="0" distR="0" wp14:anchorId="6782D232" wp14:editId="20C6AF45">
            <wp:extent cx="5267325" cy="4410075"/>
            <wp:effectExtent l="0" t="0" r="9525" b="9525"/>
            <wp:docPr id="10" name="Picture 10" title="Product Vigilance and Benefit-Risk Management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ga-therapeutic-product-vigilance.jpg"/>
                    <pic:cNvPicPr/>
                  </pic:nvPicPr>
                  <pic:blipFill>
                    <a:blip r:embed="rId16">
                      <a:extLst>
                        <a:ext uri="{28A0092B-C50C-407E-A947-70E740481C1C}">
                          <a14:useLocalDpi xmlns:a14="http://schemas.microsoft.com/office/drawing/2010/main" val="0"/>
                        </a:ext>
                      </a:extLst>
                    </a:blip>
                    <a:stretch>
                      <a:fillRect/>
                    </a:stretch>
                  </pic:blipFill>
                  <pic:spPr>
                    <a:xfrm>
                      <a:off x="0" y="0"/>
                      <a:ext cx="5267325" cy="4410075"/>
                    </a:xfrm>
                    <a:prstGeom prst="rect">
                      <a:avLst/>
                    </a:prstGeom>
                  </pic:spPr>
                </pic:pic>
              </a:graphicData>
            </a:graphic>
          </wp:inline>
        </w:drawing>
      </w:r>
    </w:p>
    <w:p w:rsidR="00FE3E85" w:rsidRPr="00ED42BA" w:rsidRDefault="00FE3E85" w:rsidP="00ED42BA">
      <w:pPr>
        <w:pStyle w:val="Figuredescription"/>
      </w:pPr>
      <w:r w:rsidRPr="00ED42BA">
        <w:t xml:space="preserve">(Source: </w:t>
      </w:r>
      <w:hyperlink r:id="rId17" w:history="1">
        <w:r w:rsidRPr="00ED42BA">
          <w:rPr>
            <w:rStyle w:val="Hyperlink"/>
          </w:rPr>
          <w:t>Health Canada</w:t>
        </w:r>
      </w:hyperlink>
      <w:r w:rsidRPr="00ED42BA">
        <w:t>)</w:t>
      </w:r>
    </w:p>
    <w:p w:rsidR="000B6B3E" w:rsidRDefault="000B6B3E" w:rsidP="005B185A">
      <w:r>
        <w:t>These tools are able to manage a range of medicine safety profiles, from New Chemical Entities (NCEs) that are first in pharmacological class, to listed complementary medicines</w:t>
      </w:r>
      <w:r w:rsidR="00441B9F">
        <w:t xml:space="preserve">. </w:t>
      </w:r>
      <w:r>
        <w:t xml:space="preserve">They will continue to be </w:t>
      </w:r>
      <w:proofErr w:type="gramStart"/>
      <w:r>
        <w:t>used</w:t>
      </w:r>
      <w:proofErr w:type="gramEnd"/>
      <w:r>
        <w:t xml:space="preserve"> and applied with the introduction of </w:t>
      </w:r>
      <w:hyperlink w:anchor="_Definitions" w:history="1">
        <w:r w:rsidRPr="002D63C4">
          <w:rPr>
            <w:rStyle w:val="Hyperlink"/>
          </w:rPr>
          <w:t>provisionally</w:t>
        </w:r>
        <w:bookmarkStart w:id="4" w:name="Provisional_Definition"/>
        <w:bookmarkEnd w:id="4"/>
        <w:r w:rsidRPr="002D63C4">
          <w:rPr>
            <w:rStyle w:val="Hyperlink"/>
          </w:rPr>
          <w:t xml:space="preserve"> registered medicines</w:t>
        </w:r>
      </w:hyperlink>
      <w:r>
        <w:t xml:space="preserve"> in order to</w:t>
      </w:r>
      <w:r w:rsidR="002C7CE7">
        <w:t xml:space="preserve"> </w:t>
      </w:r>
      <w:r w:rsidR="00161EAC">
        <w:t>characterise</w:t>
      </w:r>
      <w:r>
        <w:t xml:space="preserve"> risks associated with these medicines, and to </w:t>
      </w:r>
      <w:r w:rsidR="00A06862">
        <w:t xml:space="preserve">require the sponsor to collect and submit </w:t>
      </w:r>
      <w:r>
        <w:t xml:space="preserve">post-registration </w:t>
      </w:r>
      <w:r w:rsidR="00A06862">
        <w:t xml:space="preserve">clinical </w:t>
      </w:r>
      <w:r>
        <w:t>data</w:t>
      </w:r>
      <w:r w:rsidR="00A06862" w:rsidRPr="00A06862">
        <w:t xml:space="preserve"> </w:t>
      </w:r>
      <w:r w:rsidR="00A06862">
        <w:t>to substantiate the medicine’s efficacy and safety</w:t>
      </w:r>
      <w:r w:rsidR="00ED42BA">
        <w:t>.</w:t>
      </w:r>
    </w:p>
    <w:p w:rsidR="00571363" w:rsidRDefault="000B6B3E" w:rsidP="005B185A">
      <w:r>
        <w:t xml:space="preserve">The existing medicines vigilance tools </w:t>
      </w:r>
      <w:proofErr w:type="gramStart"/>
      <w:r>
        <w:t>are applied</w:t>
      </w:r>
      <w:proofErr w:type="gramEnd"/>
      <w:r>
        <w:t xml:space="preserve"> to products </w:t>
      </w:r>
      <w:r w:rsidR="002C7CE7">
        <w:t xml:space="preserve">using a risk-based approach. </w:t>
      </w:r>
      <w:r>
        <w:t>An assessment of the risk posed by the medicine involves consideration o</w:t>
      </w:r>
      <w:r w:rsidR="00ED42BA">
        <w:t>f a number of factors, such as:</w:t>
      </w:r>
    </w:p>
    <w:p w:rsidR="00571363" w:rsidRDefault="00571363" w:rsidP="005B185A">
      <w:pPr>
        <w:pStyle w:val="ListBullet"/>
      </w:pPr>
      <w:r>
        <w:t>How much do we know about the</w:t>
      </w:r>
      <w:r w:rsidR="000B6B3E">
        <w:t xml:space="preserve"> </w:t>
      </w:r>
      <w:r w:rsidR="000B6B3E" w:rsidRPr="005B185A">
        <w:t>medicine</w:t>
      </w:r>
      <w:r>
        <w:t xml:space="preserve"> and its safety profile?</w:t>
      </w:r>
    </w:p>
    <w:p w:rsidR="00571363" w:rsidRDefault="00571363" w:rsidP="006F418A">
      <w:pPr>
        <w:pStyle w:val="ListBullet"/>
      </w:pPr>
      <w:r>
        <w:t>What is the</w:t>
      </w:r>
      <w:r w:rsidR="000B6B3E">
        <w:t xml:space="preserve"> likelihood that the medicine is responsible for </w:t>
      </w:r>
      <w:proofErr w:type="gramStart"/>
      <w:r w:rsidR="000B6B3E">
        <w:t>adverse events and whether thes</w:t>
      </w:r>
      <w:r>
        <w:t>e events are serious in nature</w:t>
      </w:r>
      <w:proofErr w:type="gramEnd"/>
      <w:r>
        <w:t>?</w:t>
      </w:r>
    </w:p>
    <w:p w:rsidR="00571363" w:rsidRDefault="00571363" w:rsidP="005B185A">
      <w:pPr>
        <w:pStyle w:val="ListBullet"/>
      </w:pPr>
      <w:r>
        <w:t xml:space="preserve">What is </w:t>
      </w:r>
      <w:r w:rsidR="000B6B3E">
        <w:t>the population in which the medicine is used (such as in children, pregnant wome</w:t>
      </w:r>
      <w:r>
        <w:t>n, otherwise healthy patients)?</w:t>
      </w:r>
    </w:p>
    <w:p w:rsidR="008A3513" w:rsidRDefault="006A1E6A" w:rsidP="005B185A">
      <w:pPr>
        <w:pStyle w:val="ListBullet"/>
      </w:pPr>
      <w:r>
        <w:t xml:space="preserve">What is the </w:t>
      </w:r>
      <w:r w:rsidRPr="00ED42BA">
        <w:t>context</w:t>
      </w:r>
      <w:r>
        <w:t xml:space="preserve"> in which the medicine is used (is it available for use over the counter or prescribed by a medical practitioner, is it used for serious or non-serious medical conditions?)</w:t>
      </w:r>
    </w:p>
    <w:tbl>
      <w:tblPr>
        <w:tblStyle w:val="TableGrid"/>
        <w:tblW w:w="0" w:type="auto"/>
        <w:tblInd w:w="108" w:type="dxa"/>
        <w:tblLook w:val="04A0" w:firstRow="1" w:lastRow="0" w:firstColumn="1" w:lastColumn="0" w:noHBand="0" w:noVBand="1"/>
      </w:tblPr>
      <w:tblGrid>
        <w:gridCol w:w="1134"/>
        <w:gridCol w:w="8044"/>
      </w:tblGrid>
      <w:tr w:rsidR="000B6B3E" w:rsidTr="00ED42BA">
        <w:tc>
          <w:tcPr>
            <w:tcW w:w="1134" w:type="dxa"/>
            <w:tcBorders>
              <w:top w:val="nil"/>
              <w:left w:val="nil"/>
              <w:bottom w:val="nil"/>
              <w:right w:val="nil"/>
            </w:tcBorders>
            <w:vAlign w:val="center"/>
          </w:tcPr>
          <w:p w:rsidR="000B6B3E" w:rsidRDefault="000B6B3E" w:rsidP="00ED42BA">
            <w:r w:rsidRPr="0027181F">
              <w:rPr>
                <w:noProof/>
                <w:lang w:eastAsia="en-AU"/>
              </w:rPr>
              <w:lastRenderedPageBreak/>
              <w:drawing>
                <wp:inline distT="0" distB="0" distL="0" distR="0" wp14:anchorId="01FFD762" wp14:editId="4EF67802">
                  <wp:extent cx="489600" cy="489600"/>
                  <wp:effectExtent l="0" t="0" r="5715" b="5715"/>
                  <wp:docPr id="4"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duotone>
                              <a:schemeClr val="accent3">
                                <a:shade val="45000"/>
                                <a:satMod val="135000"/>
                              </a:schemeClr>
                              <a:prstClr val="white"/>
                            </a:duotone>
                          </a:blip>
                          <a:stretch>
                            <a:fillRect/>
                          </a:stretch>
                        </pic:blipFill>
                        <pic:spPr>
                          <a:xfrm>
                            <a:off x="0" y="0"/>
                            <a:ext cx="489600" cy="489600"/>
                          </a:xfrm>
                          <a:prstGeom prst="rect">
                            <a:avLst/>
                          </a:prstGeom>
                        </pic:spPr>
                      </pic:pic>
                    </a:graphicData>
                  </a:graphic>
                </wp:inline>
              </w:drawing>
            </w:r>
          </w:p>
        </w:tc>
        <w:tc>
          <w:tcPr>
            <w:tcW w:w="8044" w:type="dxa"/>
            <w:tcBorders>
              <w:top w:val="nil"/>
              <w:left w:val="nil"/>
              <w:bottom w:val="nil"/>
              <w:right w:val="nil"/>
            </w:tcBorders>
            <w:shd w:val="clear" w:color="auto" w:fill="F2F2F2"/>
          </w:tcPr>
          <w:p w:rsidR="000B6B3E" w:rsidRPr="00ED42BA" w:rsidRDefault="000B6B3E" w:rsidP="00ED42BA">
            <w:pPr>
              <w:rPr>
                <w:b/>
              </w:rPr>
            </w:pPr>
            <w:r w:rsidRPr="00ED42BA">
              <w:rPr>
                <w:b/>
              </w:rPr>
              <w:t>An example of how the existing Medicine Vigilance Framework is applied</w:t>
            </w:r>
          </w:p>
          <w:p w:rsidR="000B6B3E" w:rsidRDefault="00620B82" w:rsidP="00ED42BA">
            <w:r>
              <w:t>A sponsor of an</w:t>
            </w:r>
            <w:r w:rsidRPr="00A178A9">
              <w:t xml:space="preserve"> </w:t>
            </w:r>
            <w:r w:rsidR="000B6B3E" w:rsidRPr="00A178A9">
              <w:t xml:space="preserve">immunosuppressant </w:t>
            </w:r>
            <w:r w:rsidR="000B6B3E">
              <w:t>drug sought registration</w:t>
            </w:r>
            <w:r w:rsidR="000B6B3E" w:rsidRPr="00A178A9">
              <w:t xml:space="preserve"> on the </w:t>
            </w:r>
            <w:r w:rsidR="000B6B3E">
              <w:t>Australian Register of</w:t>
            </w:r>
            <w:r w:rsidR="002D63C4">
              <w:t xml:space="preserve"> Therapeutic Goods (ARTG). D</w:t>
            </w:r>
            <w:r w:rsidR="000B6B3E">
              <w:t xml:space="preserve">uring the RMP </w:t>
            </w:r>
            <w:proofErr w:type="gramStart"/>
            <w:r w:rsidR="00161EAC">
              <w:t>evaluation</w:t>
            </w:r>
            <w:proofErr w:type="gramEnd"/>
            <w:r w:rsidR="00161EAC">
              <w:t xml:space="preserve"> it was identified that pharmacovigilance activities were required to better characterise</w:t>
            </w:r>
            <w:r w:rsidR="000B6B3E">
              <w:t xml:space="preserve"> a potential safety concern</w:t>
            </w:r>
            <w:r w:rsidR="00441B9F">
              <w:t xml:space="preserve">. </w:t>
            </w:r>
            <w:r w:rsidR="00ED23F4">
              <w:t>As a result, t</w:t>
            </w:r>
            <w:r w:rsidR="000B6B3E">
              <w:t xml:space="preserve">he sponsor </w:t>
            </w:r>
            <w:r>
              <w:t xml:space="preserve">was required </w:t>
            </w:r>
            <w:r w:rsidR="000B6B3E">
              <w:t xml:space="preserve">to undertake </w:t>
            </w:r>
            <w:r w:rsidR="00ED23F4">
              <w:t xml:space="preserve">a range of </w:t>
            </w:r>
            <w:r w:rsidR="000B6B3E">
              <w:t xml:space="preserve">specific </w:t>
            </w:r>
            <w:r w:rsidR="00ED23F4">
              <w:t xml:space="preserve">risk management </w:t>
            </w:r>
            <w:r w:rsidR="000B6B3E">
              <w:t>activities</w:t>
            </w:r>
            <w:r w:rsidR="00ED23F4">
              <w:t xml:space="preserve">. </w:t>
            </w:r>
          </w:p>
          <w:p w:rsidR="000B6B3E" w:rsidRDefault="000B6B3E" w:rsidP="00ED42BA">
            <w:r w:rsidRPr="00A178A9">
              <w:t xml:space="preserve">A year later </w:t>
            </w:r>
            <w:r w:rsidR="00ED23F4">
              <w:t xml:space="preserve">we </w:t>
            </w:r>
            <w:r w:rsidR="009D30DC">
              <w:t xml:space="preserve">detected a </w:t>
            </w:r>
            <w:r w:rsidRPr="00A178A9">
              <w:t xml:space="preserve">potential </w:t>
            </w:r>
            <w:r w:rsidR="009D30DC">
              <w:t xml:space="preserve">safety </w:t>
            </w:r>
            <w:r w:rsidRPr="00A178A9">
              <w:t>signal</w:t>
            </w:r>
            <w:r w:rsidR="008F2A6D">
              <w:t xml:space="preserve">; </w:t>
            </w:r>
            <w:r w:rsidRPr="00A178A9">
              <w:t>patients taking this medicine were reporting</w:t>
            </w:r>
            <w:r w:rsidR="004A4A03">
              <w:t xml:space="preserve"> a</w:t>
            </w:r>
            <w:r w:rsidRPr="00A178A9">
              <w:t xml:space="preserve"> </w:t>
            </w:r>
            <w:r w:rsidR="004A4A03">
              <w:t>re-activation of an underlying</w:t>
            </w:r>
            <w:r w:rsidRPr="00A178A9">
              <w:t xml:space="preserve"> infection</w:t>
            </w:r>
            <w:r>
              <w:t xml:space="preserve"> not listed</w:t>
            </w:r>
            <w:r w:rsidR="00691D77">
              <w:t xml:space="preserve"> as a contraindication</w:t>
            </w:r>
            <w:r>
              <w:t xml:space="preserve"> in the Product Information (PI)</w:t>
            </w:r>
            <w:r w:rsidR="00910F6B">
              <w:t xml:space="preserve"> or Consumer Medicines Information (CMI)</w:t>
            </w:r>
            <w:r>
              <w:t>.</w:t>
            </w:r>
          </w:p>
          <w:p w:rsidR="000B6B3E" w:rsidRPr="00571363" w:rsidRDefault="000B6B3E" w:rsidP="00ED42BA">
            <w:r w:rsidRPr="00A178A9">
              <w:t xml:space="preserve">The result of investigations by </w:t>
            </w:r>
            <w:r w:rsidR="00620B82">
              <w:t>the</w:t>
            </w:r>
            <w:r w:rsidR="00620B82" w:rsidRPr="00A178A9">
              <w:t xml:space="preserve"> </w:t>
            </w:r>
            <w:r w:rsidR="009D30DC">
              <w:t>TGA</w:t>
            </w:r>
            <w:r w:rsidR="009D30DC" w:rsidRPr="00A178A9">
              <w:t xml:space="preserve"> </w:t>
            </w:r>
            <w:r w:rsidRPr="00A178A9">
              <w:t xml:space="preserve">determined that the </w:t>
            </w:r>
            <w:r w:rsidR="00F35C3E">
              <w:t xml:space="preserve">re-activation of the </w:t>
            </w:r>
            <w:r w:rsidRPr="00A178A9">
              <w:t xml:space="preserve">infection </w:t>
            </w:r>
            <w:proofErr w:type="gramStart"/>
            <w:r w:rsidRPr="00A178A9">
              <w:t>was re</w:t>
            </w:r>
            <w:r>
              <w:t>lated</w:t>
            </w:r>
            <w:proofErr w:type="gramEnd"/>
            <w:r>
              <w:t xml:space="preserve"> to use of the drug</w:t>
            </w:r>
            <w:r w:rsidR="00441B9F">
              <w:t xml:space="preserve">. </w:t>
            </w:r>
            <w:r w:rsidR="009D30DC">
              <w:t>We</w:t>
            </w:r>
            <w:r w:rsidR="009D30DC" w:rsidRPr="00A178A9">
              <w:t xml:space="preserve"> </w:t>
            </w:r>
            <w:r w:rsidRPr="00A178A9">
              <w:t xml:space="preserve">worked with the sponsor to </w:t>
            </w:r>
            <w:r w:rsidR="00ED23F4">
              <w:t>widen</w:t>
            </w:r>
            <w:r w:rsidR="00ED23F4" w:rsidRPr="00A178A9">
              <w:t xml:space="preserve"> </w:t>
            </w:r>
            <w:r w:rsidRPr="00A178A9">
              <w:t>the</w:t>
            </w:r>
            <w:r w:rsidR="00ED23F4">
              <w:t xml:space="preserve"> contraindications</w:t>
            </w:r>
            <w:r w:rsidRPr="00A178A9">
              <w:t xml:space="preserve"> information in the PI and </w:t>
            </w:r>
            <w:r w:rsidR="00D761FF">
              <w:t xml:space="preserve">CMI and </w:t>
            </w:r>
            <w:r w:rsidRPr="00A178A9">
              <w:t xml:space="preserve">included an article in TGA’s </w:t>
            </w:r>
            <w:r w:rsidRPr="00A178A9">
              <w:rPr>
                <w:i/>
                <w:iCs/>
              </w:rPr>
              <w:t>Medicines Safety Update</w:t>
            </w:r>
            <w:r w:rsidRPr="00A178A9">
              <w:t xml:space="preserve"> to alert health professionals to this new issue.</w:t>
            </w:r>
          </w:p>
        </w:tc>
      </w:tr>
    </w:tbl>
    <w:p w:rsidR="00B87C94" w:rsidRPr="008F2A6D" w:rsidRDefault="00B87C94" w:rsidP="005B185A">
      <w:r w:rsidRPr="008F2A6D">
        <w:t xml:space="preserve">The full details regarding the pharmacovigilance requirements for sponsors of Australian medicines are available on the TGA website via the following link: </w:t>
      </w:r>
      <w:r w:rsidR="005B185A">
        <w:t>&lt;</w:t>
      </w:r>
      <w:hyperlink r:id="rId18" w:history="1">
        <w:r w:rsidR="005B185A">
          <w:rPr>
            <w:rStyle w:val="Hyperlink"/>
          </w:rPr>
          <w:t>https://www.tga.gov.au/australian-requirements-and-recommendations-pharmacovigilance-responsibilities-sponsors-medicines</w:t>
        </w:r>
      </w:hyperlink>
      <w:r w:rsidR="005B185A">
        <w:t>&gt;.</w:t>
      </w:r>
    </w:p>
    <w:p w:rsidR="00B87C94" w:rsidRDefault="00B87C94" w:rsidP="00D05A99">
      <w:r w:rsidRPr="008F2A6D">
        <w:t xml:space="preserve">Further information regarding Risk Management Plans (RMP) </w:t>
      </w:r>
      <w:proofErr w:type="gramStart"/>
      <w:r w:rsidRPr="008F2A6D">
        <w:t>can be found</w:t>
      </w:r>
      <w:proofErr w:type="gramEnd"/>
      <w:r w:rsidRPr="008F2A6D">
        <w:t xml:space="preserve"> on </w:t>
      </w:r>
      <w:r w:rsidR="00D05A99">
        <w:t>&lt;</w:t>
      </w:r>
      <w:hyperlink r:id="rId19" w:history="1">
        <w:r w:rsidRPr="008F2A6D">
          <w:rPr>
            <w:rStyle w:val="Hyperlink"/>
          </w:rPr>
          <w:t>https://www.tga.gov.au/publication/risk-management-plans</w:t>
        </w:r>
      </w:hyperlink>
      <w:r w:rsidR="00D05A99" w:rsidRPr="00D05A99">
        <w:t>&gt;</w:t>
      </w:r>
      <w:r w:rsidRPr="008F2A6D">
        <w:t>.</w:t>
      </w:r>
    </w:p>
    <w:p w:rsidR="00B87C94" w:rsidRDefault="00A610CE" w:rsidP="00D05A99">
      <w:pPr>
        <w:pStyle w:val="Heading2"/>
      </w:pPr>
      <w:bookmarkStart w:id="5" w:name="_Toc476752719"/>
      <w:r w:rsidRPr="00D05A99">
        <w:t>Enhancements</w:t>
      </w:r>
      <w:bookmarkEnd w:id="5"/>
    </w:p>
    <w:p w:rsidR="00A610CE" w:rsidRDefault="00A610CE" w:rsidP="00D05A99">
      <w:r>
        <w:t xml:space="preserve">In addition to the vigilance tools listed above, the following enhancements </w:t>
      </w:r>
      <w:proofErr w:type="gramStart"/>
      <w:r>
        <w:t>will be made</w:t>
      </w:r>
      <w:proofErr w:type="gramEnd"/>
      <w:r>
        <w:t xml:space="preserve"> to the existing Medicines Vigilance Framework.</w:t>
      </w:r>
      <w:r w:rsidR="00592089">
        <w:rPr>
          <w:noProof/>
          <w:lang w:eastAsia="en-AU"/>
        </w:rPr>
        <w:drawing>
          <wp:inline distT="0" distB="0" distL="0" distR="0" wp14:anchorId="57502E05" wp14:editId="3A024A30">
            <wp:extent cx="15875" cy="8255"/>
            <wp:effectExtent l="0" t="0" r="0" b="0"/>
            <wp:docPr id="8" name="Picture 8" descr="C:\Users\adkinr\AppData\Local\Microsoft\Windows\Temporary Internet Files\Content.IE5\4G9HYLG5\blockpag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kinr\AppData\Local\Microsoft\Windows\Temporary Internet Files\Content.IE5\4G9HYLG5\blockpage[1].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75" cy="8255"/>
                    </a:xfrm>
                    <a:prstGeom prst="rect">
                      <a:avLst/>
                    </a:prstGeom>
                    <a:noFill/>
                    <a:ln>
                      <a:noFill/>
                    </a:ln>
                  </pic:spPr>
                </pic:pic>
              </a:graphicData>
            </a:graphic>
          </wp:inline>
        </w:drawing>
      </w:r>
    </w:p>
    <w:p w:rsidR="008A3513" w:rsidRPr="008A3513" w:rsidRDefault="008A3513" w:rsidP="00D05A99">
      <w:pPr>
        <w:pStyle w:val="Heading3"/>
      </w:pPr>
      <w:bookmarkStart w:id="6" w:name="_Toc476752720"/>
      <w:r w:rsidRPr="008A3513">
        <w:t xml:space="preserve">Adverse </w:t>
      </w:r>
      <w:r w:rsidR="00D05A99">
        <w:t>e</w:t>
      </w:r>
      <w:r w:rsidRPr="008A3513">
        <w:t xml:space="preserve">vent </w:t>
      </w:r>
      <w:r w:rsidR="00D05A99" w:rsidRPr="00D05A99">
        <w:t>r</w:t>
      </w:r>
      <w:r w:rsidRPr="00D05A99">
        <w:t>eporting</w:t>
      </w:r>
      <w:bookmarkEnd w:id="6"/>
    </w:p>
    <w:p w:rsidR="008A3513" w:rsidRPr="008A3513" w:rsidRDefault="008A3513" w:rsidP="00D05A99">
      <w:pPr>
        <w:pStyle w:val="Heading4"/>
      </w:pPr>
      <w:bookmarkStart w:id="7" w:name="_Toc476752721"/>
      <w:r w:rsidRPr="008A3513">
        <w:t xml:space="preserve">Black </w:t>
      </w:r>
      <w:r w:rsidR="00D05A99" w:rsidRPr="00D05A99">
        <w:t>t</w:t>
      </w:r>
      <w:r w:rsidRPr="00D05A99">
        <w:t>riangle</w:t>
      </w:r>
      <w:r w:rsidRPr="008A3513">
        <w:t xml:space="preserve"> </w:t>
      </w:r>
      <w:r w:rsidR="00D05A99">
        <w:t>s</w:t>
      </w:r>
      <w:r w:rsidRPr="008A3513">
        <w:t>cheme</w:t>
      </w:r>
      <w:bookmarkEnd w:id="7"/>
    </w:p>
    <w:p w:rsidR="008A3513" w:rsidRPr="008A3513" w:rsidRDefault="008A3513" w:rsidP="00D05A99">
      <w:r w:rsidRPr="008A3513">
        <w:rPr>
          <w:noProof/>
          <w:lang w:eastAsia="en-AU"/>
        </w:rPr>
        <w:drawing>
          <wp:anchor distT="0" distB="0" distL="114300" distR="114300" simplePos="0" relativeHeight="251659264" behindDoc="1" locked="0" layoutInCell="1" allowOverlap="1" wp14:anchorId="7736B73E" wp14:editId="0920D038">
            <wp:simplePos x="0" y="0"/>
            <wp:positionH relativeFrom="column">
              <wp:posOffset>92710</wp:posOffset>
            </wp:positionH>
            <wp:positionV relativeFrom="paragraph">
              <wp:posOffset>28575</wp:posOffset>
            </wp:positionV>
            <wp:extent cx="507600" cy="450000"/>
            <wp:effectExtent l="0" t="0" r="6985" b="7620"/>
            <wp:wrapSquare wrapText="bothSides"/>
            <wp:docPr id="5" name="Picture 5" descr="black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kinr\AppData\Local\Microsoft\Windows\Temporary Internet Files\Content.IE5\9X1P5AS0\540px-Black_triangle.svg[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507600" cy="45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3513">
        <w:t>We will introduce the Black Triangle Scheme in order to alert health professionals and consumers to the fact that a particular medicine is newly available and to request they report adverse events associated with the medicine. At the time of registration, medicines will have undergone a range of studies to measure the safety and</w:t>
      </w:r>
      <w:r w:rsidR="002D63C4">
        <w:t xml:space="preserve"> efficacy of the medicine. W</w:t>
      </w:r>
      <w:r w:rsidRPr="008A3513">
        <w:t xml:space="preserve">hile these medicines </w:t>
      </w:r>
      <w:proofErr w:type="gramStart"/>
      <w:r w:rsidRPr="008A3513">
        <w:t>have been well studied</w:t>
      </w:r>
      <w:proofErr w:type="gramEnd"/>
      <w:r w:rsidRPr="008A3513">
        <w:t>, it is not always possible to predict all adverse events from clinical trial data</w:t>
      </w:r>
      <w:r w:rsidR="00441B9F">
        <w:t xml:space="preserve">. </w:t>
      </w:r>
      <w:r w:rsidRPr="008A3513">
        <w:t xml:space="preserve">Rare adverse events </w:t>
      </w:r>
      <w:proofErr w:type="gramStart"/>
      <w:r w:rsidRPr="008A3513">
        <w:t>may not be detected</w:t>
      </w:r>
      <w:proofErr w:type="gramEnd"/>
      <w:r w:rsidRPr="008A3513">
        <w:t xml:space="preserve"> in clinical trials, and since there is variation between individuals in the way they respond or react to medicines, there is the potential for previously unknown adverse events to occur at any time</w:t>
      </w:r>
      <w:r w:rsidR="00441B9F">
        <w:t xml:space="preserve">. </w:t>
      </w:r>
      <w:r w:rsidRPr="008A3513">
        <w:t xml:space="preserve">The implementation of a Black Triangle Scheme </w:t>
      </w:r>
      <w:proofErr w:type="gramStart"/>
      <w:r w:rsidRPr="008A3513">
        <w:t>is intended</w:t>
      </w:r>
      <w:proofErr w:type="gramEnd"/>
      <w:r w:rsidRPr="008A3513">
        <w:t xml:space="preserve"> to act as a reminder to health professionals and consumers that they can help by informing the TGA about the effects a new medicine might be </w:t>
      </w:r>
      <w:r w:rsidR="00D05A99">
        <w:t>having on a consumer.</w:t>
      </w:r>
    </w:p>
    <w:p w:rsidR="008A3513" w:rsidRPr="008A3513" w:rsidRDefault="008A3513" w:rsidP="00D05A99">
      <w:r w:rsidRPr="008A3513">
        <w:t>Black Triangle Schemes are currently in operation throughout the member states of the European Union (EU)</w:t>
      </w:r>
      <w:r w:rsidR="00441B9F">
        <w:t xml:space="preserve">. </w:t>
      </w:r>
      <w:r w:rsidRPr="008A3513">
        <w:t xml:space="preserve">The triangle </w:t>
      </w:r>
      <w:proofErr w:type="gramStart"/>
      <w:r w:rsidRPr="008A3513">
        <w:t>is displayed</w:t>
      </w:r>
      <w:proofErr w:type="gramEnd"/>
      <w:r w:rsidRPr="008A3513">
        <w:t xml:space="preserve"> on their PI and CMI equivalents next to the name of the medicine, with an explanation that the product is subject to additional monitoring and a request to report suspected adverse events</w:t>
      </w:r>
      <w:r w:rsidR="00441B9F">
        <w:t xml:space="preserve">. </w:t>
      </w:r>
      <w:r w:rsidR="002D63C4">
        <w:t>The symbol does not appear on product labels or other packing in Europe.</w:t>
      </w:r>
    </w:p>
    <w:p w:rsidR="008A3513" w:rsidRPr="008A3513" w:rsidRDefault="008A3513" w:rsidP="00D05A99">
      <w:r w:rsidRPr="008A3513">
        <w:lastRenderedPageBreak/>
        <w:t xml:space="preserve">The Black Triangle </w:t>
      </w:r>
      <w:proofErr w:type="gramStart"/>
      <w:r w:rsidRPr="008A3513">
        <w:t>is also displayed</w:t>
      </w:r>
      <w:proofErr w:type="gramEnd"/>
      <w:r w:rsidRPr="008A3513">
        <w:t xml:space="preserve"> next to the name of the medicine in a number of reference texts, such as the British National Formulary</w:t>
      </w:r>
      <w:r w:rsidR="00441B9F">
        <w:t xml:space="preserve">. </w:t>
      </w:r>
      <w:r w:rsidRPr="008A3513">
        <w:t xml:space="preserve">In the </w:t>
      </w:r>
      <w:proofErr w:type="gramStart"/>
      <w:r w:rsidRPr="008A3513">
        <w:t>EU</w:t>
      </w:r>
      <w:proofErr w:type="gramEnd"/>
      <w:r w:rsidRPr="008A3513">
        <w:t xml:space="preserve"> the types of products for which it is mandatory to display the triangle include, for example: new chemical entities, products for which a post-authorisation safety study was requested at the time of registration and products registered with specific adverse event reporting obligations</w:t>
      </w:r>
      <w:r w:rsidR="00441B9F">
        <w:t xml:space="preserve">. </w:t>
      </w:r>
      <w:r w:rsidRPr="008A3513">
        <w:t>There are approximately 300 products currently required to display the Black Triangle in the EU</w:t>
      </w:r>
      <w:r w:rsidR="00D05A99">
        <w:t>.</w:t>
      </w:r>
    </w:p>
    <w:p w:rsidR="008A3513" w:rsidRPr="008A3513" w:rsidRDefault="008A3513" w:rsidP="00D05A99">
      <w:r w:rsidRPr="008A3513">
        <w:t xml:space="preserve">We are proposing that prescription medicines for which registration </w:t>
      </w:r>
      <w:proofErr w:type="gramStart"/>
      <w:r w:rsidRPr="008A3513">
        <w:t>is being sought</w:t>
      </w:r>
      <w:proofErr w:type="gramEnd"/>
      <w:r w:rsidRPr="008A3513">
        <w:t xml:space="preserve"> will be included in the scheme if the product is:</w:t>
      </w:r>
    </w:p>
    <w:p w:rsidR="008A3513" w:rsidRPr="008A3513" w:rsidRDefault="008A3513" w:rsidP="00D05A99">
      <w:pPr>
        <w:pStyle w:val="ListBullet"/>
      </w:pPr>
      <w:r w:rsidRPr="008A3513">
        <w:t xml:space="preserve">a </w:t>
      </w:r>
      <w:r w:rsidRPr="00D05A99">
        <w:t>new</w:t>
      </w:r>
      <w:r w:rsidRPr="008A3513">
        <w:t xml:space="preserve"> chemical or biological</w:t>
      </w:r>
      <w:r w:rsidRPr="008A3513">
        <w:rPr>
          <w:vertAlign w:val="superscript"/>
        </w:rPr>
        <w:footnoteReference w:id="2"/>
      </w:r>
      <w:r w:rsidR="00D05A99">
        <w:t xml:space="preserve"> entity</w:t>
      </w:r>
    </w:p>
    <w:p w:rsidR="008A3513" w:rsidRPr="008A3513" w:rsidRDefault="008A3513" w:rsidP="00D05A99">
      <w:pPr>
        <w:pStyle w:val="ListBullet"/>
      </w:pPr>
      <w:proofErr w:type="gramStart"/>
      <w:r w:rsidRPr="008A3513">
        <w:t>a</w:t>
      </w:r>
      <w:proofErr w:type="gramEnd"/>
      <w:r w:rsidRPr="008A3513">
        <w:t xml:space="preserve"> medicine with provisional registration, including where an extension of indication is </w:t>
      </w:r>
      <w:r w:rsidRPr="00D05A99">
        <w:t>provisionally</w:t>
      </w:r>
      <w:r w:rsidR="00D05A99">
        <w:t xml:space="preserve"> registered.</w:t>
      </w:r>
    </w:p>
    <w:p w:rsidR="008A3513" w:rsidRPr="008A3513" w:rsidRDefault="008A3513" w:rsidP="00D05A99">
      <w:r w:rsidRPr="008A3513">
        <w:t>Other types of registered medicines, aside from those listed above, may be included in the scheme if we assess that the following circumstances apply:</w:t>
      </w:r>
    </w:p>
    <w:p w:rsidR="008A3513" w:rsidRPr="008A3513" w:rsidRDefault="008A3513" w:rsidP="00D05A99">
      <w:pPr>
        <w:pStyle w:val="ListBullet"/>
      </w:pPr>
      <w:r w:rsidRPr="008A3513">
        <w:t xml:space="preserve">during </w:t>
      </w:r>
      <w:r w:rsidRPr="00D05A99">
        <w:t>the</w:t>
      </w:r>
      <w:r w:rsidRPr="008A3513">
        <w:t xml:space="preserve"> registration evaluation process, evaluation of the medicine indicates a suspected concern about the safety profile of the product which the TGA assesses as needing prioritised monitoring; OR</w:t>
      </w:r>
    </w:p>
    <w:p w:rsidR="008A3513" w:rsidRPr="008A3513" w:rsidRDefault="008A3513" w:rsidP="00D05A99">
      <w:pPr>
        <w:pStyle w:val="ListBullet"/>
      </w:pPr>
      <w:r w:rsidRPr="008A3513">
        <w:t>the new medicine is an extension of indication where there is limited international experience in the same indication or a similar indication such that the safety profile in the population for which it is indicated in Australia is not well established; OR</w:t>
      </w:r>
    </w:p>
    <w:p w:rsidR="008A3513" w:rsidRPr="008A3513" w:rsidRDefault="008A3513" w:rsidP="00D05A99">
      <w:pPr>
        <w:pStyle w:val="ListBullet"/>
      </w:pPr>
      <w:r w:rsidRPr="008A3513">
        <w:t xml:space="preserve">a new and significant safety concern arises with an established, registered medicine, which TGA assesses </w:t>
      </w:r>
      <w:r w:rsidRPr="00D05A99">
        <w:t>requires</w:t>
      </w:r>
      <w:r w:rsidRPr="008A3513">
        <w:t xml:space="preserve"> prioritised monitoring</w:t>
      </w:r>
    </w:p>
    <w:p w:rsidR="008A3513" w:rsidRPr="008A3513" w:rsidRDefault="008A3513" w:rsidP="00D05A99">
      <w:r w:rsidRPr="008A3513">
        <w:t>Where a component of a fixed dose combination product is subject to additional monitoring under the Scheme, the combination product will also be included in the Scheme</w:t>
      </w:r>
      <w:r w:rsidR="00D05A99">
        <w:t>.</w:t>
      </w:r>
    </w:p>
    <w:p w:rsidR="008A3513" w:rsidRPr="008A3513" w:rsidRDefault="002D63C4" w:rsidP="00D05A99">
      <w:r>
        <w:t>Consistent with the European approach w</w:t>
      </w:r>
      <w:r w:rsidR="008A3513" w:rsidRPr="008A3513">
        <w:t>e are proposing that the symbol will appear in:</w:t>
      </w:r>
    </w:p>
    <w:p w:rsidR="008A3513" w:rsidRPr="008A3513" w:rsidRDefault="008A3513" w:rsidP="00D05A99">
      <w:pPr>
        <w:pStyle w:val="ListBullet"/>
      </w:pPr>
      <w:r w:rsidRPr="00D05A99">
        <w:t>Approved</w:t>
      </w:r>
      <w:r w:rsidRPr="008A3513">
        <w:t xml:space="preserve"> Product Information (PI) and Consumer Medicine Information (CMI);</w:t>
      </w:r>
    </w:p>
    <w:p w:rsidR="008A3513" w:rsidRPr="008A3513" w:rsidRDefault="008A3513" w:rsidP="00D05A99">
      <w:pPr>
        <w:pStyle w:val="ListBullet"/>
      </w:pPr>
      <w:r w:rsidRPr="00D05A99">
        <w:t>Advertising</w:t>
      </w:r>
      <w:r w:rsidRPr="008A3513">
        <w:t>, promotional and educational materials produced by the sponsor for health care professionals;</w:t>
      </w:r>
    </w:p>
    <w:p w:rsidR="008A3513" w:rsidRPr="008A3513" w:rsidRDefault="008A3513" w:rsidP="00D05A99">
      <w:pPr>
        <w:pStyle w:val="ListBullet"/>
      </w:pPr>
      <w:r w:rsidRPr="008A3513">
        <w:t>Relevant texts such as Aust</w:t>
      </w:r>
      <w:r w:rsidR="002D63C4">
        <w:t>ralian Medicines Handbook (AMH) and</w:t>
      </w:r>
      <w:r w:rsidRPr="008A3513">
        <w:t xml:space="preserve"> MIMS; and</w:t>
      </w:r>
    </w:p>
    <w:p w:rsidR="008A3513" w:rsidRPr="008A3513" w:rsidRDefault="008A3513" w:rsidP="00D05A99">
      <w:pPr>
        <w:pStyle w:val="ListBullet"/>
      </w:pPr>
      <w:r w:rsidRPr="008A3513">
        <w:t xml:space="preserve">Prescribing and </w:t>
      </w:r>
      <w:r w:rsidRPr="00D05A99">
        <w:t>dispensing</w:t>
      </w:r>
      <w:r w:rsidRPr="008A3513">
        <w:t xml:space="preserve"> software.</w:t>
      </w:r>
    </w:p>
    <w:p w:rsidR="00C52144" w:rsidRDefault="00C52144" w:rsidP="00D05A99">
      <w:pPr>
        <w:pStyle w:val="Heading4"/>
      </w:pPr>
      <w:bookmarkStart w:id="8" w:name="_Toc476752722"/>
      <w:r>
        <w:t>Prod</w:t>
      </w:r>
      <w:r w:rsidR="00826833">
        <w:t xml:space="preserve">uct Information (PI) </w:t>
      </w:r>
      <w:r w:rsidR="00D05A99" w:rsidRPr="00D05A99">
        <w:t>r</w:t>
      </w:r>
      <w:r w:rsidR="00826833" w:rsidRPr="00D05A99">
        <w:t>eformat</w:t>
      </w:r>
      <w:bookmarkEnd w:id="8"/>
    </w:p>
    <w:p w:rsidR="008A3513" w:rsidRPr="008A3513" w:rsidRDefault="008A3513" w:rsidP="00D05A99">
      <w:r w:rsidRPr="008A3513">
        <w:t>In addition to the Black Triangle scheme, the TG</w:t>
      </w:r>
      <w:r w:rsidR="00DD4361">
        <w:t>A will work with sponsors to re</w:t>
      </w:r>
      <w:r w:rsidRPr="008A3513">
        <w:t>format the PI to ensure important prescribing inform</w:t>
      </w:r>
      <w:r w:rsidR="00DD4361">
        <w:t>ation (</w:t>
      </w:r>
      <w:r w:rsidRPr="008A3513">
        <w:t>such as indications, contra-indications, precautions and adverse event information</w:t>
      </w:r>
      <w:r w:rsidR="00DD4361">
        <w:t>)</w:t>
      </w:r>
      <w:r w:rsidRPr="008A3513">
        <w:t xml:space="preserve"> is easily accessible to the prescriber, thereby enhancing the ability of health professionals to minimise the occurrence of adverse events occurring in their patients.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8A3513" w:rsidRPr="008A3513" w:rsidTr="000D144A">
        <w:trPr>
          <w:trHeight w:val="406"/>
        </w:trPr>
        <w:tc>
          <w:tcPr>
            <w:tcW w:w="1276" w:type="dxa"/>
            <w:vAlign w:val="center"/>
          </w:tcPr>
          <w:p w:rsidR="008A3513" w:rsidRPr="008A3513" w:rsidRDefault="008A3513" w:rsidP="008A3513">
            <w:pPr>
              <w:spacing w:before="0"/>
              <w:rPr>
                <w:b/>
                <w:szCs w:val="22"/>
              </w:rPr>
            </w:pPr>
            <w:r w:rsidRPr="008A3513">
              <w:rPr>
                <w:noProof/>
                <w:sz w:val="20"/>
                <w:lang w:eastAsia="en-AU"/>
              </w:rPr>
              <w:lastRenderedPageBreak/>
              <w:drawing>
                <wp:inline distT="0" distB="0" distL="0" distR="0" wp14:anchorId="710E6F40" wp14:editId="51CEEAA4">
                  <wp:extent cx="489600" cy="489600"/>
                  <wp:effectExtent l="0" t="0" r="5715" b="5715"/>
                  <wp:docPr id="6" name="Picture 0" descr="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89600" cy="489600"/>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8A3513" w:rsidRPr="008A3513" w:rsidRDefault="008A3513" w:rsidP="008A3513">
            <w:pPr>
              <w:ind w:left="425" w:hanging="425"/>
              <w:rPr>
                <w:b/>
              </w:rPr>
            </w:pPr>
            <w:r w:rsidRPr="008A3513">
              <w:rPr>
                <w:b/>
              </w:rPr>
              <w:t>Questions</w:t>
            </w:r>
          </w:p>
          <w:p w:rsidR="008A3513" w:rsidRPr="008A3513" w:rsidRDefault="008A3513" w:rsidP="008A3513">
            <w:pPr>
              <w:pStyle w:val="ListBullet"/>
            </w:pPr>
            <w:r w:rsidRPr="008A3513">
              <w:t>Do the proposed criteria for inclusion in the Black Triangle Scheme appropriately target new medicines for which adverse event reports should be sought?</w:t>
            </w:r>
          </w:p>
          <w:p w:rsidR="008A3513" w:rsidRPr="008A3513" w:rsidRDefault="008A3513" w:rsidP="008A3513">
            <w:pPr>
              <w:pStyle w:val="ListBullet"/>
            </w:pPr>
            <w:r w:rsidRPr="008A3513">
              <w:t>What information, communication and education activities would assist health professionals and consumers to understand the Black Triangle Scheme and the importance of reporting adverse events for these medicines?</w:t>
            </w:r>
          </w:p>
          <w:p w:rsidR="008A3513" w:rsidRPr="008A3513" w:rsidRDefault="008A3513" w:rsidP="008A3513">
            <w:pPr>
              <w:pStyle w:val="ListBullet"/>
            </w:pPr>
            <w:r w:rsidRPr="008A3513">
              <w:t>Are the proposed changes to the Product Information (PI) leaflet useful for health professionals?</w:t>
            </w:r>
          </w:p>
          <w:p w:rsidR="008A3513" w:rsidRPr="008A3513" w:rsidRDefault="008A3513" w:rsidP="008A3513">
            <w:pPr>
              <w:pStyle w:val="ListBullet"/>
            </w:pPr>
            <w:r w:rsidRPr="008A3513">
              <w:t>What support will sponsors need to comply with the new format and what are achievable timelines for implementation of the new format?</w:t>
            </w:r>
          </w:p>
        </w:tc>
      </w:tr>
    </w:tbl>
    <w:p w:rsidR="00425DA1" w:rsidRPr="00425DA1" w:rsidRDefault="00F13E15" w:rsidP="00D05A99">
      <w:pPr>
        <w:pStyle w:val="Heading3"/>
      </w:pPr>
      <w:bookmarkStart w:id="9" w:name="_Toc476752723"/>
      <w:r w:rsidRPr="00D05A99">
        <w:t>Compliance</w:t>
      </w:r>
      <w:bookmarkEnd w:id="9"/>
    </w:p>
    <w:p w:rsidR="008A3513" w:rsidRDefault="008A3513" w:rsidP="00D05A99">
      <w:pPr>
        <w:pStyle w:val="Heading4"/>
      </w:pPr>
      <w:bookmarkStart w:id="10" w:name="_Toc476752724"/>
      <w:r>
        <w:t xml:space="preserve">Pharmacovigilance (PV) </w:t>
      </w:r>
      <w:r w:rsidR="00D05A99">
        <w:t>i</w:t>
      </w:r>
      <w:r>
        <w:t xml:space="preserve">nspection </w:t>
      </w:r>
      <w:r w:rsidR="00D05A99" w:rsidRPr="00D05A99">
        <w:t>p</w:t>
      </w:r>
      <w:r w:rsidRPr="00D05A99">
        <w:t>rogram</w:t>
      </w:r>
      <w:bookmarkEnd w:id="10"/>
    </w:p>
    <w:p w:rsidR="008A3513" w:rsidRDefault="008A3513" w:rsidP="00D05A99">
      <w:r>
        <w:t>As a requirement of registration, sponsors of medicines must collect and report on relevant adverse events; and provide TGA with information on significant safety issues or any other information that is relevant to the balance of benefits and risks associated with their product</w:t>
      </w:r>
      <w:r w:rsidR="00441B9F">
        <w:t xml:space="preserve">. </w:t>
      </w:r>
      <w:r>
        <w:t xml:space="preserve">Reporting of </w:t>
      </w:r>
      <w:hyperlink w:anchor="_Definitions" w:history="1">
        <w:r w:rsidRPr="000C5D6A">
          <w:rPr>
            <w:rStyle w:val="Hyperlink"/>
          </w:rPr>
          <w:t>serious adverse events</w:t>
        </w:r>
      </w:hyperlink>
      <w:r>
        <w:t xml:space="preserve"> is mandatory and it is incumbent upon the sponsor to have robust processes in place for collecting, analysing and reporting on issues related to their products. While this process currently results in data flowing from sponsors to the TGA, the TGA has no established pharmacovigilance inspection program and compliance with existing pharmacovigilance requirements by Australian sponsors </w:t>
      </w:r>
      <w:proofErr w:type="gramStart"/>
      <w:r>
        <w:t>is not formally assessed</w:t>
      </w:r>
      <w:proofErr w:type="gramEnd"/>
      <w:r w:rsidR="00441B9F">
        <w:t xml:space="preserve">. </w:t>
      </w:r>
      <w:r>
        <w:t>To verify Australian sponsors’ compliance with existing pharmacovigilance requirements we will implement</w:t>
      </w:r>
      <w:r w:rsidR="00D05A99">
        <w:t xml:space="preserve"> a system of inspection audits.</w:t>
      </w:r>
    </w:p>
    <w:p w:rsidR="008A3513" w:rsidRPr="0025338B" w:rsidRDefault="008A3513" w:rsidP="00D05A99">
      <w:r w:rsidRPr="0025338B">
        <w:t>Pharmacovigilance inspections are legislated in the European Union (EU) where risk base</w:t>
      </w:r>
      <w:r w:rsidR="002D63C4">
        <w:t>d inspections of sponsors occur.</w:t>
      </w:r>
      <w:r w:rsidRPr="0025338B">
        <w:t xml:space="preserve"> </w:t>
      </w:r>
      <w:r w:rsidR="002D63C4">
        <w:t>I</w:t>
      </w:r>
      <w:r w:rsidRPr="0025338B">
        <w:t>n the USA</w:t>
      </w:r>
      <w:r w:rsidR="002D63C4">
        <w:t xml:space="preserve"> </w:t>
      </w:r>
      <w:r w:rsidRPr="0025338B">
        <w:t>‘for cause’ and routine inspections occur.</w:t>
      </w:r>
    </w:p>
    <w:p w:rsidR="008A3513" w:rsidRPr="0025338B" w:rsidRDefault="008A3513" w:rsidP="00D05A99">
      <w:r w:rsidRPr="0025338B">
        <w:t xml:space="preserve">In </w:t>
      </w:r>
      <w:proofErr w:type="gramStart"/>
      <w:r>
        <w:t>2016</w:t>
      </w:r>
      <w:proofErr w:type="gramEnd"/>
      <w:r w:rsidRPr="0025338B">
        <w:t xml:space="preserve"> </w:t>
      </w:r>
      <w:r>
        <w:t>we</w:t>
      </w:r>
      <w:r w:rsidRPr="0025338B">
        <w:t xml:space="preserve"> completed a pilot PV Inspection Program with ten volunteer companies that ranged across large multinational companies, Australian owned and based companies, smaller biotechno</w:t>
      </w:r>
      <w:r>
        <w:t>logi</w:t>
      </w:r>
      <w:r w:rsidRPr="0025338B">
        <w:t>cal companies to complimentary/herbal medicine companies; and involving an array of product types, such as topical, oral and IV products</w:t>
      </w:r>
      <w:r w:rsidR="00441B9F">
        <w:t xml:space="preserve">. </w:t>
      </w:r>
      <w:r>
        <w:t xml:space="preserve">There were no critical deficiencies identified </w:t>
      </w:r>
      <w:proofErr w:type="gramStart"/>
      <w:r>
        <w:t>as a result</w:t>
      </w:r>
      <w:proofErr w:type="gramEnd"/>
      <w:r>
        <w:t xml:space="preserve"> of the pilot, but it did identify areas for improvement, such as the timeliness with which adver</w:t>
      </w:r>
      <w:r w:rsidR="002D63C4">
        <w:t>se event reports were submitted to TGA.</w:t>
      </w:r>
    </w:p>
    <w:p w:rsidR="008A3513" w:rsidRPr="008A3513" w:rsidRDefault="008A3513" w:rsidP="00D05A99">
      <w:r>
        <w:t xml:space="preserve">We will implement a PV Inspection Program to enable TGA </w:t>
      </w:r>
      <w:proofErr w:type="gramStart"/>
      <w:r>
        <w:t>to proactively ensure</w:t>
      </w:r>
      <w:proofErr w:type="gramEnd"/>
      <w:r>
        <w:t xml:space="preserve"> companies have appropriate pharmacovigilance systems in place and are compliant with </w:t>
      </w:r>
      <w:r w:rsidR="002D63C4">
        <w:t>legal responsibilities</w:t>
      </w:r>
      <w:r w:rsidR="00D05A99">
        <w:t>.</w:t>
      </w:r>
    </w:p>
    <w:p w:rsidR="008A3513" w:rsidRPr="008F2A6D" w:rsidRDefault="008A3513" w:rsidP="00D05A99">
      <w:r w:rsidRPr="008F2A6D">
        <w:t>All sponsors of listed and registered medicines will fall within scope of the PV Inspection Program</w:t>
      </w:r>
      <w:r w:rsidR="00441B9F">
        <w:t xml:space="preserve">. </w:t>
      </w:r>
      <w:r w:rsidRPr="008F2A6D">
        <w:t xml:space="preserve">It </w:t>
      </w:r>
      <w:proofErr w:type="gramStart"/>
      <w:r w:rsidRPr="008F2A6D">
        <w:t>is proposed</w:t>
      </w:r>
      <w:proofErr w:type="gramEnd"/>
      <w:r w:rsidRPr="008F2A6D">
        <w:t xml:space="preserve"> that the following factors will be considered when determining which sponsors to target and prioritise for inspection:</w:t>
      </w:r>
    </w:p>
    <w:p w:rsidR="008A3513" w:rsidRPr="008F2A6D" w:rsidRDefault="008A3513" w:rsidP="00D05A99">
      <w:pPr>
        <w:pStyle w:val="ListBullet"/>
      </w:pPr>
      <w:r w:rsidRPr="008F2A6D">
        <w:t>the types of medicines the sponsor is responsible for, specifically medicines with uncertainty about their risk profile (new medicines and provisionally registered medicines);</w:t>
      </w:r>
    </w:p>
    <w:p w:rsidR="008A3513" w:rsidRPr="008F2A6D" w:rsidRDefault="008A3513" w:rsidP="00D05A99">
      <w:pPr>
        <w:pStyle w:val="ListBullet"/>
      </w:pPr>
      <w:r w:rsidRPr="008F2A6D">
        <w:lastRenderedPageBreak/>
        <w:t>products with known safety concerns;</w:t>
      </w:r>
    </w:p>
    <w:p w:rsidR="008A3513" w:rsidRPr="008F2A6D" w:rsidRDefault="008A3513" w:rsidP="00D05A99">
      <w:pPr>
        <w:pStyle w:val="ListBullet"/>
      </w:pPr>
      <w:r w:rsidRPr="008F2A6D">
        <w:t>evidence that the sponsor is or has been non-compliant with other TGA regulatory requirem</w:t>
      </w:r>
      <w:r w:rsidR="002D63C4">
        <w:t xml:space="preserve">ents – such as, RMP </w:t>
      </w:r>
      <w:r w:rsidR="002D63C4" w:rsidRPr="00D05A99">
        <w:t>activities</w:t>
      </w:r>
      <w:r w:rsidRPr="008F2A6D">
        <w:t>;</w:t>
      </w:r>
    </w:p>
    <w:p w:rsidR="008A3513" w:rsidRPr="008F2A6D" w:rsidRDefault="008A3513" w:rsidP="00D05A99">
      <w:pPr>
        <w:pStyle w:val="ListBullet"/>
      </w:pPr>
      <w:r w:rsidRPr="008F2A6D">
        <w:t xml:space="preserve">data analysis which identifies potential non-compliance with </w:t>
      </w:r>
      <w:r w:rsidRPr="00D05A99">
        <w:t>pharmacovigilance</w:t>
      </w:r>
      <w:r w:rsidRPr="008F2A6D">
        <w:t xml:space="preserve"> requirements under the </w:t>
      </w:r>
      <w:r>
        <w:rPr>
          <w:i/>
        </w:rPr>
        <w:t xml:space="preserve">Therapeutic Goods </w:t>
      </w:r>
      <w:r w:rsidRPr="002C59B6">
        <w:rPr>
          <w:i/>
        </w:rPr>
        <w:t>Act</w:t>
      </w:r>
      <w:r w:rsidRPr="008F2A6D">
        <w:t xml:space="preserve"> </w:t>
      </w:r>
      <w:r>
        <w:rPr>
          <w:i/>
        </w:rPr>
        <w:t>1989</w:t>
      </w:r>
      <w:r w:rsidRPr="008F2A6D">
        <w:t>– for example evidence of failure to submit adverse event reports within required timeframes;</w:t>
      </w:r>
    </w:p>
    <w:p w:rsidR="008A3513" w:rsidRPr="008F2A6D" w:rsidRDefault="008A3513" w:rsidP="0090230D">
      <w:pPr>
        <w:pStyle w:val="ListBullet"/>
      </w:pPr>
      <w:proofErr w:type="gramStart"/>
      <w:r w:rsidRPr="008F2A6D">
        <w:t>information</w:t>
      </w:r>
      <w:proofErr w:type="gramEnd"/>
      <w:r w:rsidRPr="008F2A6D">
        <w:t xml:space="preserve"> from prior </w:t>
      </w:r>
      <w:r w:rsidRPr="0090230D">
        <w:t>inspections</w:t>
      </w:r>
      <w:r w:rsidRPr="008F2A6D">
        <w:t xml:space="preserve"> in Australia and overseas.</w:t>
      </w:r>
    </w:p>
    <w:p w:rsidR="008A3513" w:rsidRPr="008F2A6D" w:rsidRDefault="008A3513" w:rsidP="0090230D">
      <w:r w:rsidRPr="008F2A6D">
        <w:t xml:space="preserve">The PV Inspection Program will use a </w:t>
      </w:r>
      <w:proofErr w:type="gramStart"/>
      <w:r w:rsidRPr="008F2A6D">
        <w:t>risk based</w:t>
      </w:r>
      <w:proofErr w:type="gramEnd"/>
      <w:r w:rsidRPr="008F2A6D">
        <w:t xml:space="preserve"> approach that includes a component of random inspections as well as the targeted inspections initiated th</w:t>
      </w:r>
      <w:r w:rsidR="0090230D">
        <w:t>rough the established criteria.</w:t>
      </w:r>
    </w:p>
    <w:p w:rsidR="008A3513" w:rsidRDefault="008A3513" w:rsidP="0090230D">
      <w:r>
        <w:t>S</w:t>
      </w:r>
      <w:r w:rsidRPr="008F2A6D">
        <w:t xml:space="preserve">ponsors of provisionally registered medicines </w:t>
      </w:r>
      <w:proofErr w:type="gramStart"/>
      <w:r w:rsidRPr="008F2A6D">
        <w:t>will be prioritised</w:t>
      </w:r>
      <w:proofErr w:type="gramEnd"/>
      <w:r w:rsidRPr="008F2A6D">
        <w:t xml:space="preserve"> </w:t>
      </w:r>
      <w:r>
        <w:t xml:space="preserve">for </w:t>
      </w:r>
      <w:r w:rsidRPr="008F2A6D">
        <w:t xml:space="preserve">the PV Inspection Program. </w:t>
      </w:r>
      <w:r>
        <w:t>We</w:t>
      </w:r>
      <w:r w:rsidRPr="008F2A6D">
        <w:t xml:space="preserve"> will place a greater focus on these sponsors to ensure that robust pharmacovigilance systems are in place to support the necessary reporting required by the RMP.</w:t>
      </w:r>
    </w:p>
    <w:p w:rsidR="008A3513" w:rsidRPr="008F2A6D" w:rsidRDefault="008A3513" w:rsidP="0090230D">
      <w:r w:rsidRPr="008F2A6D">
        <w:t xml:space="preserve">Where an inspection results in critical or </w:t>
      </w:r>
      <w:r w:rsidR="00B6100D">
        <w:t xml:space="preserve">a significant number of </w:t>
      </w:r>
      <w:r w:rsidRPr="008F2A6D">
        <w:t xml:space="preserve">major findings, the sponsor </w:t>
      </w:r>
      <w:proofErr w:type="gramStart"/>
      <w:r w:rsidRPr="008F2A6D">
        <w:t>would be prioritised</w:t>
      </w:r>
      <w:proofErr w:type="gramEnd"/>
      <w:r w:rsidRPr="008F2A6D">
        <w:t xml:space="preserve"> for a follow up inspection to confirm that deficiencies have been rectified and adequate preventative measures are in place.</w:t>
      </w:r>
    </w:p>
    <w:p w:rsidR="008A3513" w:rsidRPr="008F2A6D" w:rsidRDefault="008A3513" w:rsidP="0090230D">
      <w:r w:rsidRPr="008F2A6D">
        <w:t xml:space="preserve">Where deficiencies are identified through the pharmacovigilance inspection process, </w:t>
      </w:r>
      <w:r>
        <w:t xml:space="preserve">we </w:t>
      </w:r>
      <w:r w:rsidRPr="008F2A6D">
        <w:t>will, in the first instance, work with the sponsor to address the deficiencies, such as providing the sponsor with education, guidance, tools that can be used and examples of best practice, where available.</w:t>
      </w:r>
    </w:p>
    <w:p w:rsidR="008A3513" w:rsidRPr="008F2A6D" w:rsidRDefault="008A3513" w:rsidP="0090230D">
      <w:r w:rsidRPr="008F2A6D">
        <w:t xml:space="preserve">A regulatory response </w:t>
      </w:r>
      <w:proofErr w:type="gramStart"/>
      <w:r w:rsidRPr="008F2A6D">
        <w:t>may be considered</w:t>
      </w:r>
      <w:proofErr w:type="gramEnd"/>
      <w:r w:rsidRPr="008F2A6D">
        <w:t xml:space="preserve"> in instances where:</w:t>
      </w:r>
    </w:p>
    <w:p w:rsidR="008A3513" w:rsidRPr="008F2A6D" w:rsidRDefault="008A3513" w:rsidP="008A3513">
      <w:pPr>
        <w:pStyle w:val="ListBullet"/>
      </w:pPr>
      <w:r w:rsidRPr="008F2A6D">
        <w:t xml:space="preserve">a sponsor has a continuous history of non-compliance despite efforts by the TGA in line with the </w:t>
      </w:r>
      <w:hyperlink r:id="rId23" w:history="1">
        <w:r w:rsidR="0090230D">
          <w:rPr>
            <w:rStyle w:val="Hyperlink"/>
          </w:rPr>
          <w:t>TGA Regulatory compliance framework</w:t>
        </w:r>
      </w:hyperlink>
      <w:r w:rsidRPr="008F2A6D">
        <w:t>;</w:t>
      </w:r>
    </w:p>
    <w:p w:rsidR="008A3513" w:rsidRPr="008F2A6D" w:rsidRDefault="008A3513" w:rsidP="0090230D">
      <w:pPr>
        <w:pStyle w:val="ListBullet"/>
      </w:pPr>
      <w:r w:rsidRPr="008F2A6D">
        <w:t>major deficiencies remain unaddressed by the sponsor;</w:t>
      </w:r>
      <w:r>
        <w:t xml:space="preserve"> or</w:t>
      </w:r>
    </w:p>
    <w:p w:rsidR="008A3513" w:rsidRDefault="008A3513" w:rsidP="0090230D">
      <w:pPr>
        <w:pStyle w:val="ListBullet"/>
      </w:pPr>
      <w:proofErr w:type="gramStart"/>
      <w:r w:rsidRPr="008F2A6D">
        <w:t>an</w:t>
      </w:r>
      <w:proofErr w:type="gramEnd"/>
      <w:r w:rsidRPr="008F2A6D">
        <w:t xml:space="preserve"> </w:t>
      </w:r>
      <w:r w:rsidRPr="0090230D">
        <w:t>inspection</w:t>
      </w:r>
      <w:r w:rsidRPr="008F2A6D">
        <w:t xml:space="preserve"> identifies critical findings posing high risk to public saf</w:t>
      </w:r>
      <w:r>
        <w:t>ety.</w:t>
      </w:r>
    </w:p>
    <w:p w:rsidR="008A3513" w:rsidRDefault="008A3513" w:rsidP="0090230D">
      <w:r>
        <w:t>If our attempts to work with the sponsor to achieve compliance are unsuccessful, we will consider taking regulatory action</w:t>
      </w:r>
      <w:r w:rsidR="0090230D">
        <w:t>.</w:t>
      </w:r>
    </w:p>
    <w:p w:rsidR="008A3513" w:rsidRDefault="008A3513" w:rsidP="0090230D">
      <w:r w:rsidRPr="008F2A6D">
        <w:t>We will publish statistics on our PV Inspection Program act</w:t>
      </w:r>
      <w:r w:rsidR="0090230D">
        <w:t>ivities on a six monthly basis.</w:t>
      </w:r>
    </w:p>
    <w:p w:rsidR="008A3513" w:rsidRDefault="008A3513" w:rsidP="008A3513"/>
    <w:tbl>
      <w:tblPr>
        <w:tblW w:w="9038" w:type="dxa"/>
        <w:tblLayout w:type="fixed"/>
        <w:tblCellMar>
          <w:left w:w="0" w:type="dxa"/>
          <w:right w:w="0" w:type="dxa"/>
        </w:tblCellMar>
        <w:tblLook w:val="04A0" w:firstRow="1" w:lastRow="0" w:firstColumn="1" w:lastColumn="0" w:noHBand="0" w:noVBand="1"/>
      </w:tblPr>
      <w:tblGrid>
        <w:gridCol w:w="1276"/>
        <w:gridCol w:w="7762"/>
      </w:tblGrid>
      <w:tr w:rsidR="008A3513" w:rsidRPr="009401F6" w:rsidTr="000D144A">
        <w:trPr>
          <w:trHeight w:val="406"/>
        </w:trPr>
        <w:tc>
          <w:tcPr>
            <w:tcW w:w="1276" w:type="dxa"/>
            <w:vAlign w:val="center"/>
          </w:tcPr>
          <w:p w:rsidR="008A3513" w:rsidRPr="00AE159B" w:rsidRDefault="008A3513" w:rsidP="000D144A">
            <w:pPr>
              <w:spacing w:before="0"/>
              <w:rPr>
                <w:b/>
                <w:szCs w:val="22"/>
              </w:rPr>
            </w:pPr>
            <w:r w:rsidRPr="0027181F">
              <w:rPr>
                <w:noProof/>
                <w:sz w:val="20"/>
                <w:lang w:eastAsia="en-AU"/>
              </w:rPr>
              <w:drawing>
                <wp:inline distT="0" distB="0" distL="0" distR="0" wp14:anchorId="0063FCF6" wp14:editId="16EC2550">
                  <wp:extent cx="489600" cy="489600"/>
                  <wp:effectExtent l="0" t="0" r="5715" b="5715"/>
                  <wp:docPr id="9" name="Picture 0" descr="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89600" cy="489600"/>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8A3513" w:rsidRPr="00086458" w:rsidRDefault="008A3513" w:rsidP="000D144A">
            <w:pPr>
              <w:pStyle w:val="ListBullet"/>
              <w:numPr>
                <w:ilvl w:val="0"/>
                <w:numId w:val="0"/>
              </w:numPr>
              <w:ind w:left="425" w:hanging="425"/>
              <w:rPr>
                <w:b/>
              </w:rPr>
            </w:pPr>
            <w:r>
              <w:rPr>
                <w:b/>
              </w:rPr>
              <w:t>Question</w:t>
            </w:r>
          </w:p>
          <w:p w:rsidR="008A3513" w:rsidRPr="00F94A69" w:rsidRDefault="008A3513" w:rsidP="000D144A">
            <w:pPr>
              <w:pStyle w:val="ListBullet"/>
            </w:pPr>
            <w:r>
              <w:t xml:space="preserve">What activities could TGA undertake to assist sponsors in complying with their </w:t>
            </w:r>
            <w:r w:rsidR="0090230D">
              <w:t>pharmacovigilance requirements?</w:t>
            </w:r>
          </w:p>
        </w:tc>
      </w:tr>
    </w:tbl>
    <w:p w:rsidR="00A610CE" w:rsidRDefault="00A610CE" w:rsidP="0090230D">
      <w:pPr>
        <w:pStyle w:val="Heading4"/>
      </w:pPr>
      <w:bookmarkStart w:id="11" w:name="_Toc476752725"/>
      <w:r>
        <w:t>R</w:t>
      </w:r>
      <w:r w:rsidR="00442E4E">
        <w:t xml:space="preserve">isk </w:t>
      </w:r>
      <w:r>
        <w:t>M</w:t>
      </w:r>
      <w:r w:rsidR="00442E4E">
        <w:t xml:space="preserve">anagement </w:t>
      </w:r>
      <w:r>
        <w:t>P</w:t>
      </w:r>
      <w:r w:rsidR="00442E4E">
        <w:t>lan (RMP)</w:t>
      </w:r>
      <w:r>
        <w:t xml:space="preserve"> </w:t>
      </w:r>
      <w:r w:rsidR="0090230D">
        <w:t>c</w:t>
      </w:r>
      <w:r>
        <w:t xml:space="preserve">ompliance </w:t>
      </w:r>
      <w:r w:rsidR="0090230D" w:rsidRPr="0090230D">
        <w:t>m</w:t>
      </w:r>
      <w:r w:rsidRPr="0090230D">
        <w:t>onitoring</w:t>
      </w:r>
      <w:bookmarkEnd w:id="11"/>
    </w:p>
    <w:p w:rsidR="00117965" w:rsidRDefault="00FF0DB0" w:rsidP="0090230D">
      <w:r>
        <w:t xml:space="preserve">We currently require </w:t>
      </w:r>
      <w:r w:rsidR="00117965">
        <w:t>Risk Management Plan</w:t>
      </w:r>
      <w:r w:rsidR="003418BF">
        <w:t>s</w:t>
      </w:r>
      <w:r w:rsidR="00117965">
        <w:t xml:space="preserve"> (RMP)</w:t>
      </w:r>
      <w:r w:rsidR="003418BF">
        <w:t xml:space="preserve"> to </w:t>
      </w:r>
      <w:proofErr w:type="gramStart"/>
      <w:r w:rsidR="003418BF">
        <w:t>be provided</w:t>
      </w:r>
      <w:proofErr w:type="gramEnd"/>
      <w:r w:rsidR="003418BF">
        <w:t xml:space="preserve"> with applications for new chemical entities, new biological entities and applications to change the registration of existing medicines where the change might introduce a new safety concern</w:t>
      </w:r>
      <w:r w:rsidR="00DB5916">
        <w:t xml:space="preserve"> due to the addition of a new population group such as children or the elderly.</w:t>
      </w:r>
      <w:r w:rsidR="00117965">
        <w:t xml:space="preserve"> The RMP sets out the require</w:t>
      </w:r>
      <w:r w:rsidR="003418BF">
        <w:t>d actions a sponsor must undertake to characterise and reduce the risk posed by the medicine. The RMP</w:t>
      </w:r>
      <w:r w:rsidR="00117965">
        <w:t xml:space="preserve"> forms an agreed plan of action between the TGA </w:t>
      </w:r>
      <w:r w:rsidR="003418BF">
        <w:t>and the sponsor. A</w:t>
      </w:r>
      <w:r w:rsidR="00117965">
        <w:t>ctivities</w:t>
      </w:r>
      <w:r w:rsidR="003418BF">
        <w:t xml:space="preserve"> required as part of </w:t>
      </w:r>
      <w:r w:rsidR="003418BF">
        <w:lastRenderedPageBreak/>
        <w:t>the RMP</w:t>
      </w:r>
      <w:r w:rsidR="00117965">
        <w:t xml:space="preserve"> might include conducting additional studies, undertaking education activities with health care practitioners or other activities deemed necessary to collect additional safety data regarding the medicine</w:t>
      </w:r>
      <w:r w:rsidR="00F50656">
        <w:t xml:space="preserve"> or reduce risks associated with the use of the medicine</w:t>
      </w:r>
      <w:r w:rsidR="00117965">
        <w:t>.</w:t>
      </w:r>
    </w:p>
    <w:p w:rsidR="006E57B6" w:rsidRPr="008F2A6D" w:rsidRDefault="006E57B6" w:rsidP="0090230D">
      <w:r w:rsidRPr="008F2A6D">
        <w:t xml:space="preserve">Relevant details from RMPs are included in the Australian Public Assessment Reports for prescription medicines (AusPARs). AusPARs are intended to provide transparency regarding the registration process and scientific rationale for the registration of a specific medicine. </w:t>
      </w:r>
      <w:r w:rsidR="001A070D" w:rsidRPr="001A070D">
        <w:t xml:space="preserve">An AusPAR is generally prepared for submissions for products containing new chemical and biological entities, biosimilar medicines, major variations and extensions of indications. In addition, an AusPAR will be published if the information is considered to be in the interest of the Australian public. See: Table 1. </w:t>
      </w:r>
      <w:proofErr w:type="gramStart"/>
      <w:r w:rsidR="001A070D" w:rsidRPr="001A070D">
        <w:t xml:space="preserve">Summary of AusPAR required by application category and types in the </w:t>
      </w:r>
      <w:hyperlink r:id="rId24" w:history="1">
        <w:r w:rsidR="001A070D" w:rsidRPr="003E78ED">
          <w:rPr>
            <w:rStyle w:val="Hyperlink"/>
          </w:rPr>
          <w:t>Australian Public Assessment Report (</w:t>
        </w:r>
        <w:proofErr w:type="spellStart"/>
        <w:r w:rsidR="001A070D" w:rsidRPr="003E78ED">
          <w:rPr>
            <w:rStyle w:val="Hyperlink"/>
          </w:rPr>
          <w:t>AusPAR</w:t>
        </w:r>
        <w:proofErr w:type="spellEnd"/>
        <w:r w:rsidR="001A070D" w:rsidRPr="003E78ED">
          <w:rPr>
            <w:rStyle w:val="Hyperlink"/>
          </w:rPr>
          <w:t>) guidance document</w:t>
        </w:r>
      </w:hyperlink>
      <w:r w:rsidR="0090230D" w:rsidRPr="0090230D">
        <w:t>.</w:t>
      </w:r>
      <w:proofErr w:type="gramEnd"/>
    </w:p>
    <w:p w:rsidR="00DE4F2D" w:rsidRDefault="00DE4F2D" w:rsidP="00DE4F2D">
      <w:r w:rsidRPr="008F2A6D">
        <w:t xml:space="preserve">Further details regarding AusPARs </w:t>
      </w:r>
      <w:proofErr w:type="gramStart"/>
      <w:r w:rsidRPr="008F2A6D">
        <w:t>can be found</w:t>
      </w:r>
      <w:proofErr w:type="gramEnd"/>
      <w:r w:rsidRPr="008F2A6D">
        <w:t xml:space="preserve"> on the TGA website at </w:t>
      </w:r>
      <w:r w:rsidR="0090230D">
        <w:t>&lt;</w:t>
      </w:r>
      <w:hyperlink r:id="rId25" w:history="1">
        <w:r w:rsidRPr="008F2A6D">
          <w:rPr>
            <w:rStyle w:val="Hyperlink"/>
          </w:rPr>
          <w:t>https://www.tga.gov.au/auspars-questions-answers</w:t>
        </w:r>
      </w:hyperlink>
      <w:r w:rsidR="0090230D" w:rsidRPr="0090230D">
        <w:t>&gt;</w:t>
      </w:r>
      <w:r w:rsidRPr="008F2A6D">
        <w:t>.</w:t>
      </w:r>
    </w:p>
    <w:p w:rsidR="00D05C0D" w:rsidRDefault="00757B03" w:rsidP="0090230D">
      <w:r>
        <w:t xml:space="preserve">The TGA </w:t>
      </w:r>
      <w:r w:rsidR="00EF6C2A">
        <w:t>may</w:t>
      </w:r>
      <w:r>
        <w:t xml:space="preserve"> </w:t>
      </w:r>
      <w:r w:rsidR="00EF6C2A">
        <w:t>review</w:t>
      </w:r>
      <w:r>
        <w:t xml:space="preserve"> </w:t>
      </w:r>
      <w:r w:rsidR="00EF6C2A">
        <w:t xml:space="preserve">past </w:t>
      </w:r>
      <w:r>
        <w:t>RMP requirements as sponsors submit revisions to their agreed RMP</w:t>
      </w:r>
      <w:r w:rsidR="00EF6C2A">
        <w:t xml:space="preserve"> or seek to vary the approved registration of a medicinal product</w:t>
      </w:r>
      <w:r>
        <w:t xml:space="preserve">, providing an opportunity for the TGA to evaluate </w:t>
      </w:r>
      <w:r w:rsidR="00EF6C2A">
        <w:t>past compliance</w:t>
      </w:r>
      <w:r w:rsidR="00441B9F">
        <w:t xml:space="preserve">. </w:t>
      </w:r>
      <w:r w:rsidR="00EF6C2A">
        <w:t>However, t</w:t>
      </w:r>
      <w:r w:rsidR="005B5D73">
        <w:t xml:space="preserve">o enhance the RMP process we </w:t>
      </w:r>
      <w:r w:rsidR="00117965">
        <w:t xml:space="preserve">will now </w:t>
      </w:r>
      <w:r w:rsidR="005B5D73">
        <w:t xml:space="preserve">focus on </w:t>
      </w:r>
      <w:r w:rsidR="00117965">
        <w:t xml:space="preserve">a </w:t>
      </w:r>
      <w:r w:rsidR="005B5D73">
        <w:t>proactive approach of</w:t>
      </w:r>
      <w:r w:rsidR="00117965">
        <w:t xml:space="preserve"> monitoring </w:t>
      </w:r>
      <w:r w:rsidR="005B5D73">
        <w:t>to ensure that activities are complete</w:t>
      </w:r>
      <w:r w:rsidR="001B11AC">
        <w:t xml:space="preserve">d within the agreed time frames, </w:t>
      </w:r>
      <w:r w:rsidR="005B5D73">
        <w:t>that</w:t>
      </w:r>
      <w:r w:rsidR="00117965">
        <w:t xml:space="preserve"> sponsors </w:t>
      </w:r>
      <w:r w:rsidR="005B5D73">
        <w:t>have</w:t>
      </w:r>
      <w:r w:rsidR="00117965">
        <w:t xml:space="preserve"> </w:t>
      </w:r>
      <w:r w:rsidR="001B11AC">
        <w:t xml:space="preserve">reported when necessary and that they seek agreement with the TGA to make any changes to the RMP. </w:t>
      </w:r>
      <w:r w:rsidR="00117965">
        <w:t xml:space="preserve">To achieve this </w:t>
      </w:r>
      <w:r w:rsidR="00FF0DB0">
        <w:t>we</w:t>
      </w:r>
      <w:r w:rsidR="00442E4E">
        <w:t xml:space="preserve"> will implement</w:t>
      </w:r>
      <w:r w:rsidR="00117965">
        <w:t xml:space="preserve"> </w:t>
      </w:r>
      <w:r w:rsidR="00442E4E">
        <w:t>RMP Compliance Monitoring to verify compliance with</w:t>
      </w:r>
      <w:r w:rsidR="00D05C0D">
        <w:t xml:space="preserve"> these additional activities</w:t>
      </w:r>
      <w:r w:rsidR="0090230D">
        <w:t>.</w:t>
      </w:r>
    </w:p>
    <w:p w:rsidR="00F13E15" w:rsidRDefault="00F13E15" w:rsidP="0090230D">
      <w:r>
        <w:t xml:space="preserve">In the first instance, </w:t>
      </w:r>
      <w:r w:rsidR="005B5D73">
        <w:t xml:space="preserve">we will work with </w:t>
      </w:r>
      <w:r>
        <w:t>sponsor</w:t>
      </w:r>
      <w:r w:rsidR="005B5D73">
        <w:t>s</w:t>
      </w:r>
      <w:r>
        <w:t xml:space="preserve"> to </w:t>
      </w:r>
      <w:r w:rsidR="005B5D73">
        <w:t xml:space="preserve">ensure that agreed requirements </w:t>
      </w:r>
      <w:proofErr w:type="gramStart"/>
      <w:r w:rsidR="005B5D73">
        <w:t>have been met</w:t>
      </w:r>
      <w:proofErr w:type="gramEnd"/>
      <w:r w:rsidR="005B5D73">
        <w:t xml:space="preserve">. Where a sponsor fails to meet their obligations as outlined in the RMP </w:t>
      </w:r>
      <w:r w:rsidR="00F50656">
        <w:t xml:space="preserve">we </w:t>
      </w:r>
      <w:r w:rsidR="005B5D73">
        <w:t xml:space="preserve">will follow up with the sponsor to ensure their action. If our attempts </w:t>
      </w:r>
      <w:r>
        <w:t>to work with the sponsor to achieve compliance</w:t>
      </w:r>
      <w:r w:rsidR="00103581">
        <w:t xml:space="preserve"> </w:t>
      </w:r>
      <w:r>
        <w:t>are unsuc</w:t>
      </w:r>
      <w:bookmarkStart w:id="12" w:name="SeriousAdverseEvent_Definition"/>
      <w:bookmarkEnd w:id="12"/>
      <w:r>
        <w:t>cessful</w:t>
      </w:r>
      <w:r w:rsidR="00FF0DB0">
        <w:t>, we</w:t>
      </w:r>
      <w:r>
        <w:t xml:space="preserve"> will consider taking regulatory action</w:t>
      </w:r>
      <w:r w:rsidR="0090230D">
        <w:t>.</w:t>
      </w:r>
    </w:p>
    <w:p w:rsidR="003E78ED" w:rsidRPr="00B12F9E" w:rsidRDefault="003E78ED" w:rsidP="0090230D">
      <w:r w:rsidRPr="00B12F9E">
        <w:t xml:space="preserve">We will publish updates on the progress of confirmatory efficacy studies for provisionally registered medicines as they </w:t>
      </w:r>
      <w:proofErr w:type="gramStart"/>
      <w:r w:rsidRPr="00B12F9E">
        <w:t>are monitored</w:t>
      </w:r>
      <w:proofErr w:type="gramEnd"/>
      <w:r w:rsidRPr="00B12F9E">
        <w:t xml:space="preserve"> through the RMP</w:t>
      </w:r>
      <w:r w:rsidR="0090230D">
        <w:t xml:space="preserve"> Compliance Monitoring process.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F13E15" w:rsidRPr="009401F6" w:rsidTr="00564309">
        <w:trPr>
          <w:trHeight w:val="406"/>
        </w:trPr>
        <w:tc>
          <w:tcPr>
            <w:tcW w:w="1276" w:type="dxa"/>
            <w:vAlign w:val="center"/>
          </w:tcPr>
          <w:p w:rsidR="00F13E15" w:rsidRPr="00B12F9E" w:rsidRDefault="00F13E15" w:rsidP="00564309">
            <w:pPr>
              <w:spacing w:before="0"/>
              <w:rPr>
                <w:b/>
                <w:szCs w:val="22"/>
              </w:rPr>
            </w:pPr>
            <w:r w:rsidRPr="00B12F9E">
              <w:rPr>
                <w:noProof/>
                <w:sz w:val="20"/>
                <w:lang w:eastAsia="en-AU"/>
              </w:rPr>
              <w:drawing>
                <wp:inline distT="0" distB="0" distL="0" distR="0" wp14:anchorId="3F7DBB6B" wp14:editId="558BC50C">
                  <wp:extent cx="489600" cy="489600"/>
                  <wp:effectExtent l="0" t="0" r="5715" b="5715"/>
                  <wp:docPr id="13" name="Picture 0" descr="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89600" cy="489600"/>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F13E15" w:rsidRPr="0090230D" w:rsidRDefault="00F13E15" w:rsidP="0090230D">
            <w:pPr>
              <w:rPr>
                <w:b/>
              </w:rPr>
            </w:pPr>
            <w:r w:rsidRPr="0090230D">
              <w:rPr>
                <w:b/>
              </w:rPr>
              <w:t>Questions</w:t>
            </w:r>
          </w:p>
          <w:p w:rsidR="006E57B6" w:rsidRPr="00B12F9E" w:rsidRDefault="003E78ED" w:rsidP="00564309">
            <w:pPr>
              <w:pStyle w:val="ListBullet"/>
            </w:pPr>
            <w:r w:rsidRPr="00B12F9E">
              <w:t>Is the information regarding RMP requirements</w:t>
            </w:r>
            <w:r w:rsidR="006E57B6" w:rsidRPr="00B12F9E">
              <w:t xml:space="preserve"> included in the AusPARs suffi</w:t>
            </w:r>
            <w:r w:rsidR="005B5D73" w:rsidRPr="00B12F9E">
              <w:t xml:space="preserve">cient to </w:t>
            </w:r>
            <w:r w:rsidRPr="00B12F9E">
              <w:t xml:space="preserve">inform you of the </w:t>
            </w:r>
            <w:r w:rsidR="005B5D73" w:rsidRPr="00B12F9E">
              <w:t xml:space="preserve">risk minimisation </w:t>
            </w:r>
            <w:r w:rsidRPr="00B12F9E">
              <w:t xml:space="preserve">and pharmacovigilance commitments that </w:t>
            </w:r>
            <w:proofErr w:type="gramStart"/>
            <w:r w:rsidRPr="00B12F9E">
              <w:t>have been made</w:t>
            </w:r>
            <w:proofErr w:type="gramEnd"/>
            <w:r w:rsidRPr="00B12F9E">
              <w:t xml:space="preserve"> by the sponsor</w:t>
            </w:r>
            <w:r w:rsidR="006E57B6" w:rsidRPr="00B12F9E">
              <w:t>?</w:t>
            </w:r>
          </w:p>
          <w:p w:rsidR="00F13E15" w:rsidRPr="00B12F9E" w:rsidRDefault="00F13E15" w:rsidP="00FF0DB0">
            <w:pPr>
              <w:pStyle w:val="ListBullet"/>
            </w:pPr>
            <w:r w:rsidRPr="00B12F9E">
              <w:t xml:space="preserve">What activities could </w:t>
            </w:r>
            <w:r w:rsidR="00FF0DB0" w:rsidRPr="00B12F9E">
              <w:t>we</w:t>
            </w:r>
            <w:r w:rsidRPr="00B12F9E">
              <w:t xml:space="preserve"> undertake to assist sponsors in complying with their RMP requirements?</w:t>
            </w:r>
          </w:p>
        </w:tc>
      </w:tr>
    </w:tbl>
    <w:p w:rsidR="001A4682" w:rsidRDefault="00062D7D" w:rsidP="0090230D">
      <w:pPr>
        <w:pStyle w:val="Heading3"/>
      </w:pPr>
      <w:bookmarkStart w:id="13" w:name="_Toc476752726"/>
      <w:r w:rsidRPr="0090230D">
        <w:t>Improved</w:t>
      </w:r>
      <w:r>
        <w:t xml:space="preserve"> </w:t>
      </w:r>
      <w:r w:rsidR="00B75D5B">
        <w:t>collection and use of d</w:t>
      </w:r>
      <w:r>
        <w:t>ata</w:t>
      </w:r>
      <w:bookmarkEnd w:id="13"/>
    </w:p>
    <w:p w:rsidR="00B75D5B" w:rsidRDefault="00B75D5B" w:rsidP="0090230D">
      <w:r w:rsidRPr="00B75D5B">
        <w:t xml:space="preserve">As part of the revised Medicines Vigilance Framework, we will be enhancing our data analytics capabilities to better support pharmacovigilance monitoring and compliance activities. This </w:t>
      </w:r>
      <w:proofErr w:type="gramStart"/>
      <w:r w:rsidRPr="00B75D5B">
        <w:t>will be achieved</w:t>
      </w:r>
      <w:proofErr w:type="gramEnd"/>
      <w:r w:rsidRPr="00B75D5B">
        <w:t xml:space="preserve"> through better data collection, linking of health datasets and implementation of analytic IT software</w:t>
      </w:r>
      <w:r w:rsidR="0090230D">
        <w:t>.</w:t>
      </w:r>
    </w:p>
    <w:p w:rsidR="00FE5394" w:rsidRDefault="00B75D5B" w:rsidP="0090230D">
      <w:r>
        <w:t>As one example of improved data linkages, the e</w:t>
      </w:r>
      <w:r w:rsidR="001A4682">
        <w:t>xisting datasets held by the Australian Government Department of Health have the potential to contribute to the evidence base TGA uses to investigate whether a medicine causes an adverse event</w:t>
      </w:r>
      <w:r w:rsidR="00441B9F">
        <w:t xml:space="preserve">. </w:t>
      </w:r>
      <w:r w:rsidR="001A4682">
        <w:t xml:space="preserve">This </w:t>
      </w:r>
      <w:proofErr w:type="gramStart"/>
      <w:r w:rsidR="001A4682">
        <w:t>could be achieved</w:t>
      </w:r>
      <w:proofErr w:type="gramEnd"/>
      <w:r w:rsidR="001A4682">
        <w:t xml:space="preserve"> by linking the following datasets: Pharmaceutical Benefits Scheme (what medicine the patient was </w:t>
      </w:r>
      <w:r w:rsidR="001A4682">
        <w:lastRenderedPageBreak/>
        <w:t>taking), Medicare Benefits Schedule (MBS) (what procedure the patient had) and hospital (why the patient had the procedure or why they were admitted)</w:t>
      </w:r>
      <w:r w:rsidR="0090230D">
        <w:t>.</w:t>
      </w:r>
    </w:p>
    <w:p w:rsidR="001A4682" w:rsidRDefault="00FE5394" w:rsidP="0090230D">
      <w:r>
        <w:t xml:space="preserve">The TGA has a number of projects currently underway that will establish the feasibility of advanced data linkage. These projects will support the TGA </w:t>
      </w:r>
      <w:proofErr w:type="gramStart"/>
      <w:r>
        <w:t>to fully employ</w:t>
      </w:r>
      <w:proofErr w:type="gramEnd"/>
      <w:r>
        <w:t xml:space="preserve"> </w:t>
      </w:r>
      <w:r w:rsidR="001A4682">
        <w:t>linked</w:t>
      </w:r>
      <w:r>
        <w:t>,</w:t>
      </w:r>
      <w:r w:rsidR="001A4682">
        <w:t xml:space="preserve"> </w:t>
      </w:r>
      <w:r w:rsidR="009A7B43">
        <w:t xml:space="preserve">de-identified </w:t>
      </w:r>
      <w:r w:rsidR="001A4682">
        <w:t xml:space="preserve">data sets to </w:t>
      </w:r>
      <w:r w:rsidR="00D5557C">
        <w:t>support</w:t>
      </w:r>
      <w:r w:rsidR="00984691">
        <w:t xml:space="preserve"> </w:t>
      </w:r>
      <w:r w:rsidR="001A4682">
        <w:t>medicines safety</w:t>
      </w:r>
      <w:r>
        <w:t xml:space="preserve"> investigations in the future</w:t>
      </w:r>
      <w:r w:rsidR="0090230D">
        <w:t>.</w:t>
      </w:r>
    </w:p>
    <w:p w:rsidR="001A4682" w:rsidRDefault="001A4682" w:rsidP="001A4682">
      <w:pPr>
        <w:pStyle w:val="Heading4"/>
      </w:pPr>
      <w:bookmarkStart w:id="14" w:name="_Toc476752727"/>
      <w:r>
        <w:t>Adverse Events Management System</w:t>
      </w:r>
      <w:r w:rsidR="0090230D">
        <w:t xml:space="preserve"> (ADRS)</w:t>
      </w:r>
      <w:bookmarkEnd w:id="14"/>
    </w:p>
    <w:p w:rsidR="001A4682" w:rsidRDefault="001A4682" w:rsidP="0090230D">
      <w:r>
        <w:t xml:space="preserve">We </w:t>
      </w:r>
      <w:r w:rsidR="007F7BE4">
        <w:t xml:space="preserve">are </w:t>
      </w:r>
      <w:r>
        <w:t>implement</w:t>
      </w:r>
      <w:r w:rsidR="007F7BE4">
        <w:t>ing</w:t>
      </w:r>
      <w:r>
        <w:t xml:space="preserve"> a new IT system – the Adverse Events Management System – </w:t>
      </w:r>
      <w:r w:rsidR="00B75D5B">
        <w:t xml:space="preserve">that will replace the existing Adverse Drugs Reporting System (ADRS). The new system will improve and streamline the way </w:t>
      </w:r>
      <w:r>
        <w:t>sponsors, health professionals, state and territory health departments and consumers submit adverse event reports electronically to TGA</w:t>
      </w:r>
      <w:r w:rsidR="00441B9F">
        <w:t xml:space="preserve">. </w:t>
      </w:r>
      <w:r>
        <w:t xml:space="preserve">In particular, the new system will make it easier for sponsors to meet their mandatory reporting </w:t>
      </w:r>
      <w:proofErr w:type="gramStart"/>
      <w:r>
        <w:t>requirements</w:t>
      </w:r>
      <w:proofErr w:type="gramEnd"/>
      <w:r>
        <w:t xml:space="preserve"> as the new IT system will use the same electronic reporting standards sponsors use for reporting adverse events to overseas regulators</w:t>
      </w:r>
      <w:r w:rsidR="0090230D">
        <w:t>.</w:t>
      </w:r>
    </w:p>
    <w:p w:rsidR="001A4682" w:rsidRDefault="001A4682" w:rsidP="0090230D">
      <w:pPr>
        <w:pStyle w:val="Heading3"/>
      </w:pPr>
      <w:bookmarkStart w:id="15" w:name="_Toc476752728"/>
      <w:r>
        <w:t xml:space="preserve">International </w:t>
      </w:r>
      <w:r w:rsidR="0090230D">
        <w:t>i</w:t>
      </w:r>
      <w:r>
        <w:t xml:space="preserve">nformation </w:t>
      </w:r>
      <w:r w:rsidR="0090230D" w:rsidRPr="0090230D">
        <w:t>s</w:t>
      </w:r>
      <w:r w:rsidRPr="0090230D">
        <w:t>haring</w:t>
      </w:r>
      <w:bookmarkEnd w:id="15"/>
    </w:p>
    <w:p w:rsidR="001A4682" w:rsidRDefault="001A4682" w:rsidP="0090230D">
      <w:r>
        <w:t>We continuously look for opportunities to improve how we collaborate with our international counterparts</w:t>
      </w:r>
      <w:r w:rsidRPr="005A783B">
        <w:t xml:space="preserve"> </w:t>
      </w:r>
      <w:r>
        <w:t>to proactively minimise, detect and address medicine safety-related issues</w:t>
      </w:r>
      <w:r w:rsidR="0090230D">
        <w:t>.</w:t>
      </w:r>
    </w:p>
    <w:p w:rsidR="00DF6C79" w:rsidRDefault="00DF6C79" w:rsidP="001A4682">
      <w:r>
        <w:t>Consistent with the approach taken in MMDR we will</w:t>
      </w:r>
      <w:r w:rsidR="003F4EA2">
        <w:t xml:space="preserve"> identify opportunities to strengthen our use of overseas reports.</w:t>
      </w:r>
    </w:p>
    <w:p w:rsidR="001A4682" w:rsidRDefault="001A4682" w:rsidP="0090230D">
      <w:r>
        <w:t xml:space="preserve">The new AEMS will </w:t>
      </w:r>
      <w:r w:rsidRPr="00377CE4">
        <w:t xml:space="preserve">enhance </w:t>
      </w:r>
      <w:r>
        <w:t xml:space="preserve">our </w:t>
      </w:r>
      <w:r w:rsidRPr="00377CE4">
        <w:t xml:space="preserve">capacity to share more complete </w:t>
      </w:r>
      <w:r>
        <w:t>adverse event</w:t>
      </w:r>
      <w:r w:rsidRPr="00377CE4">
        <w:t xml:space="preserve"> data with </w:t>
      </w:r>
      <w:r>
        <w:t xml:space="preserve">the </w:t>
      </w:r>
      <w:r w:rsidRPr="00377CE4">
        <w:t>W</w:t>
      </w:r>
      <w:r>
        <w:t xml:space="preserve">orld </w:t>
      </w:r>
      <w:r w:rsidRPr="00377CE4">
        <w:t>H</w:t>
      </w:r>
      <w:r>
        <w:t xml:space="preserve">ealth </w:t>
      </w:r>
      <w:r w:rsidRPr="00377CE4">
        <w:t>O</w:t>
      </w:r>
      <w:r>
        <w:t xml:space="preserve">rganisation (WHO) </w:t>
      </w:r>
      <w:r w:rsidRPr="00377CE4">
        <w:t>and thereby facilitate international regulatory collaboration</w:t>
      </w:r>
      <w:r>
        <w:t xml:space="preserve"> and make a stronger contribution to international pharmacovigilance endeavours</w:t>
      </w:r>
      <w:r w:rsidR="0090230D">
        <w:t>.</w:t>
      </w:r>
    </w:p>
    <w:p w:rsidR="00A610CE" w:rsidRDefault="0025338B" w:rsidP="0090230D">
      <w:pPr>
        <w:pStyle w:val="Heading2"/>
      </w:pPr>
      <w:bookmarkStart w:id="16" w:name="_Toc476752729"/>
      <w:r w:rsidRPr="0090230D">
        <w:t>Conclusion</w:t>
      </w:r>
      <w:bookmarkEnd w:id="16"/>
    </w:p>
    <w:p w:rsidR="00BC40CB" w:rsidRDefault="00FF0DB0" w:rsidP="0090230D">
      <w:r>
        <w:t>We are</w:t>
      </w:r>
      <w:r w:rsidR="001624A0" w:rsidRPr="008F2A6D">
        <w:t xml:space="preserve"> introducing a range of changes to strengthen the safety monitoring for Australian registered medicines by enhancing</w:t>
      </w:r>
      <w:r w:rsidR="00BC40CB" w:rsidRPr="008F2A6D">
        <w:t xml:space="preserve"> TGA’s post-market monitoring capability</w:t>
      </w:r>
      <w:r w:rsidR="001624A0" w:rsidRPr="008F2A6D">
        <w:t>. These changes include</w:t>
      </w:r>
      <w:r w:rsidR="00BC40CB" w:rsidRPr="008F2A6D">
        <w:t>:</w:t>
      </w:r>
    </w:p>
    <w:p w:rsidR="00BC40CB" w:rsidRDefault="00BC40CB" w:rsidP="0090230D">
      <w:pPr>
        <w:pStyle w:val="ListBullet"/>
      </w:pPr>
      <w:r>
        <w:t xml:space="preserve">verifying sponsors have complied with additional risk minimisation and pharmacovigilance </w:t>
      </w:r>
      <w:r w:rsidRPr="0090230D">
        <w:t>activities</w:t>
      </w:r>
      <w:r>
        <w:t xml:space="preserve"> in their RMP;</w:t>
      </w:r>
    </w:p>
    <w:p w:rsidR="00BC40CB" w:rsidRDefault="00BC40CB" w:rsidP="006F418A">
      <w:pPr>
        <w:pStyle w:val="ListBullet"/>
      </w:pPr>
      <w:r>
        <w:t>verifying sponsors have complied with their pharmacovigilance requirements</w:t>
      </w:r>
      <w:r w:rsidR="00DF6C79">
        <w:t xml:space="preserve"> through a new on-site inspection program</w:t>
      </w:r>
      <w:r>
        <w:t>;</w:t>
      </w:r>
    </w:p>
    <w:p w:rsidR="00BF0C65" w:rsidRDefault="00BC40CB" w:rsidP="006F418A">
      <w:pPr>
        <w:pStyle w:val="ListBullet"/>
      </w:pPr>
      <w:r>
        <w:t>encouraging adverse event reporting for newly registered medicines</w:t>
      </w:r>
      <w:r w:rsidR="00BF0C65">
        <w:t xml:space="preserve"> and making it easier for sponsors to report adverse events</w:t>
      </w:r>
      <w:r w:rsidR="00BE39FF">
        <w:t>;</w:t>
      </w:r>
      <w:r w:rsidR="00A82250">
        <w:t xml:space="preserve"> </w:t>
      </w:r>
      <w:r w:rsidR="00A811D4">
        <w:t>and</w:t>
      </w:r>
    </w:p>
    <w:p w:rsidR="00BC40CB" w:rsidRDefault="00BF0C65" w:rsidP="0090230D">
      <w:pPr>
        <w:pStyle w:val="ListBullet"/>
      </w:pPr>
      <w:proofErr w:type="gramStart"/>
      <w:r>
        <w:t>contributing</w:t>
      </w:r>
      <w:proofErr w:type="gramEnd"/>
      <w:r>
        <w:t xml:space="preserve"> more comprehensive adverse event data to in</w:t>
      </w:r>
      <w:r w:rsidR="00A811D4">
        <w:t>ternational medicines vigilance.</w:t>
      </w:r>
    </w:p>
    <w:p w:rsidR="0025338B" w:rsidRDefault="0025338B" w:rsidP="0090230D">
      <w:r>
        <w:t xml:space="preserve">Whilst these new capabilities will be directed at the full breadth of </w:t>
      </w:r>
      <w:proofErr w:type="gramStart"/>
      <w:r>
        <w:t>medicines which</w:t>
      </w:r>
      <w:proofErr w:type="gramEnd"/>
      <w:r>
        <w:t xml:space="preserve"> fall within the scope of the</w:t>
      </w:r>
      <w:r w:rsidR="00584A5D">
        <w:t xml:space="preserve"> post-market monitoring program,</w:t>
      </w:r>
      <w:r>
        <w:t xml:space="preserve"> provisionally registered medicines, as higher risk medicines, will be amongst those medicines prioritised for being subject to these new </w:t>
      </w:r>
      <w:r w:rsidR="00B06F61">
        <w:t xml:space="preserve">or enhanced </w:t>
      </w:r>
      <w:r>
        <w:t>capabilities</w:t>
      </w:r>
      <w:r w:rsidR="0090230D">
        <w:t>.</w:t>
      </w:r>
    </w:p>
    <w:p w:rsidR="00484102" w:rsidRPr="00390D85" w:rsidRDefault="00484102" w:rsidP="0090230D">
      <w:pPr>
        <w:pStyle w:val="Heading3"/>
      </w:pPr>
      <w:bookmarkStart w:id="17" w:name="_Toc476752730"/>
      <w:r w:rsidRPr="00390D85">
        <w:lastRenderedPageBreak/>
        <w:t xml:space="preserve">Next </w:t>
      </w:r>
      <w:r w:rsidR="0090230D" w:rsidRPr="0090230D">
        <w:t>s</w:t>
      </w:r>
      <w:r w:rsidRPr="0090230D">
        <w:t>teps</w:t>
      </w:r>
      <w:bookmarkEnd w:id="17"/>
    </w:p>
    <w:p w:rsidR="008D4DC8" w:rsidRDefault="00484102" w:rsidP="0090230D">
      <w:r w:rsidRPr="00390D85">
        <w:t xml:space="preserve">Feedback from this consultation </w:t>
      </w:r>
      <w:proofErr w:type="gramStart"/>
      <w:r w:rsidRPr="00390D85">
        <w:t>will be used</w:t>
      </w:r>
      <w:proofErr w:type="gramEnd"/>
      <w:r w:rsidRPr="00390D85">
        <w:t xml:space="preserve"> to </w:t>
      </w:r>
      <w:r w:rsidR="00A82250" w:rsidRPr="00390D85">
        <w:t>inform how we implement the Medicines Vigilance Framework</w:t>
      </w:r>
      <w:r w:rsidR="00441B9F">
        <w:t xml:space="preserve">. </w:t>
      </w:r>
      <w:r w:rsidR="00A82250" w:rsidRPr="00390D85">
        <w:t xml:space="preserve">The implementation </w:t>
      </w:r>
      <w:r w:rsidR="00757B03">
        <w:t>of these programs will occur between S</w:t>
      </w:r>
      <w:r w:rsidR="0090230D">
        <w:t>eptember 2017 and January 2018.</w:t>
      </w:r>
    </w:p>
    <w:p w:rsidR="008D4DC8" w:rsidRDefault="008D4DC8" w:rsidP="0090230D">
      <w:pPr>
        <w:pStyle w:val="Heading2"/>
        <w:pageBreakBefore/>
      </w:pPr>
      <w:bookmarkStart w:id="18" w:name="_Toc476752731"/>
      <w:r w:rsidRPr="0090230D">
        <w:lastRenderedPageBreak/>
        <w:t>Appendix</w:t>
      </w:r>
      <w:bookmarkEnd w:id="18"/>
    </w:p>
    <w:tbl>
      <w:tblPr>
        <w:tblStyle w:val="TableTGAblue"/>
        <w:tblW w:w="0" w:type="auto"/>
        <w:tblLook w:val="04A0" w:firstRow="1" w:lastRow="0" w:firstColumn="1" w:lastColumn="0" w:noHBand="0" w:noVBand="1"/>
      </w:tblPr>
      <w:tblGrid>
        <w:gridCol w:w="2660"/>
        <w:gridCol w:w="6237"/>
      </w:tblGrid>
      <w:tr w:rsidR="0090230D" w:rsidRPr="000D4A63" w:rsidTr="0090230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897" w:type="dxa"/>
            <w:gridSpan w:val="2"/>
          </w:tcPr>
          <w:p w:rsidR="0090230D" w:rsidRPr="00AF04E7" w:rsidRDefault="0090230D" w:rsidP="003F7341">
            <w:pPr>
              <w:pStyle w:val="Heading3"/>
              <w:spacing w:before="240" w:after="240"/>
              <w:outlineLvl w:val="2"/>
              <w:rPr>
                <w:rFonts w:asciiTheme="minorHAnsi" w:hAnsiTheme="minorHAnsi" w:cs="Calibri"/>
                <w:b/>
                <w:sz w:val="22"/>
                <w:szCs w:val="22"/>
              </w:rPr>
            </w:pPr>
            <w:bookmarkStart w:id="19" w:name="_Definitions"/>
            <w:bookmarkStart w:id="20" w:name="_Toc476752732"/>
            <w:bookmarkEnd w:id="19"/>
            <w:r w:rsidRPr="00AF04E7">
              <w:rPr>
                <w:rFonts w:asciiTheme="minorHAnsi" w:hAnsiTheme="minorHAnsi"/>
                <w:b/>
                <w:sz w:val="22"/>
                <w:szCs w:val="22"/>
              </w:rPr>
              <w:t>Definitions</w:t>
            </w:r>
            <w:bookmarkEnd w:id="20"/>
          </w:p>
        </w:tc>
      </w:tr>
      <w:tr w:rsidR="008D4DC8" w:rsidRPr="00E501DC" w:rsidTr="0090230D">
        <w:tc>
          <w:tcPr>
            <w:cnfStyle w:val="001000000000" w:firstRow="0" w:lastRow="0" w:firstColumn="1" w:lastColumn="0" w:oddVBand="0" w:evenVBand="0" w:oddHBand="0" w:evenHBand="0" w:firstRowFirstColumn="0" w:firstRowLastColumn="0" w:lastRowFirstColumn="0" w:lastRowLastColumn="0"/>
            <w:tcW w:w="2660" w:type="dxa"/>
          </w:tcPr>
          <w:p w:rsidR="008D4DC8" w:rsidRPr="0090230D" w:rsidRDefault="008D4DC8" w:rsidP="0090230D">
            <w:pPr>
              <w:rPr>
                <w:rFonts w:asciiTheme="minorHAnsi" w:hAnsiTheme="minorHAnsi" w:cstheme="majorHAnsi"/>
                <w:b/>
                <w:szCs w:val="22"/>
              </w:rPr>
            </w:pPr>
            <w:r w:rsidRPr="0090230D">
              <w:rPr>
                <w:rFonts w:asciiTheme="minorHAnsi" w:hAnsiTheme="minorHAnsi" w:cstheme="majorHAnsi"/>
                <w:b/>
                <w:szCs w:val="22"/>
              </w:rPr>
              <w:t>Adverse Event Reporting</w:t>
            </w:r>
          </w:p>
        </w:tc>
        <w:tc>
          <w:tcPr>
            <w:tcW w:w="6237" w:type="dxa"/>
          </w:tcPr>
          <w:p w:rsidR="008D4DC8" w:rsidRPr="00E501DC" w:rsidRDefault="008D4DC8" w:rsidP="0090230D">
            <w:pPr>
              <w:pStyle w:val="ListBullet"/>
              <w:cnfStyle w:val="000000000000" w:firstRow="0" w:lastRow="0" w:firstColumn="0" w:lastColumn="0" w:oddVBand="0" w:evenVBand="0" w:oddHBand="0" w:evenHBand="0" w:firstRowFirstColumn="0" w:firstRowLastColumn="0" w:lastRowFirstColumn="0" w:lastRowLastColumn="0"/>
            </w:pPr>
            <w:r w:rsidRPr="00E501DC">
              <w:t>Reports on harmful and unintended responses to medicines, vaccines, biologicals and medical devices marketed in Australia or in clinical trials.</w:t>
            </w:r>
          </w:p>
          <w:p w:rsidR="008D4DC8" w:rsidRPr="00E501DC" w:rsidRDefault="008D4DC8" w:rsidP="0090230D">
            <w:pPr>
              <w:pStyle w:val="ListBullet"/>
              <w:cnfStyle w:val="000000000000" w:firstRow="0" w:lastRow="0" w:firstColumn="0" w:lastColumn="0" w:oddVBand="0" w:evenVBand="0" w:oddHBand="0" w:evenHBand="0" w:firstRowFirstColumn="0" w:firstRowLastColumn="0" w:lastRowFirstColumn="0" w:lastRowLastColumn="0"/>
            </w:pPr>
            <w:proofErr w:type="gramStart"/>
            <w:r w:rsidRPr="00E501DC">
              <w:t>Expedited reporting of serious unexpected clinical trials adverse events.</w:t>
            </w:r>
            <w:proofErr w:type="gramEnd"/>
          </w:p>
          <w:p w:rsidR="008D4DC8" w:rsidRPr="00E501DC" w:rsidRDefault="008D4DC8" w:rsidP="0090230D">
            <w:pPr>
              <w:pStyle w:val="ListBullet"/>
              <w:cnfStyle w:val="000000000000" w:firstRow="0" w:lastRow="0" w:firstColumn="0" w:lastColumn="0" w:oddVBand="0" w:evenVBand="0" w:oddHBand="0" w:evenHBand="0" w:firstRowFirstColumn="0" w:firstRowLastColumn="0" w:lastRowFirstColumn="0" w:lastRowLastColumn="0"/>
            </w:pPr>
            <w:r w:rsidRPr="00E501DC">
              <w:t>Reports regarding deficiencies in labelling, instructions or packaging, defective components, performance failures, poor construction or design of medical devices marketed in Australia.</w:t>
            </w:r>
          </w:p>
        </w:tc>
      </w:tr>
      <w:tr w:rsidR="008D4DC8" w:rsidRPr="00E501DC" w:rsidTr="0090230D">
        <w:tc>
          <w:tcPr>
            <w:cnfStyle w:val="001000000000" w:firstRow="0" w:lastRow="0" w:firstColumn="1" w:lastColumn="0" w:oddVBand="0" w:evenVBand="0" w:oddHBand="0" w:evenHBand="0" w:firstRowFirstColumn="0" w:firstRowLastColumn="0" w:lastRowFirstColumn="0" w:lastRowLastColumn="0"/>
            <w:tcW w:w="2660" w:type="dxa"/>
          </w:tcPr>
          <w:p w:rsidR="008D4DC8" w:rsidRPr="0090230D" w:rsidRDefault="008D4DC8" w:rsidP="0090230D">
            <w:pPr>
              <w:rPr>
                <w:rFonts w:asciiTheme="minorHAnsi" w:hAnsiTheme="minorHAnsi" w:cstheme="majorHAnsi"/>
                <w:b/>
                <w:szCs w:val="22"/>
              </w:rPr>
            </w:pPr>
            <w:r w:rsidRPr="0090230D">
              <w:rPr>
                <w:rFonts w:asciiTheme="minorHAnsi" w:hAnsiTheme="minorHAnsi" w:cstheme="majorHAnsi"/>
                <w:b/>
                <w:szCs w:val="22"/>
              </w:rPr>
              <w:t>Australian Public Assessment Report (AusPAR)</w:t>
            </w:r>
          </w:p>
        </w:tc>
        <w:tc>
          <w:tcPr>
            <w:tcW w:w="6237" w:type="dxa"/>
          </w:tcPr>
          <w:p w:rsidR="008D4DC8" w:rsidRPr="00E501DC" w:rsidRDefault="008D4DC8" w:rsidP="0090230D">
            <w:pP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szCs w:val="22"/>
              </w:rPr>
            </w:pPr>
            <w:r w:rsidRPr="00E501DC">
              <w:rPr>
                <w:rFonts w:asciiTheme="minorHAnsi" w:hAnsiTheme="minorHAnsi" w:cstheme="majorHAnsi"/>
                <w:szCs w:val="22"/>
              </w:rPr>
              <w:t>An Australian Public Assessment Record (AusPAR) provides information about the evaluation of a prescription medicine and the considerations that led the TGA to approve or not approve a prescription medicine submission.</w:t>
            </w:r>
          </w:p>
          <w:p w:rsidR="008D4DC8" w:rsidRPr="00E501DC" w:rsidRDefault="008D4DC8" w:rsidP="0090230D">
            <w:pPr>
              <w:pStyle w:val="ListBullet"/>
              <w:cnfStyle w:val="000000000000" w:firstRow="0" w:lastRow="0" w:firstColumn="0" w:lastColumn="0" w:oddVBand="0" w:evenVBand="0" w:oddHBand="0" w:evenHBand="0" w:firstRowFirstColumn="0" w:firstRowLastColumn="0" w:lastRowFirstColumn="0" w:lastRowLastColumn="0"/>
            </w:pPr>
            <w:r w:rsidRPr="00E501DC">
              <w:t xml:space="preserve">AusPARs </w:t>
            </w:r>
            <w:proofErr w:type="gramStart"/>
            <w:r w:rsidRPr="00E501DC">
              <w:t>are prepared and published by the TGA</w:t>
            </w:r>
            <w:proofErr w:type="gramEnd"/>
            <w:r w:rsidRPr="00E501DC">
              <w:t xml:space="preserve">. </w:t>
            </w:r>
          </w:p>
          <w:p w:rsidR="008D4DC8" w:rsidRPr="00E501DC" w:rsidRDefault="008D4DC8" w:rsidP="0090230D">
            <w:pPr>
              <w:pStyle w:val="ListBullet"/>
              <w:cnfStyle w:val="000000000000" w:firstRow="0" w:lastRow="0" w:firstColumn="0" w:lastColumn="0" w:oddVBand="0" w:evenVBand="0" w:oddHBand="0" w:evenHBand="0" w:firstRowFirstColumn="0" w:firstRowLastColumn="0" w:lastRowFirstColumn="0" w:lastRowLastColumn="0"/>
            </w:pPr>
            <w:r w:rsidRPr="00E501DC">
              <w:t xml:space="preserve">An AusPAR is a static document, in that it will provide information that relates to a submission at a particular point in time. </w:t>
            </w:r>
          </w:p>
          <w:p w:rsidR="008D4DC8" w:rsidRPr="00E501DC" w:rsidRDefault="008D4DC8" w:rsidP="0090230D">
            <w:pPr>
              <w:pStyle w:val="ListBullet"/>
              <w:cnfStyle w:val="000000000000" w:firstRow="0" w:lastRow="0" w:firstColumn="0" w:lastColumn="0" w:oddVBand="0" w:evenVBand="0" w:oddHBand="0" w:evenHBand="0" w:firstRowFirstColumn="0" w:firstRowLastColumn="0" w:lastRowFirstColumn="0" w:lastRowLastColumn="0"/>
            </w:pPr>
            <w:r w:rsidRPr="00E501DC">
              <w:t>A new AusPAR will be developed to reflect changes to indications and/or major variations to a prescription medicine subject to evaluation by the TGA</w:t>
            </w:r>
          </w:p>
        </w:tc>
      </w:tr>
      <w:tr w:rsidR="008D4DC8" w:rsidRPr="00E501DC" w:rsidTr="0090230D">
        <w:tc>
          <w:tcPr>
            <w:tcW w:w="2660" w:type="dxa"/>
          </w:tcPr>
          <w:p w:rsidR="008D4DC8" w:rsidRPr="0090230D" w:rsidRDefault="008D4DC8" w:rsidP="0090230D">
            <w:pPr>
              <w:cnfStyle w:val="001000000000" w:firstRow="0" w:lastRow="0" w:firstColumn="1" w:lastColumn="0" w:oddVBand="0" w:evenVBand="0" w:oddHBand="0" w:evenHBand="0" w:firstRowFirstColumn="0" w:firstRowLastColumn="0" w:lastRowFirstColumn="0" w:lastRowLastColumn="0"/>
              <w:rPr>
                <w:rFonts w:asciiTheme="minorHAnsi" w:eastAsia="Times New Roman" w:hAnsiTheme="minorHAnsi" w:cstheme="majorHAnsi"/>
                <w:b/>
                <w:szCs w:val="22"/>
                <w:lang w:eastAsia="en-AU"/>
              </w:rPr>
            </w:pPr>
            <w:r w:rsidRPr="0090230D">
              <w:rPr>
                <w:rFonts w:asciiTheme="minorHAnsi" w:eastAsia="Times New Roman" w:hAnsiTheme="minorHAnsi" w:cstheme="majorHAnsi"/>
                <w:b/>
                <w:szCs w:val="22"/>
                <w:lang w:eastAsia="en-AU"/>
              </w:rPr>
              <w:t>Biological medicines</w:t>
            </w:r>
          </w:p>
        </w:tc>
        <w:tc>
          <w:tcPr>
            <w:tcW w:w="6237" w:type="dxa"/>
          </w:tcPr>
          <w:p w:rsidR="008D4DC8" w:rsidRPr="00E501DC" w:rsidRDefault="008D4DC8" w:rsidP="0090230D">
            <w:pPr>
              <w:rPr>
                <w:lang w:eastAsia="en-AU"/>
              </w:rPr>
            </w:pPr>
            <w:r w:rsidRPr="00E501DC">
              <w:rPr>
                <w:lang w:eastAsia="en-AU"/>
              </w:rPr>
              <w:t xml:space="preserve">Biological medicines are therapeutic goods that </w:t>
            </w:r>
            <w:proofErr w:type="gramStart"/>
            <w:r w:rsidRPr="00E501DC">
              <w:rPr>
                <w:lang w:eastAsia="en-AU"/>
              </w:rPr>
              <w:t>are derived</w:t>
            </w:r>
            <w:proofErr w:type="gramEnd"/>
            <w:r w:rsidRPr="00E501DC">
              <w:rPr>
                <w:lang w:eastAsia="en-AU"/>
              </w:rPr>
              <w:t xml:space="preserve"> from biological sources and are regulated as registered medicines. They include proteins and polysaccharides such as:</w:t>
            </w:r>
          </w:p>
          <w:p w:rsidR="008D4DC8" w:rsidRPr="00E501DC" w:rsidRDefault="008D4DC8" w:rsidP="0090230D">
            <w:pPr>
              <w:pStyle w:val="ListBullet"/>
              <w:rPr>
                <w:lang w:eastAsia="en-AU"/>
              </w:rPr>
            </w:pPr>
            <w:r w:rsidRPr="00E501DC">
              <w:rPr>
                <w:lang w:eastAsia="en-AU"/>
              </w:rPr>
              <w:t>Vaccines</w:t>
            </w:r>
          </w:p>
          <w:p w:rsidR="008D4DC8" w:rsidRPr="00E501DC" w:rsidRDefault="008D4DC8" w:rsidP="0090230D">
            <w:pPr>
              <w:pStyle w:val="ListBullet"/>
              <w:rPr>
                <w:lang w:eastAsia="en-AU"/>
              </w:rPr>
            </w:pPr>
            <w:r w:rsidRPr="00E501DC">
              <w:rPr>
                <w:lang w:eastAsia="en-AU"/>
              </w:rPr>
              <w:t>Products of the fermentation of recombinant cell-lines;</w:t>
            </w:r>
          </w:p>
          <w:p w:rsidR="008D4DC8" w:rsidRPr="00E501DC" w:rsidRDefault="008D4DC8" w:rsidP="0090230D">
            <w:pPr>
              <w:pStyle w:val="ListBullet"/>
              <w:rPr>
                <w:lang w:eastAsia="en-AU"/>
              </w:rPr>
            </w:pPr>
            <w:r w:rsidRPr="00E501DC">
              <w:rPr>
                <w:lang w:eastAsia="en-AU"/>
              </w:rPr>
              <w:t>Medicines derived from the fluids and tissue of humans (where specified in the</w:t>
            </w:r>
            <w:r w:rsidR="00AF04E7">
              <w:rPr>
                <w:lang w:eastAsia="en-AU"/>
              </w:rPr>
              <w:t xml:space="preserve"> </w:t>
            </w:r>
            <w:hyperlink r:id="rId26" w:anchor="biologicals" w:history="1">
              <w:r w:rsidR="00AF04E7" w:rsidRPr="00FB4BB5">
                <w:rPr>
                  <w:rStyle w:val="Hyperlink"/>
                  <w:lang w:eastAsia="en-AU"/>
                </w:rPr>
                <w:t>Therapeutic Goods (Things that are not Biologicals) Determination No. 1 of 2011</w:t>
              </w:r>
            </w:hyperlink>
            <w:r w:rsidR="00AF04E7">
              <w:rPr>
                <w:lang w:eastAsia="en-AU"/>
              </w:rPr>
              <w:t>)</w:t>
            </w:r>
            <w:r w:rsidRPr="00E501DC">
              <w:rPr>
                <w:lang w:eastAsia="en-AU"/>
              </w:rPr>
              <w:t>and animals</w:t>
            </w:r>
          </w:p>
          <w:p w:rsidR="008D4DC8" w:rsidRPr="00E501DC" w:rsidRDefault="008D4DC8" w:rsidP="0090230D">
            <w:pPr>
              <w:pStyle w:val="ListBullet"/>
              <w:rPr>
                <w:lang w:eastAsia="en-AU"/>
              </w:rPr>
            </w:pPr>
            <w:r w:rsidRPr="00E501DC">
              <w:rPr>
                <w:lang w:eastAsia="en-AU"/>
              </w:rPr>
              <w:t>Bacterially-derived proteins;</w:t>
            </w:r>
          </w:p>
          <w:p w:rsidR="008D4DC8" w:rsidRPr="00E501DC" w:rsidRDefault="008D4DC8" w:rsidP="0090230D">
            <w:pPr>
              <w:pStyle w:val="ListBullet"/>
              <w:rPr>
                <w:lang w:eastAsia="en-AU"/>
              </w:rPr>
            </w:pPr>
            <w:r w:rsidRPr="00E501DC">
              <w:rPr>
                <w:lang w:eastAsia="en-AU"/>
              </w:rPr>
              <w:t>Animal-derived polysaccharides like heparin.</w:t>
            </w:r>
          </w:p>
          <w:p w:rsidR="008D4DC8" w:rsidRPr="00E501DC" w:rsidRDefault="008D4DC8" w:rsidP="0090230D">
            <w:pPr>
              <w:rPr>
                <w:lang w:eastAsia="en-AU"/>
              </w:rPr>
            </w:pPr>
            <w:r w:rsidRPr="00E501DC">
              <w:rPr>
                <w:lang w:eastAsia="en-AU"/>
              </w:rPr>
              <w:t>Biological medicines do not include antibiotics and small peptides or molecules &lt;2500 Da.</w:t>
            </w:r>
          </w:p>
          <w:p w:rsidR="008D4DC8" w:rsidRPr="00E501DC" w:rsidRDefault="008D4DC8" w:rsidP="00FB4BB5">
            <w:r w:rsidRPr="00E501DC">
              <w:rPr>
                <w:lang w:eastAsia="en-AU"/>
              </w:rPr>
              <w:t>Biological medicines are distinct from '</w:t>
            </w:r>
            <w:hyperlink r:id="rId27" w:history="1">
              <w:r w:rsidRPr="00FB4BB5">
                <w:rPr>
                  <w:rStyle w:val="Hyperlink"/>
                </w:rPr>
                <w:t>biologicals</w:t>
              </w:r>
            </w:hyperlink>
            <w:proofErr w:type="gramStart"/>
            <w:r w:rsidRPr="00E501DC">
              <w:rPr>
                <w:lang w:eastAsia="en-AU"/>
              </w:rPr>
              <w:t>' which</w:t>
            </w:r>
            <w:proofErr w:type="gramEnd"/>
            <w:r w:rsidRPr="00E501DC">
              <w:rPr>
                <w:lang w:eastAsia="en-AU"/>
              </w:rPr>
              <w:t xml:space="preserve"> are human cell and tissue products.</w:t>
            </w:r>
          </w:p>
        </w:tc>
      </w:tr>
      <w:tr w:rsidR="008D4DC8" w:rsidRPr="00E501DC" w:rsidTr="0090230D">
        <w:tc>
          <w:tcPr>
            <w:cnfStyle w:val="001000000000" w:firstRow="0" w:lastRow="0" w:firstColumn="1" w:lastColumn="0" w:oddVBand="0" w:evenVBand="0" w:oddHBand="0" w:evenHBand="0" w:firstRowFirstColumn="0" w:firstRowLastColumn="0" w:lastRowFirstColumn="0" w:lastRowLastColumn="0"/>
            <w:tcW w:w="2660" w:type="dxa"/>
          </w:tcPr>
          <w:p w:rsidR="008D4DC8" w:rsidRPr="0090230D" w:rsidRDefault="008D4DC8" w:rsidP="000D144A">
            <w:r w:rsidRPr="0090230D">
              <w:rPr>
                <w:rFonts w:asciiTheme="minorHAnsi" w:hAnsiTheme="minorHAnsi" w:cstheme="majorHAnsi"/>
                <w:b/>
                <w:szCs w:val="22"/>
              </w:rPr>
              <w:lastRenderedPageBreak/>
              <w:t>Consumer Medicine Information (CMI)</w:t>
            </w:r>
          </w:p>
        </w:tc>
        <w:tc>
          <w:tcPr>
            <w:tcW w:w="6237" w:type="dxa"/>
          </w:tcPr>
          <w:p w:rsidR="008D4DC8" w:rsidRPr="00E501DC" w:rsidRDefault="001A0211" w:rsidP="000D144A">
            <w:pPr>
              <w:cnfStyle w:val="000000000000" w:firstRow="0" w:lastRow="0" w:firstColumn="0" w:lastColumn="0" w:oddVBand="0" w:evenVBand="0" w:oddHBand="0" w:evenHBand="0" w:firstRowFirstColumn="0" w:firstRowLastColumn="0" w:lastRowFirstColumn="0" w:lastRowLastColumn="0"/>
            </w:pPr>
            <w:r>
              <w:t>A d</w:t>
            </w:r>
            <w:r w:rsidR="008D4DC8" w:rsidRPr="00E501DC">
              <w:t xml:space="preserve">ocument </w:t>
            </w:r>
            <w:r>
              <w:t xml:space="preserve">for </w:t>
            </w:r>
            <w:r w:rsidR="008D4DC8" w:rsidRPr="00E501DC">
              <w:t xml:space="preserve">patients with that gives a plain-English explanation of the </w:t>
            </w:r>
            <w:r w:rsidRPr="00E501DC">
              <w:t>prescription medicine</w:t>
            </w:r>
            <w:r>
              <w:t xml:space="preserve"> </w:t>
            </w:r>
            <w:r w:rsidR="008D4DC8" w:rsidRPr="00E501DC">
              <w:t>product</w:t>
            </w:r>
          </w:p>
        </w:tc>
      </w:tr>
      <w:tr w:rsidR="008D4DC8" w:rsidRPr="00E501DC" w:rsidTr="0090230D">
        <w:tc>
          <w:tcPr>
            <w:cnfStyle w:val="001000000000" w:firstRow="0" w:lastRow="0" w:firstColumn="1" w:lastColumn="0" w:oddVBand="0" w:evenVBand="0" w:oddHBand="0" w:evenHBand="0" w:firstRowFirstColumn="0" w:firstRowLastColumn="0" w:lastRowFirstColumn="0" w:lastRowLastColumn="0"/>
            <w:tcW w:w="2660" w:type="dxa"/>
          </w:tcPr>
          <w:p w:rsidR="008D4DC8" w:rsidRPr="0090230D" w:rsidRDefault="008D4DC8" w:rsidP="000D144A">
            <w:pPr>
              <w:rPr>
                <w:rStyle w:val="field-content"/>
                <w:rFonts w:asciiTheme="minorHAnsi" w:hAnsiTheme="minorHAnsi" w:cstheme="majorHAnsi"/>
                <w:b/>
                <w:szCs w:val="22"/>
              </w:rPr>
            </w:pPr>
            <w:r w:rsidRPr="0090230D">
              <w:rPr>
                <w:rFonts w:asciiTheme="minorHAnsi" w:hAnsiTheme="minorHAnsi" w:cstheme="majorHAnsi"/>
                <w:b/>
                <w:szCs w:val="22"/>
              </w:rPr>
              <w:t>Critical deficiency</w:t>
            </w:r>
          </w:p>
        </w:tc>
        <w:tc>
          <w:tcPr>
            <w:tcW w:w="6237" w:type="dxa"/>
          </w:tcPr>
          <w:p w:rsidR="008D4DC8" w:rsidRPr="00E501DC" w:rsidRDefault="008D4DC8" w:rsidP="000D144A">
            <w:pPr>
              <w:cnfStyle w:val="000000000000" w:firstRow="0" w:lastRow="0" w:firstColumn="0" w:lastColumn="0" w:oddVBand="0" w:evenVBand="0" w:oddHBand="0" w:evenHBand="0" w:firstRowFirstColumn="0" w:firstRowLastColumn="0" w:lastRowFirstColumn="0" w:lastRowLastColumn="0"/>
            </w:pPr>
            <w:r w:rsidRPr="00E501DC">
              <w:t>A deficiency in pharmacovigilance practise or processes that has, or may significantly adversely affect the safety or well-being of patients or that poses a potential risk to public health or that represents a serious violation of applicable legislation an</w:t>
            </w:r>
            <w:r w:rsidR="000D144A">
              <w:t>d guidelines.</w:t>
            </w:r>
          </w:p>
          <w:p w:rsidR="008D4DC8" w:rsidRPr="00E501DC" w:rsidRDefault="008D4DC8" w:rsidP="0090230D">
            <w:pP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szCs w:val="22"/>
              </w:rPr>
            </w:pPr>
            <w:r w:rsidRPr="00E501DC">
              <w:rPr>
                <w:rFonts w:asciiTheme="minorHAnsi" w:hAnsiTheme="minorHAnsi" w:cstheme="majorHAnsi"/>
                <w:szCs w:val="22"/>
              </w:rPr>
              <w:t xml:space="preserve">Also occurs when it </w:t>
            </w:r>
            <w:proofErr w:type="gramStart"/>
            <w:r w:rsidRPr="00E501DC">
              <w:rPr>
                <w:rFonts w:asciiTheme="minorHAnsi" w:hAnsiTheme="minorHAnsi" w:cstheme="majorHAnsi"/>
                <w:szCs w:val="22"/>
              </w:rPr>
              <w:t>is observed</w:t>
            </w:r>
            <w:proofErr w:type="gramEnd"/>
            <w:r w:rsidRPr="00E501DC">
              <w:rPr>
                <w:rFonts w:asciiTheme="minorHAnsi" w:hAnsiTheme="minorHAnsi" w:cstheme="majorHAnsi"/>
                <w:szCs w:val="22"/>
              </w:rPr>
              <w:t xml:space="preserve"> that the sponsor has engaged in fraud, misrepresentation or falsification of data</w:t>
            </w:r>
            <w:r w:rsidR="000D144A">
              <w:rPr>
                <w:rFonts w:asciiTheme="minorHAnsi" w:hAnsiTheme="minorHAnsi" w:cstheme="majorHAnsi"/>
                <w:szCs w:val="22"/>
              </w:rPr>
              <w:t>.</w:t>
            </w:r>
          </w:p>
        </w:tc>
      </w:tr>
      <w:tr w:rsidR="008D4DC8" w:rsidRPr="00E501DC" w:rsidTr="0090230D">
        <w:tc>
          <w:tcPr>
            <w:cnfStyle w:val="001000000000" w:firstRow="0" w:lastRow="0" w:firstColumn="1" w:lastColumn="0" w:oddVBand="0" w:evenVBand="0" w:oddHBand="0" w:evenHBand="0" w:firstRowFirstColumn="0" w:firstRowLastColumn="0" w:lastRowFirstColumn="0" w:lastRowLastColumn="0"/>
            <w:tcW w:w="2660" w:type="dxa"/>
          </w:tcPr>
          <w:p w:rsidR="008D4DC8" w:rsidRPr="0090230D" w:rsidRDefault="008D4DC8" w:rsidP="000D144A">
            <w:pPr>
              <w:rPr>
                <w:rStyle w:val="field-content"/>
                <w:rFonts w:asciiTheme="minorHAnsi" w:hAnsiTheme="minorHAnsi" w:cstheme="majorHAnsi"/>
                <w:b/>
                <w:szCs w:val="22"/>
              </w:rPr>
            </w:pPr>
            <w:r w:rsidRPr="0090230D">
              <w:rPr>
                <w:rFonts w:asciiTheme="minorHAnsi" w:hAnsiTheme="minorHAnsi" w:cstheme="majorHAnsi"/>
                <w:b/>
                <w:szCs w:val="22"/>
              </w:rPr>
              <w:t xml:space="preserve">Listed </w:t>
            </w:r>
            <w:r w:rsidR="0090230D">
              <w:rPr>
                <w:rFonts w:asciiTheme="minorHAnsi" w:hAnsiTheme="minorHAnsi" w:cstheme="majorHAnsi"/>
                <w:b/>
                <w:szCs w:val="22"/>
              </w:rPr>
              <w:t>m</w:t>
            </w:r>
            <w:r w:rsidRPr="0090230D">
              <w:rPr>
                <w:rFonts w:asciiTheme="minorHAnsi" w:hAnsiTheme="minorHAnsi" w:cstheme="majorHAnsi"/>
                <w:b/>
                <w:szCs w:val="22"/>
              </w:rPr>
              <w:t>edicines</w:t>
            </w:r>
          </w:p>
        </w:tc>
        <w:tc>
          <w:tcPr>
            <w:tcW w:w="6237" w:type="dxa"/>
          </w:tcPr>
          <w:p w:rsidR="008D4DC8" w:rsidRPr="00E501DC" w:rsidRDefault="008D4DC8" w:rsidP="000D144A">
            <w:pPr>
              <w:cnfStyle w:val="000000000000" w:firstRow="0" w:lastRow="0" w:firstColumn="0" w:lastColumn="0" w:oddVBand="0" w:evenVBand="0" w:oddHBand="0" w:evenHBand="0" w:firstRowFirstColumn="0" w:firstRowLastColumn="0" w:lastRowFirstColumn="0" w:lastRowLastColumn="0"/>
            </w:pPr>
            <w:r w:rsidRPr="00E501DC">
              <w:t xml:space="preserve">Listed medicines </w:t>
            </w:r>
            <w:proofErr w:type="gramStart"/>
            <w:r w:rsidRPr="00E501DC">
              <w:t>are assessed</w:t>
            </w:r>
            <w:proofErr w:type="gramEnd"/>
            <w:r w:rsidRPr="00E501DC">
              <w:t xml:space="preserve"> by the TGA for quality and safety but not efficacy.</w:t>
            </w:r>
          </w:p>
          <w:p w:rsidR="008D4DC8" w:rsidRPr="00E501DC" w:rsidRDefault="008D4DC8" w:rsidP="000D144A">
            <w:pPr>
              <w:pStyle w:val="ListBullet"/>
              <w:cnfStyle w:val="000000000000" w:firstRow="0" w:lastRow="0" w:firstColumn="0" w:lastColumn="0" w:oddVBand="0" w:evenVBand="0" w:oddHBand="0" w:evenHBand="0" w:firstRowFirstColumn="0" w:firstRowLastColumn="0" w:lastRowFirstColumn="0" w:lastRowLastColumn="0"/>
            </w:pPr>
            <w:r w:rsidRPr="00E501DC">
              <w:t xml:space="preserve">Some over-the-counter medicines </w:t>
            </w:r>
            <w:proofErr w:type="gramStart"/>
            <w:r w:rsidRPr="00E501DC">
              <w:t>are listed</w:t>
            </w:r>
            <w:proofErr w:type="gramEnd"/>
            <w:r w:rsidRPr="00E501DC">
              <w:t>.</w:t>
            </w:r>
          </w:p>
          <w:p w:rsidR="008D4DC8" w:rsidRPr="00E501DC" w:rsidRDefault="008D4DC8" w:rsidP="000D144A">
            <w:pPr>
              <w:pStyle w:val="ListBullet"/>
              <w:cnfStyle w:val="000000000000" w:firstRow="0" w:lastRow="0" w:firstColumn="0" w:lastColumn="0" w:oddVBand="0" w:evenVBand="0" w:oddHBand="0" w:evenHBand="0" w:firstRowFirstColumn="0" w:firstRowLastColumn="0" w:lastRowFirstColumn="0" w:lastRowLastColumn="0"/>
            </w:pPr>
            <w:r w:rsidRPr="00E501DC">
              <w:t xml:space="preserve">Most complementary medicines </w:t>
            </w:r>
            <w:proofErr w:type="gramStart"/>
            <w:r w:rsidRPr="00E501DC">
              <w:t>are listed</w:t>
            </w:r>
            <w:proofErr w:type="gramEnd"/>
            <w:r w:rsidRPr="00E501DC">
              <w:t>.</w:t>
            </w:r>
          </w:p>
        </w:tc>
      </w:tr>
      <w:tr w:rsidR="008D4DC8" w:rsidRPr="00E501DC" w:rsidTr="0090230D">
        <w:tc>
          <w:tcPr>
            <w:cnfStyle w:val="001000000000" w:firstRow="0" w:lastRow="0" w:firstColumn="1" w:lastColumn="0" w:oddVBand="0" w:evenVBand="0" w:oddHBand="0" w:evenHBand="0" w:firstRowFirstColumn="0" w:firstRowLastColumn="0" w:lastRowFirstColumn="0" w:lastRowLastColumn="0"/>
            <w:tcW w:w="2660" w:type="dxa"/>
          </w:tcPr>
          <w:p w:rsidR="008D4DC8" w:rsidRPr="0090230D" w:rsidRDefault="008D4DC8" w:rsidP="0090230D">
            <w:pPr>
              <w:rPr>
                <w:rFonts w:asciiTheme="minorHAnsi" w:hAnsiTheme="minorHAnsi" w:cstheme="majorHAnsi"/>
                <w:b/>
                <w:szCs w:val="22"/>
              </w:rPr>
            </w:pPr>
            <w:r w:rsidRPr="0090230D">
              <w:rPr>
                <w:rFonts w:asciiTheme="minorHAnsi" w:hAnsiTheme="minorHAnsi" w:cstheme="majorHAnsi"/>
                <w:b/>
                <w:szCs w:val="22"/>
              </w:rPr>
              <w:t>New chemical entity (NCE)</w:t>
            </w:r>
          </w:p>
        </w:tc>
        <w:tc>
          <w:tcPr>
            <w:tcW w:w="6237" w:type="dxa"/>
          </w:tcPr>
          <w:p w:rsidR="008D4DC8" w:rsidRPr="00E501DC" w:rsidRDefault="008D4DC8" w:rsidP="000D144A">
            <w:pPr>
              <w:pStyle w:val="Numberbullet2"/>
              <w:ind w:left="459"/>
              <w:cnfStyle w:val="000000000000" w:firstRow="0" w:lastRow="0" w:firstColumn="0" w:lastColumn="0" w:oddVBand="0" w:evenVBand="0" w:oddHBand="0" w:evenHBand="0" w:firstRowFirstColumn="0" w:firstRowLastColumn="0" w:lastRowFirstColumn="0" w:lastRowLastColumn="0"/>
            </w:pPr>
            <w:r w:rsidRPr="00E501DC">
              <w:t>A chemical, biological or radiopharmaceutical substance that has not previously been included in the ARTG; or</w:t>
            </w:r>
          </w:p>
          <w:p w:rsidR="008D4DC8" w:rsidRPr="00E501DC" w:rsidRDefault="008D4DC8" w:rsidP="000D144A">
            <w:pPr>
              <w:pStyle w:val="Numberbullet2"/>
              <w:ind w:left="459"/>
              <w:cnfStyle w:val="000000000000" w:firstRow="0" w:lastRow="0" w:firstColumn="0" w:lastColumn="0" w:oddVBand="0" w:evenVBand="0" w:oddHBand="0" w:evenHBand="0" w:firstRowFirstColumn="0" w:firstRowLastColumn="0" w:lastRowFirstColumn="0" w:lastRowLastColumn="0"/>
            </w:pPr>
            <w:r w:rsidRPr="00E501DC">
              <w:t>an isomer, mixture of isomers, complex, derivative or salt of a registered chemical substance that, having previously been included in the ARTG, differs from the registered substance in having different safety or efficacy properties; or</w:t>
            </w:r>
          </w:p>
          <w:p w:rsidR="008D4DC8" w:rsidRPr="00E501DC" w:rsidRDefault="008D4DC8" w:rsidP="000D144A">
            <w:pPr>
              <w:pStyle w:val="Numberbullet2"/>
              <w:ind w:left="459"/>
              <w:cnfStyle w:val="000000000000" w:firstRow="0" w:lastRow="0" w:firstColumn="0" w:lastColumn="0" w:oddVBand="0" w:evenVBand="0" w:oddHBand="0" w:evenHBand="0" w:firstRowFirstColumn="0" w:firstRowLastColumn="0" w:lastRowFirstColumn="0" w:lastRowLastColumn="0"/>
            </w:pPr>
            <w:r w:rsidRPr="00E501DC">
              <w:t>a biological substance that, having previously been included in the ARTG, differs from the registered substance:</w:t>
            </w:r>
          </w:p>
          <w:p w:rsidR="008D4DC8" w:rsidRPr="00E501DC" w:rsidRDefault="008D4DC8" w:rsidP="000D144A">
            <w:pPr>
              <w:pStyle w:val="Numberbullet3"/>
              <w:ind w:left="884"/>
              <w:cnfStyle w:val="000000000000" w:firstRow="0" w:lastRow="0" w:firstColumn="0" w:lastColumn="0" w:oddVBand="0" w:evenVBand="0" w:oddHBand="0" w:evenHBand="0" w:firstRowFirstColumn="0" w:firstRowLastColumn="0" w:lastRowFirstColumn="0" w:lastRowLastColumn="0"/>
            </w:pPr>
            <w:r w:rsidRPr="00E501DC">
              <w:t>in having a different molecular structure; or</w:t>
            </w:r>
          </w:p>
          <w:p w:rsidR="008D4DC8" w:rsidRPr="00E501DC" w:rsidRDefault="008D4DC8" w:rsidP="000D144A">
            <w:pPr>
              <w:pStyle w:val="Numberbullet3"/>
              <w:ind w:left="884"/>
              <w:cnfStyle w:val="000000000000" w:firstRow="0" w:lastRow="0" w:firstColumn="0" w:lastColumn="0" w:oddVBand="0" w:evenVBand="0" w:oddHBand="0" w:evenHBand="0" w:firstRowFirstColumn="0" w:firstRowLastColumn="0" w:lastRowFirstColumn="0" w:lastRowLastColumn="0"/>
            </w:pPr>
            <w:r w:rsidRPr="00E501DC">
              <w:t>in deriving from source material of a different nature or from a different manufacturing process; or</w:t>
            </w:r>
          </w:p>
          <w:p w:rsidR="008D4DC8" w:rsidRPr="00E501DC" w:rsidRDefault="008D4DC8" w:rsidP="000D144A">
            <w:pPr>
              <w:pStyle w:val="Numberbullet2"/>
              <w:ind w:left="459"/>
              <w:cnfStyle w:val="000000000000" w:firstRow="0" w:lastRow="0" w:firstColumn="0" w:lastColumn="0" w:oddVBand="0" w:evenVBand="0" w:oddHBand="0" w:evenHBand="0" w:firstRowFirstColumn="0" w:firstRowLastColumn="0" w:lastRowFirstColumn="0" w:lastRowLastColumn="0"/>
            </w:pPr>
            <w:r w:rsidRPr="00E501DC">
              <w:t>a radiopharmaceutical substance that</w:t>
            </w:r>
          </w:p>
          <w:p w:rsidR="008D4DC8" w:rsidRPr="00E501DC" w:rsidRDefault="008D4DC8" w:rsidP="000D144A">
            <w:pPr>
              <w:pStyle w:val="Numberbullet3"/>
              <w:ind w:left="884"/>
              <w:cnfStyle w:val="000000000000" w:firstRow="0" w:lastRow="0" w:firstColumn="0" w:lastColumn="0" w:oddVBand="0" w:evenVBand="0" w:oddHBand="0" w:evenHBand="0" w:firstRowFirstColumn="0" w:firstRowLastColumn="0" w:lastRowFirstColumn="0" w:lastRowLastColumn="0"/>
            </w:pPr>
            <w:r w:rsidRPr="00E501DC">
              <w:t>is a radionuclide or ligand that has not previously been included in the ARTG; or</w:t>
            </w:r>
          </w:p>
          <w:p w:rsidR="008D4DC8" w:rsidRPr="00E501DC" w:rsidRDefault="008D4DC8" w:rsidP="000D144A">
            <w:pPr>
              <w:pStyle w:val="Numberbullet3"/>
              <w:ind w:left="884"/>
              <w:cnfStyle w:val="000000000000" w:firstRow="0" w:lastRow="0" w:firstColumn="0" w:lastColumn="0" w:oddVBand="0" w:evenVBand="0" w:oddHBand="0" w:evenHBand="0" w:firstRowFirstColumn="0" w:firstRowLastColumn="0" w:lastRowFirstColumn="0" w:lastRowLastColumn="0"/>
            </w:pPr>
            <w:r w:rsidRPr="00E501DC">
              <w:t>has a coupling mechanism, linking the molecule and radionuclide, that has not previously been included in the ARTG; or</w:t>
            </w:r>
          </w:p>
          <w:p w:rsidR="008D4DC8" w:rsidRPr="00E501DC" w:rsidRDefault="008D4DC8" w:rsidP="000D144A">
            <w:pPr>
              <w:pStyle w:val="Numberbullet2"/>
              <w:ind w:left="459"/>
              <w:cnfStyle w:val="000000000000" w:firstRow="0" w:lastRow="0" w:firstColumn="0" w:lastColumn="0" w:oddVBand="0" w:evenVBand="0" w:oddHBand="0" w:evenHBand="0" w:firstRowFirstColumn="0" w:firstRowLastColumn="0" w:lastRowFirstColumn="0" w:lastRowLastColumn="0"/>
            </w:pPr>
            <w:proofErr w:type="gramStart"/>
            <w:r w:rsidRPr="00E501DC">
              <w:t>a</w:t>
            </w:r>
            <w:proofErr w:type="gramEnd"/>
            <w:r w:rsidRPr="00E501DC">
              <w:t xml:space="preserve"> fixed combination of active substances that have not previously been included in the ARTG as that fixed combination.</w:t>
            </w:r>
          </w:p>
        </w:tc>
      </w:tr>
      <w:tr w:rsidR="008D4DC8" w:rsidRPr="00E501DC" w:rsidTr="0090230D">
        <w:tc>
          <w:tcPr>
            <w:cnfStyle w:val="001000000000" w:firstRow="0" w:lastRow="0" w:firstColumn="1" w:lastColumn="0" w:oddVBand="0" w:evenVBand="0" w:oddHBand="0" w:evenHBand="0" w:firstRowFirstColumn="0" w:firstRowLastColumn="0" w:lastRowFirstColumn="0" w:lastRowLastColumn="0"/>
            <w:tcW w:w="2660" w:type="dxa"/>
          </w:tcPr>
          <w:p w:rsidR="008D4DC8" w:rsidRPr="0090230D" w:rsidRDefault="008D4DC8" w:rsidP="0090230D">
            <w:pPr>
              <w:rPr>
                <w:rFonts w:asciiTheme="minorHAnsi" w:hAnsiTheme="minorHAnsi" w:cstheme="majorHAnsi"/>
                <w:b/>
                <w:szCs w:val="22"/>
              </w:rPr>
            </w:pPr>
            <w:r w:rsidRPr="0090230D">
              <w:rPr>
                <w:rFonts w:asciiTheme="minorHAnsi" w:hAnsiTheme="minorHAnsi" w:cstheme="majorHAnsi"/>
                <w:b/>
                <w:szCs w:val="22"/>
              </w:rPr>
              <w:t>Pharmacovigilance</w:t>
            </w:r>
          </w:p>
        </w:tc>
        <w:tc>
          <w:tcPr>
            <w:tcW w:w="6237" w:type="dxa"/>
          </w:tcPr>
          <w:p w:rsidR="008D4DC8" w:rsidRPr="00E501DC" w:rsidRDefault="008D4DC8" w:rsidP="000D144A">
            <w:pPr>
              <w:cnfStyle w:val="000000000000" w:firstRow="0" w:lastRow="0" w:firstColumn="0" w:lastColumn="0" w:oddVBand="0" w:evenVBand="0" w:oddHBand="0" w:evenHBand="0" w:firstRowFirstColumn="0" w:firstRowLastColumn="0" w:lastRowFirstColumn="0" w:lastRowLastColumn="0"/>
            </w:pPr>
            <w:r w:rsidRPr="00E501DC">
              <w:t>The monitoring and prevention of adverse effects of medicines after t</w:t>
            </w:r>
            <w:r w:rsidR="000D144A">
              <w:t xml:space="preserve">hey </w:t>
            </w:r>
            <w:proofErr w:type="gramStart"/>
            <w:r w:rsidR="000D144A">
              <w:t>have been approved</w:t>
            </w:r>
            <w:proofErr w:type="gramEnd"/>
            <w:r w:rsidR="000D144A">
              <w:t xml:space="preserve"> for use.</w:t>
            </w:r>
          </w:p>
        </w:tc>
      </w:tr>
      <w:tr w:rsidR="008D4DC8" w:rsidRPr="00E501DC" w:rsidTr="0090230D">
        <w:tc>
          <w:tcPr>
            <w:cnfStyle w:val="001000000000" w:firstRow="0" w:lastRow="0" w:firstColumn="1" w:lastColumn="0" w:oddVBand="0" w:evenVBand="0" w:oddHBand="0" w:evenHBand="0" w:firstRowFirstColumn="0" w:firstRowLastColumn="0" w:lastRowFirstColumn="0" w:lastRowLastColumn="0"/>
            <w:tcW w:w="2660" w:type="dxa"/>
          </w:tcPr>
          <w:p w:rsidR="008D4DC8" w:rsidRPr="0090230D" w:rsidRDefault="008D4DC8" w:rsidP="0090230D">
            <w:pPr>
              <w:rPr>
                <w:rFonts w:asciiTheme="minorHAnsi" w:hAnsiTheme="minorHAnsi" w:cstheme="majorHAnsi"/>
                <w:b/>
                <w:szCs w:val="22"/>
              </w:rPr>
            </w:pPr>
            <w:r w:rsidRPr="0090230D">
              <w:rPr>
                <w:rFonts w:asciiTheme="minorHAnsi" w:hAnsiTheme="minorHAnsi" w:cstheme="majorHAnsi"/>
                <w:b/>
                <w:szCs w:val="22"/>
              </w:rPr>
              <w:lastRenderedPageBreak/>
              <w:t>Product Information (PI)</w:t>
            </w:r>
            <w:bookmarkStart w:id="21" w:name="_GoBack"/>
            <w:bookmarkEnd w:id="21"/>
          </w:p>
        </w:tc>
        <w:tc>
          <w:tcPr>
            <w:tcW w:w="6237" w:type="dxa"/>
          </w:tcPr>
          <w:p w:rsidR="008D4DC8" w:rsidRPr="00E501DC" w:rsidRDefault="008D4DC8" w:rsidP="0090230D">
            <w:pP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szCs w:val="22"/>
              </w:rPr>
            </w:pPr>
            <w:r w:rsidRPr="00E501DC">
              <w:rPr>
                <w:rFonts w:asciiTheme="minorHAnsi" w:hAnsiTheme="minorHAnsi" w:cstheme="majorHAnsi"/>
                <w:szCs w:val="22"/>
              </w:rPr>
              <w:t>Product information is defined in s3 of the</w:t>
            </w:r>
            <w:r w:rsidR="003F7341">
              <w:rPr>
                <w:rFonts w:asciiTheme="minorHAnsi" w:hAnsiTheme="minorHAnsi" w:cstheme="majorHAnsi"/>
                <w:szCs w:val="22"/>
              </w:rPr>
              <w:t xml:space="preserve"> </w:t>
            </w:r>
            <w:hyperlink r:id="rId28" w:anchor="acts" w:history="1">
              <w:r w:rsidRPr="00E501DC">
                <w:rPr>
                  <w:rStyle w:val="Hyperlink"/>
                  <w:rFonts w:asciiTheme="minorHAnsi" w:hAnsiTheme="minorHAnsi" w:cstheme="majorHAnsi"/>
                  <w:i/>
                  <w:iCs/>
                  <w:szCs w:val="22"/>
                </w:rPr>
                <w:t>Therapeutic Goods Act 1989</w:t>
              </w:r>
            </w:hyperlink>
            <w:r w:rsidR="003F7341">
              <w:rPr>
                <w:rFonts w:asciiTheme="minorHAnsi" w:hAnsiTheme="minorHAnsi" w:cstheme="majorHAnsi"/>
                <w:szCs w:val="22"/>
              </w:rPr>
              <w:t xml:space="preserve"> </w:t>
            </w:r>
            <w:r w:rsidRPr="00E501DC">
              <w:rPr>
                <w:rFonts w:asciiTheme="minorHAnsi" w:hAnsiTheme="minorHAnsi" w:cstheme="majorHAnsi"/>
                <w:szCs w:val="22"/>
              </w:rPr>
              <w:t>to mean:</w:t>
            </w:r>
          </w:p>
          <w:p w:rsidR="008D4DC8" w:rsidRDefault="008D4DC8" w:rsidP="0004135C">
            <w:pPr>
              <w:cnfStyle w:val="000000000000" w:firstRow="0" w:lastRow="0" w:firstColumn="0" w:lastColumn="0" w:oddVBand="0" w:evenVBand="0" w:oddHBand="0" w:evenHBand="0" w:firstRowFirstColumn="0" w:firstRowLastColumn="0" w:lastRowFirstColumn="0" w:lastRowLastColumn="0"/>
            </w:pPr>
            <w:r w:rsidRPr="00E501DC">
              <w:t>'</w:t>
            </w:r>
            <w:proofErr w:type="gramStart"/>
            <w:r w:rsidRPr="00E501DC">
              <w:t>in</w:t>
            </w:r>
            <w:proofErr w:type="gramEnd"/>
            <w:r w:rsidRPr="00E501DC">
              <w:t xml:space="preserve"> relation to therapeutic goods, information relating to the safe and effective use of the goods, including information regarding the usefulness and limitations of the goods'.</w:t>
            </w:r>
          </w:p>
          <w:p w:rsidR="001A0211" w:rsidRPr="00E501DC" w:rsidRDefault="001A0211" w:rsidP="0090230D">
            <w:pP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szCs w:val="22"/>
              </w:rPr>
            </w:pPr>
            <w:proofErr w:type="gramStart"/>
            <w:r>
              <w:rPr>
                <w:rFonts w:asciiTheme="minorHAnsi" w:hAnsiTheme="minorHAnsi" w:cstheme="majorHAnsi"/>
                <w:szCs w:val="22"/>
              </w:rPr>
              <w:t>The PI is used by health professionals</w:t>
            </w:r>
            <w:proofErr w:type="gramEnd"/>
            <w:r>
              <w:rPr>
                <w:rFonts w:asciiTheme="minorHAnsi" w:hAnsiTheme="minorHAnsi" w:cstheme="majorHAnsi"/>
                <w:szCs w:val="22"/>
              </w:rPr>
              <w:t>.</w:t>
            </w:r>
          </w:p>
        </w:tc>
      </w:tr>
      <w:tr w:rsidR="00875A69" w:rsidRPr="00E501DC" w:rsidTr="0090230D">
        <w:tc>
          <w:tcPr>
            <w:cnfStyle w:val="001000000000" w:firstRow="0" w:lastRow="0" w:firstColumn="1" w:lastColumn="0" w:oddVBand="0" w:evenVBand="0" w:oddHBand="0" w:evenHBand="0" w:firstRowFirstColumn="0" w:firstRowLastColumn="0" w:lastRowFirstColumn="0" w:lastRowLastColumn="0"/>
            <w:tcW w:w="2660" w:type="dxa"/>
          </w:tcPr>
          <w:p w:rsidR="00875A69" w:rsidRPr="0090230D" w:rsidRDefault="00875A69" w:rsidP="000D144A">
            <w:pPr>
              <w:rPr>
                <w:rFonts w:asciiTheme="minorHAnsi" w:hAnsiTheme="minorHAnsi" w:cstheme="majorHAnsi"/>
                <w:b/>
                <w:szCs w:val="22"/>
              </w:rPr>
            </w:pPr>
            <w:bookmarkStart w:id="22" w:name="Provisional"/>
            <w:r w:rsidRPr="0090230D">
              <w:rPr>
                <w:rFonts w:asciiTheme="minorHAnsi" w:hAnsiTheme="minorHAnsi" w:cstheme="majorHAnsi"/>
                <w:b/>
                <w:szCs w:val="22"/>
              </w:rPr>
              <w:t xml:space="preserve">Provisionally </w:t>
            </w:r>
            <w:r w:rsidR="000D144A">
              <w:rPr>
                <w:rFonts w:asciiTheme="minorHAnsi" w:hAnsiTheme="minorHAnsi" w:cstheme="majorHAnsi"/>
                <w:b/>
                <w:szCs w:val="22"/>
              </w:rPr>
              <w:t>r</w:t>
            </w:r>
            <w:r w:rsidRPr="0090230D">
              <w:rPr>
                <w:rFonts w:asciiTheme="minorHAnsi" w:hAnsiTheme="minorHAnsi" w:cstheme="majorHAnsi"/>
                <w:b/>
                <w:szCs w:val="22"/>
              </w:rPr>
              <w:t xml:space="preserve">egistered </w:t>
            </w:r>
            <w:r w:rsidR="000D144A">
              <w:rPr>
                <w:rFonts w:asciiTheme="minorHAnsi" w:hAnsiTheme="minorHAnsi" w:cstheme="majorHAnsi"/>
                <w:b/>
                <w:szCs w:val="22"/>
              </w:rPr>
              <w:t>m</w:t>
            </w:r>
            <w:r w:rsidRPr="0090230D">
              <w:rPr>
                <w:rFonts w:asciiTheme="minorHAnsi" w:hAnsiTheme="minorHAnsi" w:cstheme="majorHAnsi"/>
                <w:b/>
                <w:szCs w:val="22"/>
              </w:rPr>
              <w:t>edicine</w:t>
            </w:r>
            <w:bookmarkEnd w:id="22"/>
          </w:p>
        </w:tc>
        <w:tc>
          <w:tcPr>
            <w:tcW w:w="6237" w:type="dxa"/>
          </w:tcPr>
          <w:p w:rsidR="00875A69" w:rsidRPr="00E501DC" w:rsidRDefault="00875A69" w:rsidP="000D144A">
            <w:pPr>
              <w:cnfStyle w:val="000000000000" w:firstRow="0" w:lastRow="0" w:firstColumn="0" w:lastColumn="0" w:oddVBand="0" w:evenVBand="0" w:oddHBand="0" w:evenHBand="0" w:firstRowFirstColumn="0" w:firstRowLastColumn="0" w:lastRowFirstColumn="0" w:lastRowLastColumn="0"/>
            </w:pPr>
            <w:r w:rsidRPr="00875A69">
              <w:t xml:space="preserve">A provisionally registered medicine is a medicine granted a time-bound registration </w:t>
            </w:r>
            <w:proofErr w:type="gramStart"/>
            <w:r w:rsidRPr="00875A69">
              <w:t>on the basis of</w:t>
            </w:r>
            <w:proofErr w:type="gramEnd"/>
            <w:r w:rsidRPr="00875A69">
              <w:t xml:space="preserve"> early clinical data on efficacy and safety, where the potential benefit of earlier availability of the medicine outweighs the risk that additional data are still required. Given the higher risk, such medicines will be subject to prioritised monitoring by the TGA as well as additional registration requirements such as the submission of confirmatory clinical data on efficacy and safety</w:t>
            </w:r>
            <w:r w:rsidR="00441B9F">
              <w:t xml:space="preserve">. </w:t>
            </w:r>
          </w:p>
        </w:tc>
      </w:tr>
      <w:tr w:rsidR="008D4DC8" w:rsidRPr="00E501DC" w:rsidTr="0090230D">
        <w:tc>
          <w:tcPr>
            <w:cnfStyle w:val="001000000000" w:firstRow="0" w:lastRow="0" w:firstColumn="1" w:lastColumn="0" w:oddVBand="0" w:evenVBand="0" w:oddHBand="0" w:evenHBand="0" w:firstRowFirstColumn="0" w:firstRowLastColumn="0" w:lastRowFirstColumn="0" w:lastRowLastColumn="0"/>
            <w:tcW w:w="2660" w:type="dxa"/>
          </w:tcPr>
          <w:p w:rsidR="008D4DC8" w:rsidRPr="0090230D" w:rsidRDefault="008D4DC8" w:rsidP="000D144A">
            <w:pPr>
              <w:rPr>
                <w:rFonts w:asciiTheme="minorHAnsi" w:hAnsiTheme="minorHAnsi" w:cstheme="majorHAnsi"/>
                <w:b/>
                <w:szCs w:val="22"/>
              </w:rPr>
            </w:pPr>
            <w:r w:rsidRPr="0090230D">
              <w:rPr>
                <w:rFonts w:asciiTheme="minorHAnsi" w:hAnsiTheme="minorHAnsi" w:cstheme="majorHAnsi"/>
                <w:b/>
                <w:szCs w:val="22"/>
              </w:rPr>
              <w:t xml:space="preserve">Registered </w:t>
            </w:r>
            <w:r w:rsidR="000D144A">
              <w:rPr>
                <w:rFonts w:asciiTheme="minorHAnsi" w:hAnsiTheme="minorHAnsi" w:cstheme="majorHAnsi"/>
                <w:b/>
                <w:szCs w:val="22"/>
              </w:rPr>
              <w:t>m</w:t>
            </w:r>
            <w:r w:rsidRPr="0090230D">
              <w:rPr>
                <w:rFonts w:asciiTheme="minorHAnsi" w:hAnsiTheme="minorHAnsi" w:cstheme="majorHAnsi"/>
                <w:b/>
                <w:szCs w:val="22"/>
              </w:rPr>
              <w:t>edicine</w:t>
            </w:r>
          </w:p>
        </w:tc>
        <w:tc>
          <w:tcPr>
            <w:tcW w:w="6237" w:type="dxa"/>
          </w:tcPr>
          <w:p w:rsidR="008D4DC8" w:rsidRPr="00E501DC" w:rsidRDefault="008D4DC8" w:rsidP="000D144A">
            <w:pPr>
              <w:cnfStyle w:val="000000000000" w:firstRow="0" w:lastRow="0" w:firstColumn="0" w:lastColumn="0" w:oddVBand="0" w:evenVBand="0" w:oddHBand="0" w:evenHBand="0" w:firstRowFirstColumn="0" w:firstRowLastColumn="0" w:lastRowFirstColumn="0" w:lastRowLastColumn="0"/>
            </w:pPr>
            <w:r w:rsidRPr="00E501DC">
              <w:t xml:space="preserve">Registered medicines </w:t>
            </w:r>
            <w:proofErr w:type="gramStart"/>
            <w:r w:rsidRPr="00E501DC">
              <w:t>are assessed</w:t>
            </w:r>
            <w:proofErr w:type="gramEnd"/>
            <w:r w:rsidRPr="00E501DC">
              <w:t xml:space="preserve"> by the TGA for quality, safety and efficacy.</w:t>
            </w:r>
          </w:p>
          <w:p w:rsidR="008D4DC8" w:rsidRPr="00E501DC" w:rsidRDefault="008D4DC8" w:rsidP="000D144A">
            <w:pPr>
              <w:pStyle w:val="ListBullet"/>
              <w:cnfStyle w:val="000000000000" w:firstRow="0" w:lastRow="0" w:firstColumn="0" w:lastColumn="0" w:oddVBand="0" w:evenVBand="0" w:oddHBand="0" w:evenHBand="0" w:firstRowFirstColumn="0" w:firstRowLastColumn="0" w:lastRowFirstColumn="0" w:lastRowLastColumn="0"/>
            </w:pPr>
            <w:r w:rsidRPr="00E501DC">
              <w:t>All prescription medicines are registered.</w:t>
            </w:r>
          </w:p>
          <w:p w:rsidR="008D4DC8" w:rsidRPr="00E501DC" w:rsidRDefault="008D4DC8" w:rsidP="000D144A">
            <w:pPr>
              <w:pStyle w:val="ListBullet"/>
              <w:cnfStyle w:val="000000000000" w:firstRow="0" w:lastRow="0" w:firstColumn="0" w:lastColumn="0" w:oddVBand="0" w:evenVBand="0" w:oddHBand="0" w:evenHBand="0" w:firstRowFirstColumn="0" w:firstRowLastColumn="0" w:lastRowFirstColumn="0" w:lastRowLastColumn="0"/>
            </w:pPr>
            <w:r w:rsidRPr="00E501DC">
              <w:t>Most over-the-counter medicines are registered.</w:t>
            </w:r>
          </w:p>
          <w:p w:rsidR="008D4DC8" w:rsidRPr="00E501DC" w:rsidRDefault="008D4DC8" w:rsidP="000D144A">
            <w:pPr>
              <w:pStyle w:val="ListBullet"/>
              <w:cnfStyle w:val="000000000000" w:firstRow="0" w:lastRow="0" w:firstColumn="0" w:lastColumn="0" w:oddVBand="0" w:evenVBand="0" w:oddHBand="0" w:evenHBand="0" w:firstRowFirstColumn="0" w:firstRowLastColumn="0" w:lastRowFirstColumn="0" w:lastRowLastColumn="0"/>
            </w:pPr>
            <w:r w:rsidRPr="00E501DC">
              <w:t>Some complementary medicines are registered.</w:t>
            </w:r>
          </w:p>
        </w:tc>
      </w:tr>
      <w:tr w:rsidR="008D4DC8" w:rsidRPr="00E501DC" w:rsidTr="0090230D">
        <w:tc>
          <w:tcPr>
            <w:cnfStyle w:val="001000000000" w:firstRow="0" w:lastRow="0" w:firstColumn="1" w:lastColumn="0" w:oddVBand="0" w:evenVBand="0" w:oddHBand="0" w:evenHBand="0" w:firstRowFirstColumn="0" w:firstRowLastColumn="0" w:lastRowFirstColumn="0" w:lastRowLastColumn="0"/>
            <w:tcW w:w="2660" w:type="dxa"/>
          </w:tcPr>
          <w:p w:rsidR="008D4DC8" w:rsidRPr="0090230D" w:rsidRDefault="008D4DC8" w:rsidP="0090230D">
            <w:pPr>
              <w:rPr>
                <w:rFonts w:asciiTheme="minorHAnsi" w:hAnsiTheme="minorHAnsi" w:cstheme="majorHAnsi"/>
                <w:b/>
                <w:szCs w:val="22"/>
              </w:rPr>
            </w:pPr>
            <w:r w:rsidRPr="0090230D">
              <w:rPr>
                <w:rFonts w:asciiTheme="minorHAnsi" w:hAnsiTheme="minorHAnsi" w:cstheme="majorHAnsi"/>
                <w:b/>
                <w:szCs w:val="22"/>
              </w:rPr>
              <w:t>Risk Management Plan (RMP)</w:t>
            </w:r>
          </w:p>
        </w:tc>
        <w:tc>
          <w:tcPr>
            <w:tcW w:w="6237" w:type="dxa"/>
          </w:tcPr>
          <w:p w:rsidR="008D4DC8" w:rsidRPr="00E501DC" w:rsidRDefault="008D4DC8" w:rsidP="000D144A">
            <w:pPr>
              <w:cnfStyle w:val="000000000000" w:firstRow="0" w:lastRow="0" w:firstColumn="0" w:lastColumn="0" w:oddVBand="0" w:evenVBand="0" w:oddHBand="0" w:evenHBand="0" w:firstRowFirstColumn="0" w:firstRowLastColumn="0" w:lastRowFirstColumn="0" w:lastRowLastColumn="0"/>
            </w:pPr>
            <w:proofErr w:type="gramStart"/>
            <w:r w:rsidRPr="00E501DC">
              <w:t>Summary of the known important safety information about the therapeutic product (safety specifications).</w:t>
            </w:r>
            <w:proofErr w:type="gramEnd"/>
          </w:p>
          <w:p w:rsidR="008D4DC8" w:rsidRPr="00E501DC" w:rsidRDefault="008D4DC8" w:rsidP="000D144A">
            <w:pPr>
              <w:cnfStyle w:val="000000000000" w:firstRow="0" w:lastRow="0" w:firstColumn="0" w:lastColumn="0" w:oddVBand="0" w:evenVBand="0" w:oddHBand="0" w:evenHBand="0" w:firstRowFirstColumn="0" w:firstRowLastColumn="0" w:lastRowFirstColumn="0" w:lastRowLastColumn="0"/>
            </w:pPr>
            <w:r w:rsidRPr="00E501DC">
              <w:t>Plans to identify and characterise known or potential safety concerns (pharmacovigilance plan) and to minimise any identified or potential safety risk (risk minimisation plan).</w:t>
            </w:r>
          </w:p>
          <w:p w:rsidR="008D4DC8" w:rsidRPr="00E501DC" w:rsidRDefault="008D4DC8" w:rsidP="000D144A">
            <w:pPr>
              <w:cnfStyle w:val="000000000000" w:firstRow="0" w:lastRow="0" w:firstColumn="0" w:lastColumn="0" w:oddVBand="0" w:evenVBand="0" w:oddHBand="0" w:evenHBand="0" w:firstRowFirstColumn="0" w:firstRowLastColumn="0" w:lastRowFirstColumn="0" w:lastRowLastColumn="0"/>
            </w:pPr>
            <w:r w:rsidRPr="00E501DC">
              <w:t>High-risk medicines may require an assessment of benefit.</w:t>
            </w:r>
          </w:p>
        </w:tc>
      </w:tr>
      <w:tr w:rsidR="00C12124" w:rsidRPr="00E501DC" w:rsidTr="0090230D">
        <w:tc>
          <w:tcPr>
            <w:cnfStyle w:val="001000000000" w:firstRow="0" w:lastRow="0" w:firstColumn="1" w:lastColumn="0" w:oddVBand="0" w:evenVBand="0" w:oddHBand="0" w:evenHBand="0" w:firstRowFirstColumn="0" w:firstRowLastColumn="0" w:lastRowFirstColumn="0" w:lastRowLastColumn="0"/>
            <w:tcW w:w="2660" w:type="dxa"/>
          </w:tcPr>
          <w:p w:rsidR="00C12124" w:rsidRPr="0090230D" w:rsidRDefault="00C12124" w:rsidP="000D144A">
            <w:pPr>
              <w:rPr>
                <w:rFonts w:asciiTheme="minorHAnsi" w:hAnsiTheme="minorHAnsi" w:cstheme="majorHAnsi"/>
                <w:b/>
                <w:szCs w:val="22"/>
              </w:rPr>
            </w:pPr>
            <w:bookmarkStart w:id="23" w:name="SAE"/>
            <w:r w:rsidRPr="0090230D">
              <w:rPr>
                <w:rFonts w:asciiTheme="minorHAnsi" w:hAnsiTheme="minorHAnsi" w:cstheme="majorHAnsi"/>
                <w:b/>
                <w:szCs w:val="22"/>
              </w:rPr>
              <w:lastRenderedPageBreak/>
              <w:t xml:space="preserve">Serious </w:t>
            </w:r>
            <w:r w:rsidR="000D144A">
              <w:rPr>
                <w:rFonts w:asciiTheme="minorHAnsi" w:hAnsiTheme="minorHAnsi" w:cstheme="majorHAnsi"/>
                <w:b/>
                <w:szCs w:val="22"/>
              </w:rPr>
              <w:t>a</w:t>
            </w:r>
            <w:r w:rsidRPr="0090230D">
              <w:rPr>
                <w:rFonts w:asciiTheme="minorHAnsi" w:hAnsiTheme="minorHAnsi" w:cstheme="majorHAnsi"/>
                <w:b/>
                <w:szCs w:val="22"/>
              </w:rPr>
              <w:t xml:space="preserve">dverse </w:t>
            </w:r>
            <w:r w:rsidR="000D144A">
              <w:rPr>
                <w:rFonts w:asciiTheme="minorHAnsi" w:hAnsiTheme="minorHAnsi" w:cstheme="majorHAnsi"/>
                <w:b/>
                <w:szCs w:val="22"/>
              </w:rPr>
              <w:t>e</w:t>
            </w:r>
            <w:r w:rsidRPr="0090230D">
              <w:rPr>
                <w:rFonts w:asciiTheme="minorHAnsi" w:hAnsiTheme="minorHAnsi" w:cstheme="majorHAnsi"/>
                <w:b/>
                <w:szCs w:val="22"/>
              </w:rPr>
              <w:t>vent</w:t>
            </w:r>
            <w:bookmarkEnd w:id="23"/>
          </w:p>
        </w:tc>
        <w:tc>
          <w:tcPr>
            <w:tcW w:w="6237" w:type="dxa"/>
          </w:tcPr>
          <w:p w:rsidR="00C12124" w:rsidRPr="00C12124" w:rsidRDefault="00C12124" w:rsidP="000D144A">
            <w:pPr>
              <w:cnfStyle w:val="000000000000" w:firstRow="0" w:lastRow="0" w:firstColumn="0" w:lastColumn="0" w:oddVBand="0" w:evenVBand="0" w:oddHBand="0" w:evenHBand="0" w:firstRowFirstColumn="0" w:firstRowLastColumn="0" w:lastRowFirstColumn="0" w:lastRowLastColumn="0"/>
            </w:pPr>
            <w:r w:rsidRPr="00C12124">
              <w:t>An adverse event for which one or more of the following is true</w:t>
            </w:r>
          </w:p>
          <w:p w:rsidR="00C12124" w:rsidRPr="00181C92" w:rsidRDefault="00C12124" w:rsidP="000D144A">
            <w:pPr>
              <w:pStyle w:val="ListBullet"/>
              <w:cnfStyle w:val="000000000000" w:firstRow="0" w:lastRow="0" w:firstColumn="0" w:lastColumn="0" w:oddVBand="0" w:evenVBand="0" w:oddHBand="0" w:evenHBand="0" w:firstRowFirstColumn="0" w:firstRowLastColumn="0" w:lastRowFirstColumn="0" w:lastRowLastColumn="0"/>
            </w:pPr>
            <w:r w:rsidRPr="00181C92">
              <w:t>results in death</w:t>
            </w:r>
          </w:p>
          <w:p w:rsidR="00C12124" w:rsidRPr="00181C92" w:rsidRDefault="00C12124" w:rsidP="000D144A">
            <w:pPr>
              <w:pStyle w:val="ListBullet"/>
              <w:cnfStyle w:val="000000000000" w:firstRow="0" w:lastRow="0" w:firstColumn="0" w:lastColumn="0" w:oddVBand="0" w:evenVBand="0" w:oddHBand="0" w:evenHBand="0" w:firstRowFirstColumn="0" w:firstRowLastColumn="0" w:lastRowFirstColumn="0" w:lastRowLastColumn="0"/>
            </w:pPr>
            <w:r w:rsidRPr="00181C92">
              <w:t>is life-threatening</w:t>
            </w:r>
          </w:p>
          <w:p w:rsidR="00C12124" w:rsidRPr="00181C92" w:rsidRDefault="00C12124" w:rsidP="000D144A">
            <w:pPr>
              <w:pStyle w:val="ListBullet"/>
              <w:cnfStyle w:val="000000000000" w:firstRow="0" w:lastRow="0" w:firstColumn="0" w:lastColumn="0" w:oddVBand="0" w:evenVBand="0" w:oddHBand="0" w:evenHBand="0" w:firstRowFirstColumn="0" w:firstRowLastColumn="0" w:lastRowFirstColumn="0" w:lastRowLastColumn="0"/>
            </w:pPr>
            <w:r w:rsidRPr="00181C92">
              <w:t>requires inpatient hospitalisation</w:t>
            </w:r>
          </w:p>
          <w:p w:rsidR="00C12124" w:rsidRPr="00181C92" w:rsidRDefault="00C12124" w:rsidP="000D144A">
            <w:pPr>
              <w:pStyle w:val="ListBullet"/>
              <w:cnfStyle w:val="000000000000" w:firstRow="0" w:lastRow="0" w:firstColumn="0" w:lastColumn="0" w:oddVBand="0" w:evenVBand="0" w:oddHBand="0" w:evenHBand="0" w:firstRowFirstColumn="0" w:firstRowLastColumn="0" w:lastRowFirstColumn="0" w:lastRowLastColumn="0"/>
            </w:pPr>
            <w:r w:rsidRPr="00181C92">
              <w:t>prolongs existing hospitalisation</w:t>
            </w:r>
          </w:p>
          <w:p w:rsidR="00C12124" w:rsidRPr="00181C92" w:rsidRDefault="00C12124" w:rsidP="000D144A">
            <w:pPr>
              <w:pStyle w:val="ListBullet"/>
              <w:cnfStyle w:val="000000000000" w:firstRow="0" w:lastRow="0" w:firstColumn="0" w:lastColumn="0" w:oddVBand="0" w:evenVBand="0" w:oddHBand="0" w:evenHBand="0" w:firstRowFirstColumn="0" w:firstRowLastColumn="0" w:lastRowFirstColumn="0" w:lastRowLastColumn="0"/>
            </w:pPr>
            <w:r w:rsidRPr="00181C92">
              <w:t>results in persistent or significant disability or incapacity, including permanent impairment of a body function or permanent damage to a body structure</w:t>
            </w:r>
          </w:p>
          <w:p w:rsidR="00C12124" w:rsidRPr="00181C92" w:rsidRDefault="00C12124" w:rsidP="000D144A">
            <w:pPr>
              <w:pStyle w:val="ListBullet"/>
              <w:cnfStyle w:val="000000000000" w:firstRow="0" w:lastRow="0" w:firstColumn="0" w:lastColumn="0" w:oddVBand="0" w:evenVBand="0" w:oddHBand="0" w:evenHBand="0" w:firstRowFirstColumn="0" w:firstRowLastColumn="0" w:lastRowFirstColumn="0" w:lastRowLastColumn="0"/>
            </w:pPr>
            <w:r w:rsidRPr="00181C92">
              <w:t>necessitates medical or surgical intervention to prevent permanent impairment of a body function or permanent damage to a body structure</w:t>
            </w:r>
          </w:p>
          <w:p w:rsidR="00C12124" w:rsidRPr="00181C92" w:rsidRDefault="00C12124" w:rsidP="000D144A">
            <w:pPr>
              <w:pStyle w:val="ListBullet"/>
              <w:cnfStyle w:val="000000000000" w:firstRow="0" w:lastRow="0" w:firstColumn="0" w:lastColumn="0" w:oddVBand="0" w:evenVBand="0" w:oddHBand="0" w:evenHBand="0" w:firstRowFirstColumn="0" w:firstRowLastColumn="0" w:lastRowFirstColumn="0" w:lastRowLastColumn="0"/>
            </w:pPr>
            <w:r w:rsidRPr="00181C92">
              <w:t>is a congenital anomaly or birth defect</w:t>
            </w:r>
          </w:p>
          <w:p w:rsidR="00C12124" w:rsidRPr="00E501DC" w:rsidRDefault="00C12124" w:rsidP="000D144A">
            <w:pPr>
              <w:pStyle w:val="ListBullet"/>
              <w:cnfStyle w:val="000000000000" w:firstRow="0" w:lastRow="0" w:firstColumn="0" w:lastColumn="0" w:oddVBand="0" w:evenVBand="0" w:oddHBand="0" w:evenHBand="0" w:firstRowFirstColumn="0" w:firstRowLastColumn="0" w:lastRowFirstColumn="0" w:lastRowLastColumn="0"/>
            </w:pPr>
            <w:r w:rsidRPr="00181C92">
              <w:t>is a medically important event</w:t>
            </w:r>
          </w:p>
        </w:tc>
      </w:tr>
      <w:tr w:rsidR="008D4DC8" w:rsidRPr="00E501DC" w:rsidTr="0090230D">
        <w:tc>
          <w:tcPr>
            <w:cnfStyle w:val="001000000000" w:firstRow="0" w:lastRow="0" w:firstColumn="1" w:lastColumn="0" w:oddVBand="0" w:evenVBand="0" w:oddHBand="0" w:evenHBand="0" w:firstRowFirstColumn="0" w:firstRowLastColumn="0" w:lastRowFirstColumn="0" w:lastRowLastColumn="0"/>
            <w:tcW w:w="2660" w:type="dxa"/>
          </w:tcPr>
          <w:p w:rsidR="008D4DC8" w:rsidRPr="0090230D" w:rsidRDefault="008D4DC8" w:rsidP="0090230D">
            <w:pPr>
              <w:rPr>
                <w:rFonts w:asciiTheme="minorHAnsi" w:hAnsiTheme="minorHAnsi" w:cstheme="majorHAnsi"/>
                <w:b/>
                <w:szCs w:val="22"/>
              </w:rPr>
            </w:pPr>
            <w:r w:rsidRPr="0090230D">
              <w:rPr>
                <w:rFonts w:asciiTheme="minorHAnsi" w:hAnsiTheme="minorHAnsi" w:cstheme="majorHAnsi"/>
                <w:b/>
                <w:szCs w:val="22"/>
              </w:rPr>
              <w:t>Sponsor</w:t>
            </w:r>
          </w:p>
        </w:tc>
        <w:tc>
          <w:tcPr>
            <w:tcW w:w="6237" w:type="dxa"/>
          </w:tcPr>
          <w:p w:rsidR="008D4DC8" w:rsidRPr="00E501DC" w:rsidRDefault="008D4DC8" w:rsidP="000D144A">
            <w:pPr>
              <w:cnfStyle w:val="000000000000" w:firstRow="0" w:lastRow="0" w:firstColumn="0" w:lastColumn="0" w:oddVBand="0" w:evenVBand="0" w:oddHBand="0" w:evenHBand="0" w:firstRowFirstColumn="0" w:firstRowLastColumn="0" w:lastRowFirstColumn="0" w:lastRowLastColumn="0"/>
            </w:pPr>
            <w:r w:rsidRPr="00E501DC">
              <w:t>In relation to therapeutic goods, means:</w:t>
            </w:r>
          </w:p>
          <w:p w:rsidR="008D4DC8" w:rsidRPr="000D144A" w:rsidRDefault="008D4DC8" w:rsidP="000D144A">
            <w:pPr>
              <w:pStyle w:val="Numberbullet2"/>
              <w:numPr>
                <w:ilvl w:val="1"/>
                <w:numId w:val="10"/>
              </w:numPr>
              <w:ind w:left="459"/>
              <w:cnfStyle w:val="000000000000" w:firstRow="0" w:lastRow="0" w:firstColumn="0" w:lastColumn="0" w:oddVBand="0" w:evenVBand="0" w:oddHBand="0" w:evenHBand="0" w:firstRowFirstColumn="0" w:firstRowLastColumn="0" w:lastRowFirstColumn="0" w:lastRowLastColumn="0"/>
            </w:pPr>
            <w:r w:rsidRPr="000D144A">
              <w:t>a person who exports, or arranges the exportation of, the goods from Australia; or</w:t>
            </w:r>
          </w:p>
          <w:p w:rsidR="008D4DC8" w:rsidRPr="00E501DC" w:rsidRDefault="008D4DC8" w:rsidP="000D144A">
            <w:pPr>
              <w:pStyle w:val="Numberbullet2"/>
              <w:ind w:left="459"/>
              <w:cnfStyle w:val="000000000000" w:firstRow="0" w:lastRow="0" w:firstColumn="0" w:lastColumn="0" w:oddVBand="0" w:evenVBand="0" w:oddHBand="0" w:evenHBand="0" w:firstRowFirstColumn="0" w:firstRowLastColumn="0" w:lastRowFirstColumn="0" w:lastRowLastColumn="0"/>
            </w:pPr>
            <w:r w:rsidRPr="00E501DC">
              <w:t>a person who imports, or arranges the importation of, the goods into Australia; or</w:t>
            </w:r>
          </w:p>
          <w:p w:rsidR="008D4DC8" w:rsidRPr="00E501DC" w:rsidRDefault="008D4DC8" w:rsidP="000D144A">
            <w:pPr>
              <w:pStyle w:val="Numberbullet2"/>
              <w:ind w:left="459"/>
              <w:cnfStyle w:val="000000000000" w:firstRow="0" w:lastRow="0" w:firstColumn="0" w:lastColumn="0" w:oddVBand="0" w:evenVBand="0" w:oddHBand="0" w:evenHBand="0" w:firstRowFirstColumn="0" w:firstRowLastColumn="0" w:lastRowFirstColumn="0" w:lastRowLastColumn="0"/>
            </w:pPr>
            <w:proofErr w:type="gramStart"/>
            <w:r w:rsidRPr="00E501DC">
              <w:t>a</w:t>
            </w:r>
            <w:proofErr w:type="gramEnd"/>
            <w:r w:rsidRPr="00E501DC">
              <w:t xml:space="preserve"> person who, in Australia, manufactures the goods, or arranges for another person to manufacture the goods, for supply (whether in Australia or elsewhere).</w:t>
            </w:r>
          </w:p>
        </w:tc>
      </w:tr>
    </w:tbl>
    <w:p w:rsidR="00484102" w:rsidRPr="00E501DC" w:rsidRDefault="00484102">
      <w:pPr>
        <w:spacing w:before="0" w:after="0" w:line="240" w:lineRule="auto"/>
        <w:rPr>
          <w:rFonts w:asciiTheme="minorHAnsi" w:eastAsia="Times New Roman" w:hAnsiTheme="minorHAnsi"/>
          <w:b/>
          <w:bCs/>
          <w:szCs w:val="22"/>
        </w:rPr>
      </w:pPr>
      <w:r w:rsidRPr="00E501DC">
        <w:rPr>
          <w:rFonts w:asciiTheme="minorHAnsi" w:hAnsiTheme="minorHAnsi"/>
          <w:szCs w:val="22"/>
        </w:rPr>
        <w:br w:type="page"/>
      </w:r>
    </w:p>
    <w:p w:rsidR="003E3D34" w:rsidRPr="009401F6" w:rsidRDefault="003E3D34" w:rsidP="00F8404D">
      <w:pPr>
        <w:sectPr w:rsidR="003E3D34" w:rsidRPr="009401F6" w:rsidSect="00D73BFA">
          <w:headerReference w:type="default" r:id="rId29"/>
          <w:footerReference w:type="default" r:id="rId30"/>
          <w:headerReference w:type="first" r:id="rId31"/>
          <w:pgSz w:w="11906" w:h="16838" w:code="9"/>
          <w:pgMar w:top="1530" w:right="1418" w:bottom="1361" w:left="1418" w:header="998" w:footer="283" w:gutter="0"/>
          <w:cols w:space="708"/>
          <w:titlePg/>
          <w:docGrid w:linePitch="360"/>
        </w:sectPr>
      </w:pPr>
    </w:p>
    <w:tbl>
      <w:tblPr>
        <w:tblW w:w="9145" w:type="dxa"/>
        <w:jc w:val="center"/>
        <w:tblInd w:w="-284" w:type="dxa"/>
        <w:tblLayout w:type="fixed"/>
        <w:tblCellMar>
          <w:left w:w="0" w:type="dxa"/>
          <w:right w:w="0" w:type="dxa"/>
        </w:tblCellMar>
        <w:tblLook w:val="04A0" w:firstRow="1" w:lastRow="0" w:firstColumn="1" w:lastColumn="0" w:noHBand="0" w:noVBand="1"/>
      </w:tblPr>
      <w:tblGrid>
        <w:gridCol w:w="9145"/>
      </w:tblGrid>
      <w:tr w:rsidR="00F8404D" w:rsidRPr="009401F6" w:rsidTr="008E352F">
        <w:trPr>
          <w:trHeight w:hRule="exact" w:val="565"/>
          <w:jc w:val="center"/>
        </w:trPr>
        <w:tc>
          <w:tcPr>
            <w:tcW w:w="9145" w:type="dxa"/>
          </w:tcPr>
          <w:p w:rsidR="00F8404D" w:rsidRPr="009401F6" w:rsidRDefault="00F8404D" w:rsidP="008E352F">
            <w:pPr>
              <w:pStyle w:val="TGASignoff"/>
            </w:pPr>
            <w:r w:rsidRPr="009401F6">
              <w:lastRenderedPageBreak/>
              <w:t>Therapeutic Goods Administration</w:t>
            </w:r>
          </w:p>
        </w:tc>
      </w:tr>
      <w:tr w:rsidR="00F8404D" w:rsidRPr="009401F6" w:rsidTr="008E352F">
        <w:trPr>
          <w:trHeight w:val="963"/>
          <w:jc w:val="center"/>
        </w:trPr>
        <w:tc>
          <w:tcPr>
            <w:tcW w:w="9145" w:type="dxa"/>
            <w:tcMar>
              <w:top w:w="28" w:type="dxa"/>
            </w:tcMar>
          </w:tcPr>
          <w:p w:rsidR="00F8404D" w:rsidRPr="009401F6" w:rsidRDefault="00F8404D" w:rsidP="008E352F">
            <w:pPr>
              <w:pStyle w:val="Address"/>
              <w:jc w:val="center"/>
            </w:pPr>
            <w:r w:rsidRPr="009401F6">
              <w:t>PO Box 100 Woden ACT 2606 Australia</w:t>
            </w:r>
          </w:p>
          <w:p w:rsidR="00F8404D" w:rsidRPr="009401F6" w:rsidRDefault="00F8404D" w:rsidP="008E352F">
            <w:pPr>
              <w:pStyle w:val="Address"/>
              <w:jc w:val="center"/>
            </w:pPr>
            <w:r w:rsidRPr="009401F6">
              <w:t xml:space="preserve">Email: </w:t>
            </w:r>
            <w:hyperlink r:id="rId32" w:history="1">
              <w:r w:rsidRPr="009401F6">
                <w:rPr>
                  <w:rStyle w:val="Hyperlink"/>
                </w:rPr>
                <w:t>info@tga.gov.au</w:t>
              </w:r>
            </w:hyperlink>
            <w:r w:rsidRPr="009401F6">
              <w:t xml:space="preserve">  Pho</w:t>
            </w:r>
            <w:r w:rsidR="00532F81">
              <w:t>ne: 1800 020 653  Fax: 02 6232 1</w:t>
            </w:r>
            <w:r w:rsidRPr="009401F6">
              <w:t>605</w:t>
            </w:r>
          </w:p>
          <w:p w:rsidR="00F8404D" w:rsidRPr="009401F6" w:rsidRDefault="00FB4BB5" w:rsidP="008E352F">
            <w:pPr>
              <w:pStyle w:val="Address"/>
              <w:spacing w:line="260" w:lineRule="atLeast"/>
              <w:jc w:val="center"/>
              <w:rPr>
                <w:rStyle w:val="Hyperlink"/>
                <w:b/>
              </w:rPr>
            </w:pPr>
            <w:hyperlink r:id="rId33" w:history="1">
              <w:r w:rsidR="009401F6" w:rsidRPr="009401F6">
                <w:rPr>
                  <w:rStyle w:val="Hyperlink"/>
                  <w:b/>
                </w:rPr>
                <w:t>https://www.tga.gov.au</w:t>
              </w:r>
            </w:hyperlink>
          </w:p>
        </w:tc>
      </w:tr>
      <w:tr w:rsidR="00F8404D" w:rsidRPr="009401F6" w:rsidTr="008E352F">
        <w:trPr>
          <w:trHeight w:val="251"/>
          <w:jc w:val="center"/>
        </w:trPr>
        <w:tc>
          <w:tcPr>
            <w:tcW w:w="9145" w:type="dxa"/>
            <w:tcMar>
              <w:top w:w="28" w:type="dxa"/>
            </w:tcMar>
          </w:tcPr>
          <w:p w:rsidR="00F8404D" w:rsidRPr="009401F6" w:rsidRDefault="00F8404D" w:rsidP="00735A2D">
            <w:pPr>
              <w:pStyle w:val="Address"/>
              <w:jc w:val="center"/>
            </w:pPr>
            <w:r w:rsidRPr="009401F6">
              <w:t>Reference #</w:t>
            </w:r>
            <w:r w:rsidR="00735A2D">
              <w:t xml:space="preserve"> </w:t>
            </w:r>
            <w:r w:rsidR="00735A2D" w:rsidRPr="00735A2D">
              <w:t>R16/805152</w:t>
            </w:r>
          </w:p>
        </w:tc>
      </w:tr>
    </w:tbl>
    <w:p w:rsidR="0084580B" w:rsidRPr="009401F6" w:rsidRDefault="0084580B" w:rsidP="00F8404D">
      <w:pPr>
        <w:pStyle w:val="Footer"/>
      </w:pPr>
    </w:p>
    <w:sectPr w:rsidR="0084580B" w:rsidRPr="009401F6" w:rsidSect="00D73BFA">
      <w:headerReference w:type="first" r:id="rId34"/>
      <w:footerReference w:type="first" r:id="rId35"/>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44A" w:rsidRDefault="000D144A" w:rsidP="00C40A36">
      <w:pPr>
        <w:spacing w:after="0"/>
      </w:pPr>
      <w:r>
        <w:separator/>
      </w:r>
    </w:p>
    <w:p w:rsidR="000D144A" w:rsidRDefault="000D144A"/>
  </w:endnote>
  <w:endnote w:type="continuationSeparator" w:id="0">
    <w:p w:rsidR="000D144A" w:rsidRDefault="000D144A" w:rsidP="00C40A36">
      <w:pPr>
        <w:spacing w:after="0"/>
      </w:pPr>
      <w:r>
        <w:continuationSeparator/>
      </w:r>
    </w:p>
    <w:p w:rsidR="000D144A" w:rsidRDefault="000D14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44A" w:rsidRDefault="000D144A"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0D144A" w:rsidRPr="00257138" w:rsidTr="00A3654F">
      <w:trPr>
        <w:trHeight w:val="423"/>
      </w:trPr>
      <w:tc>
        <w:tcPr>
          <w:tcW w:w="4360" w:type="dxa"/>
          <w:tcBorders>
            <w:top w:val="single" w:sz="4" w:space="0" w:color="auto"/>
          </w:tcBorders>
        </w:tcPr>
        <w:p w:rsidR="000D144A" w:rsidRDefault="000D144A" w:rsidP="008D4740">
          <w:pPr>
            <w:pStyle w:val="Footer"/>
          </w:pPr>
        </w:p>
        <w:p w:rsidR="000D144A" w:rsidRPr="00257138" w:rsidRDefault="000D144A"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rsidR="000D144A" w:rsidRDefault="000D144A" w:rsidP="008D4740">
              <w:pPr>
                <w:pStyle w:val="Footer"/>
                <w:jc w:val="right"/>
              </w:pPr>
            </w:p>
            <w:p w:rsidR="000D144A" w:rsidRPr="00257138" w:rsidRDefault="000D144A" w:rsidP="008D4740">
              <w:pPr>
                <w:pStyle w:val="Footer"/>
                <w:jc w:val="right"/>
              </w:pPr>
              <w:r w:rsidRPr="00257138">
                <w:t xml:space="preserve">Page </w:t>
              </w:r>
              <w:r>
                <w:fldChar w:fldCharType="begin"/>
              </w:r>
              <w:r>
                <w:instrText xml:space="preserve"> PAGE </w:instrText>
              </w:r>
              <w:r>
                <w:fldChar w:fldCharType="separate"/>
              </w:r>
              <w:r>
                <w:rPr>
                  <w:noProof/>
                </w:rPr>
                <w:t>4</w:t>
              </w:r>
              <w:r>
                <w:rPr>
                  <w:noProof/>
                </w:rPr>
                <w:fldChar w:fldCharType="end"/>
              </w:r>
              <w:r w:rsidRPr="00257138">
                <w:t xml:space="preserve"> of </w:t>
              </w:r>
              <w:r w:rsidR="00FB4BB5">
                <w:fldChar w:fldCharType="begin"/>
              </w:r>
              <w:r w:rsidR="00FB4BB5">
                <w:instrText xml:space="preserve"> NUMPAGES  </w:instrText>
              </w:r>
              <w:r w:rsidR="00FB4BB5">
                <w:fldChar w:fldCharType="separate"/>
              </w:r>
              <w:r w:rsidR="003B056A">
                <w:rPr>
                  <w:noProof/>
                </w:rPr>
                <w:t>1</w:t>
              </w:r>
              <w:r w:rsidR="00FB4BB5">
                <w:rPr>
                  <w:noProof/>
                </w:rPr>
                <w:fldChar w:fldCharType="end"/>
              </w:r>
            </w:p>
          </w:sdtContent>
        </w:sdt>
      </w:tc>
    </w:tr>
    <w:tr w:rsidR="000D144A" w:rsidRPr="00257138" w:rsidTr="00A3654F">
      <w:trPr>
        <w:trHeight w:val="263"/>
      </w:trPr>
      <w:tc>
        <w:tcPr>
          <w:tcW w:w="4360" w:type="dxa"/>
        </w:tcPr>
        <w:p w:rsidR="000D144A" w:rsidRPr="00257138" w:rsidRDefault="000D144A" w:rsidP="008D4740">
          <w:pPr>
            <w:pStyle w:val="Footer"/>
          </w:pPr>
          <w:r w:rsidRPr="00257138">
            <w:t xml:space="preserve">V1.0 </w:t>
          </w:r>
          <w:r>
            <w:t>Month</w:t>
          </w:r>
          <w:r w:rsidRPr="00257138">
            <w:t xml:space="preserve"> 201</w:t>
          </w:r>
          <w:r>
            <w:t>2</w:t>
          </w:r>
        </w:p>
      </w:tc>
      <w:tc>
        <w:tcPr>
          <w:tcW w:w="4360" w:type="dxa"/>
        </w:tcPr>
        <w:p w:rsidR="000D144A" w:rsidRPr="00257138" w:rsidRDefault="000D144A" w:rsidP="008D4740">
          <w:pPr>
            <w:pStyle w:val="Footer"/>
            <w:jc w:val="right"/>
          </w:pPr>
        </w:p>
      </w:tc>
    </w:tr>
  </w:tbl>
  <w:p w:rsidR="000D144A" w:rsidRPr="00826007" w:rsidRDefault="000D144A" w:rsidP="00A3654F">
    <w:pPr>
      <w:pStyle w:val="Footer"/>
      <w:tabs>
        <w:tab w:val="left" w:pos="7620"/>
        <w:tab w:val="right" w:pos="850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44A" w:rsidRDefault="000D144A" w:rsidP="00FF7B50">
    <w:pPr>
      <w:pStyle w:val="Footer"/>
      <w:ind w:left="-1757" w:right="-2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241"/>
    </w:tblGrid>
    <w:tr w:rsidR="000D144A" w:rsidRPr="00257138" w:rsidTr="00EE1482">
      <w:trPr>
        <w:trHeight w:val="423"/>
      </w:trPr>
      <w:tc>
        <w:tcPr>
          <w:tcW w:w="7479" w:type="dxa"/>
        </w:tcPr>
        <w:p w:rsidR="000D144A" w:rsidRPr="00257138" w:rsidRDefault="00454A11" w:rsidP="00454A11">
          <w:pPr>
            <w:pStyle w:val="Footer"/>
            <w:tabs>
              <w:tab w:val="left" w:pos="7620"/>
              <w:tab w:val="right" w:pos="8504"/>
            </w:tabs>
          </w:pPr>
          <w:r w:rsidRPr="00454A11">
            <w:t>Strengthening monitoring of medicines in Australia - Enhanced medicines vigilance</w:t>
          </w:r>
          <w:r>
            <w:br/>
            <w:t>V1.0 March 2017</w:t>
          </w:r>
        </w:p>
      </w:tc>
      <w:tc>
        <w:tcPr>
          <w:tcW w:w="1241" w:type="dxa"/>
        </w:tcPr>
        <w:sdt>
          <w:sdtPr>
            <w:id w:val="-1349558392"/>
            <w:docPartObj>
              <w:docPartGallery w:val="Page Numbers (Top of Page)"/>
              <w:docPartUnique/>
            </w:docPartObj>
          </w:sdtPr>
          <w:sdtEndPr/>
          <w:sdtContent>
            <w:p w:rsidR="000D144A" w:rsidRPr="00257138" w:rsidRDefault="000D144A" w:rsidP="001A4682">
              <w:pPr>
                <w:pStyle w:val="Footer"/>
                <w:spacing w:before="120"/>
                <w:jc w:val="right"/>
              </w:pPr>
              <w:r w:rsidRPr="00257138">
                <w:t xml:space="preserve">Page </w:t>
              </w:r>
              <w:r>
                <w:fldChar w:fldCharType="begin"/>
              </w:r>
              <w:r>
                <w:instrText xml:space="preserve"> PAGE </w:instrText>
              </w:r>
              <w:r>
                <w:fldChar w:fldCharType="separate"/>
              </w:r>
              <w:r w:rsidR="00FB4BB5">
                <w:rPr>
                  <w:noProof/>
                </w:rPr>
                <w:t>16</w:t>
              </w:r>
              <w:r>
                <w:rPr>
                  <w:noProof/>
                </w:rPr>
                <w:fldChar w:fldCharType="end"/>
              </w:r>
              <w:r w:rsidRPr="00257138">
                <w:t xml:space="preserve"> of </w:t>
              </w:r>
              <w:r w:rsidR="00FB4BB5">
                <w:fldChar w:fldCharType="begin"/>
              </w:r>
              <w:r w:rsidR="00FB4BB5">
                <w:instrText xml:space="preserve"> NUMPAGES  </w:instrText>
              </w:r>
              <w:r w:rsidR="00FB4BB5">
                <w:fldChar w:fldCharType="separate"/>
              </w:r>
              <w:r w:rsidR="00FB4BB5">
                <w:rPr>
                  <w:noProof/>
                </w:rPr>
                <w:t>18</w:t>
              </w:r>
              <w:r w:rsidR="00FB4BB5">
                <w:rPr>
                  <w:noProof/>
                </w:rPr>
                <w:fldChar w:fldCharType="end"/>
              </w:r>
            </w:p>
          </w:sdtContent>
        </w:sdt>
      </w:tc>
    </w:tr>
  </w:tbl>
  <w:p w:rsidR="00454A11" w:rsidRDefault="00454A1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44A" w:rsidRPr="00F8404D" w:rsidRDefault="000D144A" w:rsidP="00F84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44A" w:rsidRDefault="000D144A" w:rsidP="00506B33">
      <w:pPr>
        <w:spacing w:after="0"/>
      </w:pPr>
      <w:r>
        <w:separator/>
      </w:r>
    </w:p>
  </w:footnote>
  <w:footnote w:type="continuationSeparator" w:id="0">
    <w:p w:rsidR="000D144A" w:rsidRDefault="000D144A" w:rsidP="00C40A36">
      <w:pPr>
        <w:spacing w:after="0"/>
      </w:pPr>
      <w:r>
        <w:continuationSeparator/>
      </w:r>
    </w:p>
    <w:p w:rsidR="000D144A" w:rsidRDefault="000D144A"/>
  </w:footnote>
  <w:footnote w:id="1">
    <w:p w:rsidR="000D144A" w:rsidRPr="008A5742" w:rsidRDefault="000D144A">
      <w:pPr>
        <w:pStyle w:val="FootnoteText"/>
        <w:rPr>
          <w:lang w:val="en-US"/>
        </w:rPr>
      </w:pPr>
      <w:r>
        <w:rPr>
          <w:rStyle w:val="FootnoteReference"/>
        </w:rPr>
        <w:footnoteRef/>
      </w:r>
      <w:r>
        <w:t xml:space="preserve"> &lt;</w:t>
      </w:r>
      <w:hyperlink r:id="rId1" w:history="1">
        <w:r w:rsidRPr="00D379E6">
          <w:rPr>
            <w:rStyle w:val="Hyperlink"/>
          </w:rPr>
          <w:t>http://www.health.gov.au/internet/main/publishing.nsf/Content/Expert-Review-of-Medicines-and-Medical-Devices-Regulation</w:t>
        </w:r>
      </w:hyperlink>
      <w:r>
        <w:t>&gt;</w:t>
      </w:r>
    </w:p>
  </w:footnote>
  <w:footnote w:id="2">
    <w:p w:rsidR="000D144A" w:rsidRPr="00BC372E" w:rsidRDefault="000D144A" w:rsidP="00D05A99">
      <w:pPr>
        <w:pStyle w:val="FootnoteText"/>
      </w:pPr>
      <w:r>
        <w:rPr>
          <w:rStyle w:val="FootnoteReference"/>
        </w:rPr>
        <w:footnoteRef/>
      </w:r>
      <w:r>
        <w:t xml:space="preserve"> </w:t>
      </w:r>
      <w:r w:rsidRPr="00D05A99">
        <w:t>Biological</w:t>
      </w:r>
      <w:r>
        <w:t xml:space="preserve"> in this context means biological medicine, such as a vaccine (except for seasonal flu vaccines) or a medicine derived from plasma (blood).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44A" w:rsidRPr="00920FF4" w:rsidRDefault="000D144A" w:rsidP="00920FF4">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44A" w:rsidRPr="00E32326" w:rsidRDefault="000D144A" w:rsidP="00F202AB">
    <w:r w:rsidRPr="00F3255D">
      <w:rPr>
        <w:noProof/>
        <w:lang w:eastAsia="en-AU"/>
      </w:rPr>
      <w:drawing>
        <wp:anchor distT="0" distB="0" distL="114300" distR="114300" simplePos="0" relativeHeight="251657728" behindDoc="0" locked="0" layoutInCell="1" allowOverlap="1" wp14:anchorId="37149757" wp14:editId="2BFEACFD">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0D144A" w:rsidRPr="00FF7B50" w:rsidTr="008E352F">
      <w:trPr>
        <w:trHeight w:hRule="exact" w:val="8845"/>
      </w:trPr>
      <w:tc>
        <w:tcPr>
          <w:tcW w:w="11964" w:type="dxa"/>
        </w:tcPr>
        <w:p w:rsidR="000D144A" w:rsidRPr="00FF7B50" w:rsidRDefault="000D144A" w:rsidP="00AE0320">
          <w:pPr>
            <w:pStyle w:val="Header"/>
            <w:ind w:left="-57"/>
            <w:jc w:val="left"/>
            <w:rPr>
              <w:noProof/>
              <w:lang w:eastAsia="en-AU"/>
            </w:rPr>
          </w:pPr>
        </w:p>
      </w:tc>
    </w:tr>
  </w:tbl>
  <w:p w:rsidR="000D144A" w:rsidRPr="00E32326" w:rsidRDefault="000D144A" w:rsidP="00F202AB">
    <w:r>
      <w:rPr>
        <w:noProof/>
        <w:lang w:eastAsia="en-AU"/>
      </w:rPr>
      <w:drawing>
        <wp:anchor distT="0" distB="0" distL="114300" distR="114300" simplePos="0" relativeHeight="251656704" behindDoc="0" locked="0" layoutInCell="0" allowOverlap="1" wp14:anchorId="643F2B38" wp14:editId="6669DDDB">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2"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44A" w:rsidRPr="00920FF4" w:rsidRDefault="000D144A" w:rsidP="00920FF4">
    <w:pPr>
      <w:pStyle w:val="Header"/>
    </w:pPr>
    <w:r>
      <w:t>Therapeutic Goods Administration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44A" w:rsidRPr="00920FF4" w:rsidRDefault="000D144A" w:rsidP="001D480A">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44A" w:rsidRPr="009401F6" w:rsidRDefault="000D144A" w:rsidP="0047772E"/>
  <w:p w:rsidR="000D144A" w:rsidRPr="002B0C2E" w:rsidRDefault="000D144A" w:rsidP="002B0C2E">
    <w:pPr>
      <w:pStyle w:val="HeaderNo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9F4C2CE"/>
    <w:lvl w:ilvl="0">
      <w:start w:val="1"/>
      <w:numFmt w:val="bullet"/>
      <w:lvlText w:val=""/>
      <w:lvlJc w:val="left"/>
      <w:pPr>
        <w:tabs>
          <w:tab w:val="num" w:pos="360"/>
        </w:tabs>
        <w:ind w:left="360" w:hanging="360"/>
      </w:pPr>
      <w:rPr>
        <w:rFonts w:ascii="Symbol" w:hAnsi="Symbol" w:hint="default"/>
      </w:rPr>
    </w:lvl>
  </w:abstractNum>
  <w:abstractNum w:abstractNumId="1">
    <w:nsid w:val="0AD25C4E"/>
    <w:multiLevelType w:val="multilevel"/>
    <w:tmpl w:val="E92E2D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nsid w:val="50AF7DBE"/>
    <w:multiLevelType w:val="hybridMultilevel"/>
    <w:tmpl w:val="780011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51323FE3"/>
    <w:multiLevelType w:val="hybridMultilevel"/>
    <w:tmpl w:val="2F8A3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F2C4233"/>
    <w:multiLevelType w:val="multilevel"/>
    <w:tmpl w:val="7A8CC0CA"/>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
  </w:num>
  <w:num w:numId="2">
    <w:abstractNumId w:val="2"/>
  </w:num>
  <w:num w:numId="3">
    <w:abstractNumId w:val="4"/>
  </w:num>
  <w:num w:numId="4">
    <w:abstractNumId w:val="6"/>
  </w:num>
  <w:num w:numId="5">
    <w:abstractNumId w:val="1"/>
  </w:num>
  <w:num w:numId="6">
    <w:abstractNumId w:val="3"/>
  </w:num>
  <w:num w:numId="7">
    <w:abstractNumId w:val="2"/>
  </w:num>
  <w:num w:numId="8">
    <w:abstractNumId w:val="0"/>
  </w:num>
  <w:num w:numId="9">
    <w:abstractNumId w:val="5"/>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78177"/>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A68"/>
    <w:rsid w:val="000016A4"/>
    <w:rsid w:val="00002031"/>
    <w:rsid w:val="00004734"/>
    <w:rsid w:val="00006B22"/>
    <w:rsid w:val="00011AB3"/>
    <w:rsid w:val="0001276A"/>
    <w:rsid w:val="00014788"/>
    <w:rsid w:val="0001635A"/>
    <w:rsid w:val="00020BE2"/>
    <w:rsid w:val="000246AE"/>
    <w:rsid w:val="00025C67"/>
    <w:rsid w:val="0003306D"/>
    <w:rsid w:val="0004135C"/>
    <w:rsid w:val="00046014"/>
    <w:rsid w:val="0005053E"/>
    <w:rsid w:val="00054636"/>
    <w:rsid w:val="00054E0C"/>
    <w:rsid w:val="00055129"/>
    <w:rsid w:val="000554B4"/>
    <w:rsid w:val="0005559E"/>
    <w:rsid w:val="00055FE5"/>
    <w:rsid w:val="00060DB5"/>
    <w:rsid w:val="00061E51"/>
    <w:rsid w:val="00062D7D"/>
    <w:rsid w:val="00063028"/>
    <w:rsid w:val="00064438"/>
    <w:rsid w:val="00070D0A"/>
    <w:rsid w:val="00075EBD"/>
    <w:rsid w:val="00077775"/>
    <w:rsid w:val="000832BE"/>
    <w:rsid w:val="00086458"/>
    <w:rsid w:val="00090471"/>
    <w:rsid w:val="00093E44"/>
    <w:rsid w:val="000944F5"/>
    <w:rsid w:val="00095543"/>
    <w:rsid w:val="000958DF"/>
    <w:rsid w:val="000968BF"/>
    <w:rsid w:val="000A08B3"/>
    <w:rsid w:val="000A0965"/>
    <w:rsid w:val="000A4561"/>
    <w:rsid w:val="000A5491"/>
    <w:rsid w:val="000B0A5D"/>
    <w:rsid w:val="000B3532"/>
    <w:rsid w:val="000B3A75"/>
    <w:rsid w:val="000B4A6A"/>
    <w:rsid w:val="000B6B3E"/>
    <w:rsid w:val="000B7084"/>
    <w:rsid w:val="000C3175"/>
    <w:rsid w:val="000C410F"/>
    <w:rsid w:val="000C59B7"/>
    <w:rsid w:val="000C5A31"/>
    <w:rsid w:val="000C5D6A"/>
    <w:rsid w:val="000C73EE"/>
    <w:rsid w:val="000C7EB3"/>
    <w:rsid w:val="000D0FDC"/>
    <w:rsid w:val="000D144A"/>
    <w:rsid w:val="000D1B30"/>
    <w:rsid w:val="000D391B"/>
    <w:rsid w:val="000D3D6D"/>
    <w:rsid w:val="000D4A63"/>
    <w:rsid w:val="000D4FC7"/>
    <w:rsid w:val="000D57A2"/>
    <w:rsid w:val="000D7961"/>
    <w:rsid w:val="000E3BA3"/>
    <w:rsid w:val="000E46CE"/>
    <w:rsid w:val="000F4869"/>
    <w:rsid w:val="000F5B42"/>
    <w:rsid w:val="000F6E6F"/>
    <w:rsid w:val="001003F2"/>
    <w:rsid w:val="00101B63"/>
    <w:rsid w:val="00103581"/>
    <w:rsid w:val="0010601F"/>
    <w:rsid w:val="00107378"/>
    <w:rsid w:val="00110898"/>
    <w:rsid w:val="00110EA5"/>
    <w:rsid w:val="001119DF"/>
    <w:rsid w:val="00113DC0"/>
    <w:rsid w:val="00115240"/>
    <w:rsid w:val="00117965"/>
    <w:rsid w:val="00124A04"/>
    <w:rsid w:val="00125091"/>
    <w:rsid w:val="00125318"/>
    <w:rsid w:val="001305A2"/>
    <w:rsid w:val="00131851"/>
    <w:rsid w:val="00133238"/>
    <w:rsid w:val="001338F7"/>
    <w:rsid w:val="0013494B"/>
    <w:rsid w:val="00134A7A"/>
    <w:rsid w:val="00135F61"/>
    <w:rsid w:val="00136414"/>
    <w:rsid w:val="00136E92"/>
    <w:rsid w:val="00140FE3"/>
    <w:rsid w:val="0014197B"/>
    <w:rsid w:val="001447CD"/>
    <w:rsid w:val="00146A5A"/>
    <w:rsid w:val="00151510"/>
    <w:rsid w:val="001516B1"/>
    <w:rsid w:val="00151E7D"/>
    <w:rsid w:val="001525B4"/>
    <w:rsid w:val="00155840"/>
    <w:rsid w:val="00156316"/>
    <w:rsid w:val="00160006"/>
    <w:rsid w:val="00161EAC"/>
    <w:rsid w:val="001624A0"/>
    <w:rsid w:val="001633C4"/>
    <w:rsid w:val="00165389"/>
    <w:rsid w:val="00165D4F"/>
    <w:rsid w:val="00170CED"/>
    <w:rsid w:val="0017153C"/>
    <w:rsid w:val="0017177B"/>
    <w:rsid w:val="00172B67"/>
    <w:rsid w:val="0017322B"/>
    <w:rsid w:val="00174C41"/>
    <w:rsid w:val="00175379"/>
    <w:rsid w:val="0017693F"/>
    <w:rsid w:val="0018110E"/>
    <w:rsid w:val="00181684"/>
    <w:rsid w:val="00181C92"/>
    <w:rsid w:val="0018375F"/>
    <w:rsid w:val="001843C6"/>
    <w:rsid w:val="001850E0"/>
    <w:rsid w:val="00185A47"/>
    <w:rsid w:val="0018693C"/>
    <w:rsid w:val="0018792D"/>
    <w:rsid w:val="001918EC"/>
    <w:rsid w:val="0019255A"/>
    <w:rsid w:val="00193968"/>
    <w:rsid w:val="00194E31"/>
    <w:rsid w:val="00195E6F"/>
    <w:rsid w:val="00196331"/>
    <w:rsid w:val="001A0211"/>
    <w:rsid w:val="001A070D"/>
    <w:rsid w:val="001A45DA"/>
    <w:rsid w:val="001A4682"/>
    <w:rsid w:val="001A4A9D"/>
    <w:rsid w:val="001A517D"/>
    <w:rsid w:val="001A525F"/>
    <w:rsid w:val="001A5306"/>
    <w:rsid w:val="001A69AB"/>
    <w:rsid w:val="001B09F9"/>
    <w:rsid w:val="001B11AC"/>
    <w:rsid w:val="001B1B1C"/>
    <w:rsid w:val="001B61F8"/>
    <w:rsid w:val="001B6448"/>
    <w:rsid w:val="001C0DF7"/>
    <w:rsid w:val="001C228E"/>
    <w:rsid w:val="001C6F55"/>
    <w:rsid w:val="001C7CCF"/>
    <w:rsid w:val="001D00D8"/>
    <w:rsid w:val="001D3F11"/>
    <w:rsid w:val="001D480A"/>
    <w:rsid w:val="001D4A3B"/>
    <w:rsid w:val="001D7DB5"/>
    <w:rsid w:val="001E07CF"/>
    <w:rsid w:val="001E474B"/>
    <w:rsid w:val="001E56EF"/>
    <w:rsid w:val="001E59F1"/>
    <w:rsid w:val="001E635A"/>
    <w:rsid w:val="001E6685"/>
    <w:rsid w:val="001F08FB"/>
    <w:rsid w:val="001F3EBA"/>
    <w:rsid w:val="001F49EB"/>
    <w:rsid w:val="001F62DD"/>
    <w:rsid w:val="001F6CBA"/>
    <w:rsid w:val="001F78B9"/>
    <w:rsid w:val="00201D4E"/>
    <w:rsid w:val="00207515"/>
    <w:rsid w:val="00211C7B"/>
    <w:rsid w:val="0021287A"/>
    <w:rsid w:val="00214C4C"/>
    <w:rsid w:val="002160A9"/>
    <w:rsid w:val="00220B8A"/>
    <w:rsid w:val="00221A9D"/>
    <w:rsid w:val="0022241B"/>
    <w:rsid w:val="002232C2"/>
    <w:rsid w:val="002257F3"/>
    <w:rsid w:val="002302EC"/>
    <w:rsid w:val="002303B0"/>
    <w:rsid w:val="00230F5F"/>
    <w:rsid w:val="002314E8"/>
    <w:rsid w:val="00233456"/>
    <w:rsid w:val="0023397F"/>
    <w:rsid w:val="002339A5"/>
    <w:rsid w:val="002346E5"/>
    <w:rsid w:val="002452E7"/>
    <w:rsid w:val="00245F98"/>
    <w:rsid w:val="00246194"/>
    <w:rsid w:val="0025338B"/>
    <w:rsid w:val="002538AE"/>
    <w:rsid w:val="002541E7"/>
    <w:rsid w:val="0025524E"/>
    <w:rsid w:val="00257138"/>
    <w:rsid w:val="0025750D"/>
    <w:rsid w:val="00257848"/>
    <w:rsid w:val="00260847"/>
    <w:rsid w:val="00261ACF"/>
    <w:rsid w:val="002669F8"/>
    <w:rsid w:val="0027084A"/>
    <w:rsid w:val="00271109"/>
    <w:rsid w:val="0027181F"/>
    <w:rsid w:val="00274E66"/>
    <w:rsid w:val="00275558"/>
    <w:rsid w:val="00276DEB"/>
    <w:rsid w:val="00277EF5"/>
    <w:rsid w:val="00281509"/>
    <w:rsid w:val="00281564"/>
    <w:rsid w:val="00286434"/>
    <w:rsid w:val="00286A68"/>
    <w:rsid w:val="00286C59"/>
    <w:rsid w:val="00291752"/>
    <w:rsid w:val="002936F5"/>
    <w:rsid w:val="002942D1"/>
    <w:rsid w:val="002971F9"/>
    <w:rsid w:val="002A0556"/>
    <w:rsid w:val="002A23E4"/>
    <w:rsid w:val="002B031B"/>
    <w:rsid w:val="002B0C2E"/>
    <w:rsid w:val="002B1488"/>
    <w:rsid w:val="002B1638"/>
    <w:rsid w:val="002C1D7D"/>
    <w:rsid w:val="002C2511"/>
    <w:rsid w:val="002C393D"/>
    <w:rsid w:val="002C3B22"/>
    <w:rsid w:val="002C5886"/>
    <w:rsid w:val="002C59B6"/>
    <w:rsid w:val="002C7CE7"/>
    <w:rsid w:val="002D1EDF"/>
    <w:rsid w:val="002D2B69"/>
    <w:rsid w:val="002D45E0"/>
    <w:rsid w:val="002D4DD4"/>
    <w:rsid w:val="002D63C4"/>
    <w:rsid w:val="002E43CA"/>
    <w:rsid w:val="002E43D5"/>
    <w:rsid w:val="002E4C9A"/>
    <w:rsid w:val="002E7472"/>
    <w:rsid w:val="002E761C"/>
    <w:rsid w:val="002F11F8"/>
    <w:rsid w:val="002F1B3F"/>
    <w:rsid w:val="002F220E"/>
    <w:rsid w:val="002F3F56"/>
    <w:rsid w:val="002F44B5"/>
    <w:rsid w:val="002F4E20"/>
    <w:rsid w:val="00311AC0"/>
    <w:rsid w:val="0031710E"/>
    <w:rsid w:val="00321EDD"/>
    <w:rsid w:val="0032222F"/>
    <w:rsid w:val="00322BA7"/>
    <w:rsid w:val="00330279"/>
    <w:rsid w:val="003304A6"/>
    <w:rsid w:val="00330E6C"/>
    <w:rsid w:val="00331DBB"/>
    <w:rsid w:val="00332680"/>
    <w:rsid w:val="00332987"/>
    <w:rsid w:val="00332EAF"/>
    <w:rsid w:val="003418BF"/>
    <w:rsid w:val="003521E8"/>
    <w:rsid w:val="00357E05"/>
    <w:rsid w:val="00365DDD"/>
    <w:rsid w:val="003664BF"/>
    <w:rsid w:val="00366FCF"/>
    <w:rsid w:val="00367F27"/>
    <w:rsid w:val="003728F3"/>
    <w:rsid w:val="00372FD2"/>
    <w:rsid w:val="003768C3"/>
    <w:rsid w:val="0038218C"/>
    <w:rsid w:val="003851C2"/>
    <w:rsid w:val="00390900"/>
    <w:rsid w:val="00390D85"/>
    <w:rsid w:val="00392308"/>
    <w:rsid w:val="00392EC4"/>
    <w:rsid w:val="003938CA"/>
    <w:rsid w:val="003A19B2"/>
    <w:rsid w:val="003A3117"/>
    <w:rsid w:val="003A35BD"/>
    <w:rsid w:val="003A66BE"/>
    <w:rsid w:val="003B00C5"/>
    <w:rsid w:val="003B056A"/>
    <w:rsid w:val="003B443E"/>
    <w:rsid w:val="003B5F82"/>
    <w:rsid w:val="003B7E39"/>
    <w:rsid w:val="003C58DC"/>
    <w:rsid w:val="003C64F4"/>
    <w:rsid w:val="003C71AF"/>
    <w:rsid w:val="003C7461"/>
    <w:rsid w:val="003C7A67"/>
    <w:rsid w:val="003D0460"/>
    <w:rsid w:val="003D0CD9"/>
    <w:rsid w:val="003D1793"/>
    <w:rsid w:val="003D5906"/>
    <w:rsid w:val="003D6D70"/>
    <w:rsid w:val="003E3208"/>
    <w:rsid w:val="003E3D34"/>
    <w:rsid w:val="003E473F"/>
    <w:rsid w:val="003E5041"/>
    <w:rsid w:val="003E61A7"/>
    <w:rsid w:val="003E78ED"/>
    <w:rsid w:val="003E7EAA"/>
    <w:rsid w:val="003F0B04"/>
    <w:rsid w:val="003F1C48"/>
    <w:rsid w:val="003F4EA2"/>
    <w:rsid w:val="003F5455"/>
    <w:rsid w:val="003F6540"/>
    <w:rsid w:val="003F7341"/>
    <w:rsid w:val="0040134E"/>
    <w:rsid w:val="0040568C"/>
    <w:rsid w:val="00410839"/>
    <w:rsid w:val="00410E2A"/>
    <w:rsid w:val="004116D5"/>
    <w:rsid w:val="00413157"/>
    <w:rsid w:val="004144E6"/>
    <w:rsid w:val="0041452B"/>
    <w:rsid w:val="004169A8"/>
    <w:rsid w:val="00425DA1"/>
    <w:rsid w:val="00434D30"/>
    <w:rsid w:val="00435D8A"/>
    <w:rsid w:val="00437C21"/>
    <w:rsid w:val="00440A2D"/>
    <w:rsid w:val="00441B9F"/>
    <w:rsid w:val="00442E4E"/>
    <w:rsid w:val="004454BA"/>
    <w:rsid w:val="00447762"/>
    <w:rsid w:val="00453B6F"/>
    <w:rsid w:val="00454A11"/>
    <w:rsid w:val="00455A6F"/>
    <w:rsid w:val="00455B20"/>
    <w:rsid w:val="0045648E"/>
    <w:rsid w:val="004564A7"/>
    <w:rsid w:val="00456B6B"/>
    <w:rsid w:val="004617BF"/>
    <w:rsid w:val="0046211A"/>
    <w:rsid w:val="004634F1"/>
    <w:rsid w:val="00465E90"/>
    <w:rsid w:val="00470DA3"/>
    <w:rsid w:val="00474642"/>
    <w:rsid w:val="0047772E"/>
    <w:rsid w:val="00477BB1"/>
    <w:rsid w:val="00480156"/>
    <w:rsid w:val="004810C1"/>
    <w:rsid w:val="004813F6"/>
    <w:rsid w:val="00482C6D"/>
    <w:rsid w:val="00483A81"/>
    <w:rsid w:val="00483AB5"/>
    <w:rsid w:val="00484102"/>
    <w:rsid w:val="00484299"/>
    <w:rsid w:val="004861B4"/>
    <w:rsid w:val="004923FF"/>
    <w:rsid w:val="00494E60"/>
    <w:rsid w:val="00496BAC"/>
    <w:rsid w:val="00496FFC"/>
    <w:rsid w:val="004A2F0B"/>
    <w:rsid w:val="004A43E5"/>
    <w:rsid w:val="004A4A03"/>
    <w:rsid w:val="004A57CA"/>
    <w:rsid w:val="004B5A6B"/>
    <w:rsid w:val="004B7B76"/>
    <w:rsid w:val="004C0070"/>
    <w:rsid w:val="004C521D"/>
    <w:rsid w:val="004C754C"/>
    <w:rsid w:val="004D05CD"/>
    <w:rsid w:val="004D1F80"/>
    <w:rsid w:val="004D24C7"/>
    <w:rsid w:val="004D35A9"/>
    <w:rsid w:val="004D5176"/>
    <w:rsid w:val="004D51A6"/>
    <w:rsid w:val="004D528D"/>
    <w:rsid w:val="004E0CAC"/>
    <w:rsid w:val="004E1137"/>
    <w:rsid w:val="004E17B0"/>
    <w:rsid w:val="004E2D3D"/>
    <w:rsid w:val="004F0F38"/>
    <w:rsid w:val="004F18C9"/>
    <w:rsid w:val="004F1A46"/>
    <w:rsid w:val="004F4D12"/>
    <w:rsid w:val="00501921"/>
    <w:rsid w:val="0050271A"/>
    <w:rsid w:val="005069C1"/>
    <w:rsid w:val="00506B33"/>
    <w:rsid w:val="00511904"/>
    <w:rsid w:val="00515BFD"/>
    <w:rsid w:val="00517A52"/>
    <w:rsid w:val="00522A0C"/>
    <w:rsid w:val="005243C8"/>
    <w:rsid w:val="00530354"/>
    <w:rsid w:val="00531B11"/>
    <w:rsid w:val="00532F81"/>
    <w:rsid w:val="005371BC"/>
    <w:rsid w:val="005374CF"/>
    <w:rsid w:val="00543203"/>
    <w:rsid w:val="005434C6"/>
    <w:rsid w:val="0054395C"/>
    <w:rsid w:val="00543B39"/>
    <w:rsid w:val="00545648"/>
    <w:rsid w:val="0054583D"/>
    <w:rsid w:val="005477E7"/>
    <w:rsid w:val="00550096"/>
    <w:rsid w:val="00553D65"/>
    <w:rsid w:val="0055532D"/>
    <w:rsid w:val="00557FF9"/>
    <w:rsid w:val="00560BB7"/>
    <w:rsid w:val="00560CD8"/>
    <w:rsid w:val="00564309"/>
    <w:rsid w:val="00566B3D"/>
    <w:rsid w:val="00571363"/>
    <w:rsid w:val="00571B2D"/>
    <w:rsid w:val="00574DE5"/>
    <w:rsid w:val="00576010"/>
    <w:rsid w:val="00576378"/>
    <w:rsid w:val="00577279"/>
    <w:rsid w:val="00577E38"/>
    <w:rsid w:val="00584A5D"/>
    <w:rsid w:val="00585322"/>
    <w:rsid w:val="00592089"/>
    <w:rsid w:val="00593AD1"/>
    <w:rsid w:val="00593EF7"/>
    <w:rsid w:val="00594D03"/>
    <w:rsid w:val="00597877"/>
    <w:rsid w:val="005A1131"/>
    <w:rsid w:val="005A2482"/>
    <w:rsid w:val="005A61CE"/>
    <w:rsid w:val="005A783B"/>
    <w:rsid w:val="005B185A"/>
    <w:rsid w:val="005B5912"/>
    <w:rsid w:val="005B5D73"/>
    <w:rsid w:val="005B6A05"/>
    <w:rsid w:val="005B6BDE"/>
    <w:rsid w:val="005C1F6A"/>
    <w:rsid w:val="005C2B7E"/>
    <w:rsid w:val="005C5570"/>
    <w:rsid w:val="005C79A4"/>
    <w:rsid w:val="005D473B"/>
    <w:rsid w:val="005D4EA1"/>
    <w:rsid w:val="005D5442"/>
    <w:rsid w:val="005D6BC0"/>
    <w:rsid w:val="005E087E"/>
    <w:rsid w:val="005E52F8"/>
    <w:rsid w:val="005E6592"/>
    <w:rsid w:val="005F0F7B"/>
    <w:rsid w:val="005F5979"/>
    <w:rsid w:val="00607559"/>
    <w:rsid w:val="00611B57"/>
    <w:rsid w:val="00617EAC"/>
    <w:rsid w:val="00620B82"/>
    <w:rsid w:val="006239CD"/>
    <w:rsid w:val="006250C6"/>
    <w:rsid w:val="0063079B"/>
    <w:rsid w:val="00640190"/>
    <w:rsid w:val="006405A9"/>
    <w:rsid w:val="00640946"/>
    <w:rsid w:val="00640FC3"/>
    <w:rsid w:val="00642020"/>
    <w:rsid w:val="00647658"/>
    <w:rsid w:val="00650561"/>
    <w:rsid w:val="00651C87"/>
    <w:rsid w:val="006523FC"/>
    <w:rsid w:val="0065337B"/>
    <w:rsid w:val="00653FBF"/>
    <w:rsid w:val="0065419D"/>
    <w:rsid w:val="00655279"/>
    <w:rsid w:val="006553B9"/>
    <w:rsid w:val="006604D8"/>
    <w:rsid w:val="00664A5B"/>
    <w:rsid w:val="00665F8C"/>
    <w:rsid w:val="0066654F"/>
    <w:rsid w:val="00667942"/>
    <w:rsid w:val="00667B4F"/>
    <w:rsid w:val="00667BE6"/>
    <w:rsid w:val="0067056B"/>
    <w:rsid w:val="00673219"/>
    <w:rsid w:val="00673AE1"/>
    <w:rsid w:val="00677FAE"/>
    <w:rsid w:val="00680AE0"/>
    <w:rsid w:val="00680C08"/>
    <w:rsid w:val="00682216"/>
    <w:rsid w:val="00686311"/>
    <w:rsid w:val="0068741A"/>
    <w:rsid w:val="00691723"/>
    <w:rsid w:val="00691D77"/>
    <w:rsid w:val="006931B1"/>
    <w:rsid w:val="00693CDB"/>
    <w:rsid w:val="006952CC"/>
    <w:rsid w:val="006A0A84"/>
    <w:rsid w:val="006A15C0"/>
    <w:rsid w:val="006A1E6A"/>
    <w:rsid w:val="006A1EA3"/>
    <w:rsid w:val="006B188D"/>
    <w:rsid w:val="006B3DC4"/>
    <w:rsid w:val="006C0A37"/>
    <w:rsid w:val="006C1F3B"/>
    <w:rsid w:val="006C33FA"/>
    <w:rsid w:val="006C3E2A"/>
    <w:rsid w:val="006C626D"/>
    <w:rsid w:val="006C642F"/>
    <w:rsid w:val="006C6EDB"/>
    <w:rsid w:val="006C75F0"/>
    <w:rsid w:val="006D039E"/>
    <w:rsid w:val="006D03E5"/>
    <w:rsid w:val="006D0C3B"/>
    <w:rsid w:val="006D1176"/>
    <w:rsid w:val="006D1446"/>
    <w:rsid w:val="006D14A0"/>
    <w:rsid w:val="006D19FB"/>
    <w:rsid w:val="006D1E50"/>
    <w:rsid w:val="006D383E"/>
    <w:rsid w:val="006D5D3E"/>
    <w:rsid w:val="006E08B3"/>
    <w:rsid w:val="006E0FD8"/>
    <w:rsid w:val="006E2069"/>
    <w:rsid w:val="006E57B6"/>
    <w:rsid w:val="006E5AB4"/>
    <w:rsid w:val="006F39EA"/>
    <w:rsid w:val="006F418A"/>
    <w:rsid w:val="006F4389"/>
    <w:rsid w:val="006F572E"/>
    <w:rsid w:val="006F58CE"/>
    <w:rsid w:val="006F59DA"/>
    <w:rsid w:val="006F71D0"/>
    <w:rsid w:val="00701340"/>
    <w:rsid w:val="007046D6"/>
    <w:rsid w:val="00705DB0"/>
    <w:rsid w:val="007062CE"/>
    <w:rsid w:val="00706AFE"/>
    <w:rsid w:val="007142BD"/>
    <w:rsid w:val="007154C8"/>
    <w:rsid w:val="0071664D"/>
    <w:rsid w:val="00716F6D"/>
    <w:rsid w:val="00717085"/>
    <w:rsid w:val="00717DEA"/>
    <w:rsid w:val="00717E5D"/>
    <w:rsid w:val="00725A8B"/>
    <w:rsid w:val="00725C8E"/>
    <w:rsid w:val="00725E84"/>
    <w:rsid w:val="00735A2D"/>
    <w:rsid w:val="007369E7"/>
    <w:rsid w:val="0074066C"/>
    <w:rsid w:val="00742004"/>
    <w:rsid w:val="0074253D"/>
    <w:rsid w:val="007429EA"/>
    <w:rsid w:val="0074429B"/>
    <w:rsid w:val="00744AB9"/>
    <w:rsid w:val="00745F82"/>
    <w:rsid w:val="00746E43"/>
    <w:rsid w:val="007477F8"/>
    <w:rsid w:val="00757079"/>
    <w:rsid w:val="00757B03"/>
    <w:rsid w:val="007615BC"/>
    <w:rsid w:val="00762F05"/>
    <w:rsid w:val="00763336"/>
    <w:rsid w:val="00764EB9"/>
    <w:rsid w:val="007652FF"/>
    <w:rsid w:val="00766F39"/>
    <w:rsid w:val="007674BE"/>
    <w:rsid w:val="007711A3"/>
    <w:rsid w:val="00771329"/>
    <w:rsid w:val="00773EF7"/>
    <w:rsid w:val="00773FDE"/>
    <w:rsid w:val="00774E1D"/>
    <w:rsid w:val="0077675A"/>
    <w:rsid w:val="007771C7"/>
    <w:rsid w:val="00780355"/>
    <w:rsid w:val="00781A1E"/>
    <w:rsid w:val="007825F3"/>
    <w:rsid w:val="00785721"/>
    <w:rsid w:val="007924F3"/>
    <w:rsid w:val="00793A59"/>
    <w:rsid w:val="007A05B5"/>
    <w:rsid w:val="007A2162"/>
    <w:rsid w:val="007A3306"/>
    <w:rsid w:val="007A5942"/>
    <w:rsid w:val="007B27F3"/>
    <w:rsid w:val="007B302B"/>
    <w:rsid w:val="007B43ED"/>
    <w:rsid w:val="007B4BF9"/>
    <w:rsid w:val="007B5EFF"/>
    <w:rsid w:val="007B7B13"/>
    <w:rsid w:val="007C0F3D"/>
    <w:rsid w:val="007C1AF7"/>
    <w:rsid w:val="007C1E12"/>
    <w:rsid w:val="007C1F6B"/>
    <w:rsid w:val="007C2648"/>
    <w:rsid w:val="007C7A6D"/>
    <w:rsid w:val="007C7B5B"/>
    <w:rsid w:val="007D237D"/>
    <w:rsid w:val="007D4634"/>
    <w:rsid w:val="007D50E2"/>
    <w:rsid w:val="007D6A77"/>
    <w:rsid w:val="007E03EA"/>
    <w:rsid w:val="007E5A2E"/>
    <w:rsid w:val="007E7BF8"/>
    <w:rsid w:val="007F14A4"/>
    <w:rsid w:val="007F1718"/>
    <w:rsid w:val="007F2FF0"/>
    <w:rsid w:val="007F3747"/>
    <w:rsid w:val="007F7BE4"/>
    <w:rsid w:val="00810598"/>
    <w:rsid w:val="00810F60"/>
    <w:rsid w:val="00811166"/>
    <w:rsid w:val="00811E61"/>
    <w:rsid w:val="00814492"/>
    <w:rsid w:val="00821776"/>
    <w:rsid w:val="00822CF3"/>
    <w:rsid w:val="00824293"/>
    <w:rsid w:val="00826007"/>
    <w:rsid w:val="00826833"/>
    <w:rsid w:val="008321F5"/>
    <w:rsid w:val="00832369"/>
    <w:rsid w:val="00834660"/>
    <w:rsid w:val="00834C8E"/>
    <w:rsid w:val="00836BC2"/>
    <w:rsid w:val="00844A0E"/>
    <w:rsid w:val="0084580B"/>
    <w:rsid w:val="00845BCA"/>
    <w:rsid w:val="00853C8F"/>
    <w:rsid w:val="0085641B"/>
    <w:rsid w:val="00856E57"/>
    <w:rsid w:val="00857136"/>
    <w:rsid w:val="0085734E"/>
    <w:rsid w:val="00861DC1"/>
    <w:rsid w:val="00862A48"/>
    <w:rsid w:val="00866C6C"/>
    <w:rsid w:val="00870B12"/>
    <w:rsid w:val="008752CE"/>
    <w:rsid w:val="00875A69"/>
    <w:rsid w:val="0088076D"/>
    <w:rsid w:val="008821AA"/>
    <w:rsid w:val="00883503"/>
    <w:rsid w:val="008835E4"/>
    <w:rsid w:val="00884A50"/>
    <w:rsid w:val="00884DB6"/>
    <w:rsid w:val="0088538F"/>
    <w:rsid w:val="008855B8"/>
    <w:rsid w:val="00887808"/>
    <w:rsid w:val="0089299D"/>
    <w:rsid w:val="00893193"/>
    <w:rsid w:val="008949D0"/>
    <w:rsid w:val="008951AE"/>
    <w:rsid w:val="00896018"/>
    <w:rsid w:val="00896E02"/>
    <w:rsid w:val="008A07FF"/>
    <w:rsid w:val="008A09BE"/>
    <w:rsid w:val="008A22D8"/>
    <w:rsid w:val="008A249A"/>
    <w:rsid w:val="008A2B9D"/>
    <w:rsid w:val="008A3513"/>
    <w:rsid w:val="008A3ADF"/>
    <w:rsid w:val="008A503E"/>
    <w:rsid w:val="008A5742"/>
    <w:rsid w:val="008A5E0B"/>
    <w:rsid w:val="008A5E18"/>
    <w:rsid w:val="008A6905"/>
    <w:rsid w:val="008A6D59"/>
    <w:rsid w:val="008B26DD"/>
    <w:rsid w:val="008B2D31"/>
    <w:rsid w:val="008B4B03"/>
    <w:rsid w:val="008B4C55"/>
    <w:rsid w:val="008B596F"/>
    <w:rsid w:val="008C1174"/>
    <w:rsid w:val="008C159F"/>
    <w:rsid w:val="008C1623"/>
    <w:rsid w:val="008C207D"/>
    <w:rsid w:val="008C51A9"/>
    <w:rsid w:val="008C56D9"/>
    <w:rsid w:val="008D2B09"/>
    <w:rsid w:val="008D4740"/>
    <w:rsid w:val="008D48CC"/>
    <w:rsid w:val="008D4DC8"/>
    <w:rsid w:val="008E352F"/>
    <w:rsid w:val="008E3D27"/>
    <w:rsid w:val="008E57D8"/>
    <w:rsid w:val="008E5DC0"/>
    <w:rsid w:val="008E7B83"/>
    <w:rsid w:val="008F1CCC"/>
    <w:rsid w:val="008F2967"/>
    <w:rsid w:val="008F2A6D"/>
    <w:rsid w:val="008F2FE6"/>
    <w:rsid w:val="008F407A"/>
    <w:rsid w:val="00900493"/>
    <w:rsid w:val="0090126B"/>
    <w:rsid w:val="0090230D"/>
    <w:rsid w:val="0090354E"/>
    <w:rsid w:val="0090622C"/>
    <w:rsid w:val="00907ACE"/>
    <w:rsid w:val="00910F6B"/>
    <w:rsid w:val="00920330"/>
    <w:rsid w:val="00920FF4"/>
    <w:rsid w:val="009219D7"/>
    <w:rsid w:val="009227AB"/>
    <w:rsid w:val="00922D53"/>
    <w:rsid w:val="00923B70"/>
    <w:rsid w:val="00923C3E"/>
    <w:rsid w:val="00925BA9"/>
    <w:rsid w:val="00925DC5"/>
    <w:rsid w:val="0092600B"/>
    <w:rsid w:val="00930237"/>
    <w:rsid w:val="0093237E"/>
    <w:rsid w:val="00934164"/>
    <w:rsid w:val="00934397"/>
    <w:rsid w:val="00935C2C"/>
    <w:rsid w:val="00936E5F"/>
    <w:rsid w:val="00940079"/>
    <w:rsid w:val="009401F6"/>
    <w:rsid w:val="00940F44"/>
    <w:rsid w:val="00941988"/>
    <w:rsid w:val="0094368A"/>
    <w:rsid w:val="00943862"/>
    <w:rsid w:val="00947B79"/>
    <w:rsid w:val="00947E31"/>
    <w:rsid w:val="00950020"/>
    <w:rsid w:val="00952562"/>
    <w:rsid w:val="00956B7B"/>
    <w:rsid w:val="009573F6"/>
    <w:rsid w:val="009607E3"/>
    <w:rsid w:val="00963C08"/>
    <w:rsid w:val="00965A03"/>
    <w:rsid w:val="00974EEB"/>
    <w:rsid w:val="009754A2"/>
    <w:rsid w:val="00976311"/>
    <w:rsid w:val="00984691"/>
    <w:rsid w:val="009960F5"/>
    <w:rsid w:val="00997420"/>
    <w:rsid w:val="009A015A"/>
    <w:rsid w:val="009A09AA"/>
    <w:rsid w:val="009A17A7"/>
    <w:rsid w:val="009A214B"/>
    <w:rsid w:val="009A3414"/>
    <w:rsid w:val="009A4088"/>
    <w:rsid w:val="009A474D"/>
    <w:rsid w:val="009A4863"/>
    <w:rsid w:val="009A4CED"/>
    <w:rsid w:val="009A7B43"/>
    <w:rsid w:val="009B15F1"/>
    <w:rsid w:val="009B1D12"/>
    <w:rsid w:val="009B36FC"/>
    <w:rsid w:val="009B416B"/>
    <w:rsid w:val="009C1593"/>
    <w:rsid w:val="009C30F8"/>
    <w:rsid w:val="009C4BD5"/>
    <w:rsid w:val="009C6859"/>
    <w:rsid w:val="009D0AA7"/>
    <w:rsid w:val="009D1297"/>
    <w:rsid w:val="009D2E04"/>
    <w:rsid w:val="009D30DC"/>
    <w:rsid w:val="009D4800"/>
    <w:rsid w:val="009D7070"/>
    <w:rsid w:val="009D7B77"/>
    <w:rsid w:val="009E0BB0"/>
    <w:rsid w:val="009E3FBB"/>
    <w:rsid w:val="009E5BCF"/>
    <w:rsid w:val="009E71F4"/>
    <w:rsid w:val="009F018D"/>
    <w:rsid w:val="009F3C72"/>
    <w:rsid w:val="009F7D61"/>
    <w:rsid w:val="00A00AF2"/>
    <w:rsid w:val="00A052B5"/>
    <w:rsid w:val="00A06862"/>
    <w:rsid w:val="00A07E75"/>
    <w:rsid w:val="00A11A65"/>
    <w:rsid w:val="00A1235B"/>
    <w:rsid w:val="00A12C0B"/>
    <w:rsid w:val="00A14DF7"/>
    <w:rsid w:val="00A20558"/>
    <w:rsid w:val="00A23F3C"/>
    <w:rsid w:val="00A26BA7"/>
    <w:rsid w:val="00A26D30"/>
    <w:rsid w:val="00A26DB4"/>
    <w:rsid w:val="00A30021"/>
    <w:rsid w:val="00A30376"/>
    <w:rsid w:val="00A3246D"/>
    <w:rsid w:val="00A3583A"/>
    <w:rsid w:val="00A359FF"/>
    <w:rsid w:val="00A3654F"/>
    <w:rsid w:val="00A36FA7"/>
    <w:rsid w:val="00A475B7"/>
    <w:rsid w:val="00A47AF7"/>
    <w:rsid w:val="00A47C3E"/>
    <w:rsid w:val="00A50226"/>
    <w:rsid w:val="00A5254D"/>
    <w:rsid w:val="00A539AC"/>
    <w:rsid w:val="00A5474D"/>
    <w:rsid w:val="00A56488"/>
    <w:rsid w:val="00A60BAD"/>
    <w:rsid w:val="00A610CE"/>
    <w:rsid w:val="00A612F2"/>
    <w:rsid w:val="00A620AD"/>
    <w:rsid w:val="00A64387"/>
    <w:rsid w:val="00A736F3"/>
    <w:rsid w:val="00A73A8D"/>
    <w:rsid w:val="00A7410A"/>
    <w:rsid w:val="00A811D4"/>
    <w:rsid w:val="00A812B4"/>
    <w:rsid w:val="00A82250"/>
    <w:rsid w:val="00A84503"/>
    <w:rsid w:val="00A85158"/>
    <w:rsid w:val="00A85B04"/>
    <w:rsid w:val="00A87334"/>
    <w:rsid w:val="00A90EB1"/>
    <w:rsid w:val="00A95CF8"/>
    <w:rsid w:val="00A97B19"/>
    <w:rsid w:val="00AA0731"/>
    <w:rsid w:val="00AA45AC"/>
    <w:rsid w:val="00AA7238"/>
    <w:rsid w:val="00AB06DD"/>
    <w:rsid w:val="00AB0C68"/>
    <w:rsid w:val="00AB387A"/>
    <w:rsid w:val="00AB5AB9"/>
    <w:rsid w:val="00AB6F47"/>
    <w:rsid w:val="00AB7277"/>
    <w:rsid w:val="00AC2B40"/>
    <w:rsid w:val="00AC2BB2"/>
    <w:rsid w:val="00AC2C3C"/>
    <w:rsid w:val="00AC2E84"/>
    <w:rsid w:val="00AC3BD9"/>
    <w:rsid w:val="00AC62ED"/>
    <w:rsid w:val="00AC7EB0"/>
    <w:rsid w:val="00AD1F38"/>
    <w:rsid w:val="00AD1FB7"/>
    <w:rsid w:val="00AE0320"/>
    <w:rsid w:val="00AE159B"/>
    <w:rsid w:val="00AE65EB"/>
    <w:rsid w:val="00AE7A9F"/>
    <w:rsid w:val="00AF0159"/>
    <w:rsid w:val="00AF04E7"/>
    <w:rsid w:val="00AF1C41"/>
    <w:rsid w:val="00AF1D94"/>
    <w:rsid w:val="00AF399E"/>
    <w:rsid w:val="00AF526B"/>
    <w:rsid w:val="00AF5440"/>
    <w:rsid w:val="00AF60C5"/>
    <w:rsid w:val="00B009C6"/>
    <w:rsid w:val="00B01548"/>
    <w:rsid w:val="00B04635"/>
    <w:rsid w:val="00B04F36"/>
    <w:rsid w:val="00B06F61"/>
    <w:rsid w:val="00B101D5"/>
    <w:rsid w:val="00B12580"/>
    <w:rsid w:val="00B12F9E"/>
    <w:rsid w:val="00B21D29"/>
    <w:rsid w:val="00B21FC5"/>
    <w:rsid w:val="00B21FEE"/>
    <w:rsid w:val="00B25034"/>
    <w:rsid w:val="00B277E9"/>
    <w:rsid w:val="00B30DAD"/>
    <w:rsid w:val="00B31D26"/>
    <w:rsid w:val="00B33863"/>
    <w:rsid w:val="00B37D17"/>
    <w:rsid w:val="00B4067E"/>
    <w:rsid w:val="00B4175E"/>
    <w:rsid w:val="00B41FE8"/>
    <w:rsid w:val="00B44C05"/>
    <w:rsid w:val="00B50315"/>
    <w:rsid w:val="00B507C1"/>
    <w:rsid w:val="00B510E1"/>
    <w:rsid w:val="00B51B56"/>
    <w:rsid w:val="00B52EC2"/>
    <w:rsid w:val="00B544A9"/>
    <w:rsid w:val="00B54C25"/>
    <w:rsid w:val="00B56629"/>
    <w:rsid w:val="00B600DA"/>
    <w:rsid w:val="00B6100D"/>
    <w:rsid w:val="00B61293"/>
    <w:rsid w:val="00B63C88"/>
    <w:rsid w:val="00B64369"/>
    <w:rsid w:val="00B64F68"/>
    <w:rsid w:val="00B654EA"/>
    <w:rsid w:val="00B67F8E"/>
    <w:rsid w:val="00B70B8F"/>
    <w:rsid w:val="00B71475"/>
    <w:rsid w:val="00B75D5B"/>
    <w:rsid w:val="00B75D87"/>
    <w:rsid w:val="00B76B91"/>
    <w:rsid w:val="00B83142"/>
    <w:rsid w:val="00B87C94"/>
    <w:rsid w:val="00B92C72"/>
    <w:rsid w:val="00BA6FF1"/>
    <w:rsid w:val="00BB0909"/>
    <w:rsid w:val="00BB105B"/>
    <w:rsid w:val="00BB33C7"/>
    <w:rsid w:val="00BB38DC"/>
    <w:rsid w:val="00BB6529"/>
    <w:rsid w:val="00BC1CAB"/>
    <w:rsid w:val="00BC40CB"/>
    <w:rsid w:val="00BC622A"/>
    <w:rsid w:val="00BD2C7E"/>
    <w:rsid w:val="00BD43A6"/>
    <w:rsid w:val="00BD6F8A"/>
    <w:rsid w:val="00BD70C4"/>
    <w:rsid w:val="00BE0A78"/>
    <w:rsid w:val="00BE124F"/>
    <w:rsid w:val="00BE15EE"/>
    <w:rsid w:val="00BE3574"/>
    <w:rsid w:val="00BE39FF"/>
    <w:rsid w:val="00BE79F0"/>
    <w:rsid w:val="00BF046D"/>
    <w:rsid w:val="00BF0C65"/>
    <w:rsid w:val="00BF1ED4"/>
    <w:rsid w:val="00BF4654"/>
    <w:rsid w:val="00BF5891"/>
    <w:rsid w:val="00BF5D04"/>
    <w:rsid w:val="00BF60B7"/>
    <w:rsid w:val="00C02A3E"/>
    <w:rsid w:val="00C12124"/>
    <w:rsid w:val="00C126FD"/>
    <w:rsid w:val="00C12BF5"/>
    <w:rsid w:val="00C13563"/>
    <w:rsid w:val="00C16D93"/>
    <w:rsid w:val="00C175DD"/>
    <w:rsid w:val="00C338EB"/>
    <w:rsid w:val="00C339C6"/>
    <w:rsid w:val="00C34FAE"/>
    <w:rsid w:val="00C35A99"/>
    <w:rsid w:val="00C404A6"/>
    <w:rsid w:val="00C40A36"/>
    <w:rsid w:val="00C42BAD"/>
    <w:rsid w:val="00C44419"/>
    <w:rsid w:val="00C4503F"/>
    <w:rsid w:val="00C45E7B"/>
    <w:rsid w:val="00C471B1"/>
    <w:rsid w:val="00C50B76"/>
    <w:rsid w:val="00C52144"/>
    <w:rsid w:val="00C52BEE"/>
    <w:rsid w:val="00C574C9"/>
    <w:rsid w:val="00C6316B"/>
    <w:rsid w:val="00C634A9"/>
    <w:rsid w:val="00C65D0E"/>
    <w:rsid w:val="00C76DEA"/>
    <w:rsid w:val="00C772FF"/>
    <w:rsid w:val="00C77BC8"/>
    <w:rsid w:val="00C801AF"/>
    <w:rsid w:val="00C80256"/>
    <w:rsid w:val="00C8103C"/>
    <w:rsid w:val="00C828F8"/>
    <w:rsid w:val="00C90ADC"/>
    <w:rsid w:val="00C97D34"/>
    <w:rsid w:val="00CA77CC"/>
    <w:rsid w:val="00CB0C94"/>
    <w:rsid w:val="00CB6BC0"/>
    <w:rsid w:val="00CC1B7C"/>
    <w:rsid w:val="00CC5D3C"/>
    <w:rsid w:val="00CC5F99"/>
    <w:rsid w:val="00CC727F"/>
    <w:rsid w:val="00CD2699"/>
    <w:rsid w:val="00CD7871"/>
    <w:rsid w:val="00CE2A87"/>
    <w:rsid w:val="00CE3ED8"/>
    <w:rsid w:val="00CE5BB0"/>
    <w:rsid w:val="00CE766B"/>
    <w:rsid w:val="00CF0075"/>
    <w:rsid w:val="00CF0982"/>
    <w:rsid w:val="00CF15C3"/>
    <w:rsid w:val="00CF2B6F"/>
    <w:rsid w:val="00CF3409"/>
    <w:rsid w:val="00CF34EA"/>
    <w:rsid w:val="00CF481E"/>
    <w:rsid w:val="00CF7445"/>
    <w:rsid w:val="00D017ED"/>
    <w:rsid w:val="00D021CD"/>
    <w:rsid w:val="00D02A2E"/>
    <w:rsid w:val="00D0524A"/>
    <w:rsid w:val="00D05A99"/>
    <w:rsid w:val="00D05C0D"/>
    <w:rsid w:val="00D05F92"/>
    <w:rsid w:val="00D079EB"/>
    <w:rsid w:val="00D13DB7"/>
    <w:rsid w:val="00D153B1"/>
    <w:rsid w:val="00D15583"/>
    <w:rsid w:val="00D224FE"/>
    <w:rsid w:val="00D229BA"/>
    <w:rsid w:val="00D22FE9"/>
    <w:rsid w:val="00D24245"/>
    <w:rsid w:val="00D267D1"/>
    <w:rsid w:val="00D26B84"/>
    <w:rsid w:val="00D323B2"/>
    <w:rsid w:val="00D507A4"/>
    <w:rsid w:val="00D5097C"/>
    <w:rsid w:val="00D52F76"/>
    <w:rsid w:val="00D5391F"/>
    <w:rsid w:val="00D5557C"/>
    <w:rsid w:val="00D5616E"/>
    <w:rsid w:val="00D562EC"/>
    <w:rsid w:val="00D61806"/>
    <w:rsid w:val="00D634FE"/>
    <w:rsid w:val="00D63964"/>
    <w:rsid w:val="00D63D2F"/>
    <w:rsid w:val="00D6493E"/>
    <w:rsid w:val="00D64B03"/>
    <w:rsid w:val="00D73BFA"/>
    <w:rsid w:val="00D750F4"/>
    <w:rsid w:val="00D75541"/>
    <w:rsid w:val="00D761FF"/>
    <w:rsid w:val="00D8483F"/>
    <w:rsid w:val="00D9114B"/>
    <w:rsid w:val="00D936E0"/>
    <w:rsid w:val="00D95F40"/>
    <w:rsid w:val="00DA0A7E"/>
    <w:rsid w:val="00DA1124"/>
    <w:rsid w:val="00DA1DEF"/>
    <w:rsid w:val="00DA3043"/>
    <w:rsid w:val="00DA3214"/>
    <w:rsid w:val="00DB4B0F"/>
    <w:rsid w:val="00DB56FC"/>
    <w:rsid w:val="00DB5916"/>
    <w:rsid w:val="00DB7627"/>
    <w:rsid w:val="00DC27A1"/>
    <w:rsid w:val="00DC3B7B"/>
    <w:rsid w:val="00DD3E4B"/>
    <w:rsid w:val="00DD4361"/>
    <w:rsid w:val="00DD4C9F"/>
    <w:rsid w:val="00DD75A3"/>
    <w:rsid w:val="00DD7A91"/>
    <w:rsid w:val="00DE02AE"/>
    <w:rsid w:val="00DE4F2D"/>
    <w:rsid w:val="00DE6A0C"/>
    <w:rsid w:val="00DE6BCF"/>
    <w:rsid w:val="00DE6C04"/>
    <w:rsid w:val="00DE75AC"/>
    <w:rsid w:val="00DF13F0"/>
    <w:rsid w:val="00DF1D7F"/>
    <w:rsid w:val="00DF2D68"/>
    <w:rsid w:val="00DF6AAC"/>
    <w:rsid w:val="00DF6C79"/>
    <w:rsid w:val="00E00973"/>
    <w:rsid w:val="00E018A9"/>
    <w:rsid w:val="00E02117"/>
    <w:rsid w:val="00E02FB4"/>
    <w:rsid w:val="00E04E17"/>
    <w:rsid w:val="00E1340C"/>
    <w:rsid w:val="00E138A9"/>
    <w:rsid w:val="00E16473"/>
    <w:rsid w:val="00E20571"/>
    <w:rsid w:val="00E20BC4"/>
    <w:rsid w:val="00E21651"/>
    <w:rsid w:val="00E23032"/>
    <w:rsid w:val="00E235F7"/>
    <w:rsid w:val="00E239D4"/>
    <w:rsid w:val="00E240EA"/>
    <w:rsid w:val="00E24497"/>
    <w:rsid w:val="00E32326"/>
    <w:rsid w:val="00E34A10"/>
    <w:rsid w:val="00E3624A"/>
    <w:rsid w:val="00E40B22"/>
    <w:rsid w:val="00E448C6"/>
    <w:rsid w:val="00E4588F"/>
    <w:rsid w:val="00E46D7C"/>
    <w:rsid w:val="00E46DA3"/>
    <w:rsid w:val="00E501DC"/>
    <w:rsid w:val="00E50D04"/>
    <w:rsid w:val="00E51164"/>
    <w:rsid w:val="00E564E9"/>
    <w:rsid w:val="00E57B3B"/>
    <w:rsid w:val="00E70CFE"/>
    <w:rsid w:val="00E763F3"/>
    <w:rsid w:val="00E8079B"/>
    <w:rsid w:val="00E8120B"/>
    <w:rsid w:val="00E854BA"/>
    <w:rsid w:val="00E874D7"/>
    <w:rsid w:val="00E87972"/>
    <w:rsid w:val="00E927AE"/>
    <w:rsid w:val="00EA1622"/>
    <w:rsid w:val="00EA16DE"/>
    <w:rsid w:val="00EA406B"/>
    <w:rsid w:val="00EA453A"/>
    <w:rsid w:val="00EB0798"/>
    <w:rsid w:val="00EB19F8"/>
    <w:rsid w:val="00EB37FE"/>
    <w:rsid w:val="00EB40AD"/>
    <w:rsid w:val="00EB4F7C"/>
    <w:rsid w:val="00EB586E"/>
    <w:rsid w:val="00EB5FC8"/>
    <w:rsid w:val="00EC1271"/>
    <w:rsid w:val="00EC1F18"/>
    <w:rsid w:val="00EC5399"/>
    <w:rsid w:val="00EC615E"/>
    <w:rsid w:val="00EC7152"/>
    <w:rsid w:val="00ED0C8B"/>
    <w:rsid w:val="00ED0EE4"/>
    <w:rsid w:val="00ED23F4"/>
    <w:rsid w:val="00ED42BA"/>
    <w:rsid w:val="00ED503B"/>
    <w:rsid w:val="00ED5A41"/>
    <w:rsid w:val="00EE1482"/>
    <w:rsid w:val="00EE255A"/>
    <w:rsid w:val="00EE51D4"/>
    <w:rsid w:val="00EE567C"/>
    <w:rsid w:val="00EF14AB"/>
    <w:rsid w:val="00EF27B2"/>
    <w:rsid w:val="00EF30EB"/>
    <w:rsid w:val="00EF578B"/>
    <w:rsid w:val="00EF5B2B"/>
    <w:rsid w:val="00EF6C2A"/>
    <w:rsid w:val="00F00F77"/>
    <w:rsid w:val="00F01209"/>
    <w:rsid w:val="00F0261C"/>
    <w:rsid w:val="00F033EC"/>
    <w:rsid w:val="00F04F68"/>
    <w:rsid w:val="00F0627D"/>
    <w:rsid w:val="00F11A17"/>
    <w:rsid w:val="00F12670"/>
    <w:rsid w:val="00F12E67"/>
    <w:rsid w:val="00F1310C"/>
    <w:rsid w:val="00F132C3"/>
    <w:rsid w:val="00F13A01"/>
    <w:rsid w:val="00F13E15"/>
    <w:rsid w:val="00F14B27"/>
    <w:rsid w:val="00F202AB"/>
    <w:rsid w:val="00F204A1"/>
    <w:rsid w:val="00F3148D"/>
    <w:rsid w:val="00F3255D"/>
    <w:rsid w:val="00F34F60"/>
    <w:rsid w:val="00F35298"/>
    <w:rsid w:val="00F3529E"/>
    <w:rsid w:val="00F35C3E"/>
    <w:rsid w:val="00F36C32"/>
    <w:rsid w:val="00F37C95"/>
    <w:rsid w:val="00F37EE2"/>
    <w:rsid w:val="00F40F73"/>
    <w:rsid w:val="00F41CC9"/>
    <w:rsid w:val="00F4305F"/>
    <w:rsid w:val="00F443EF"/>
    <w:rsid w:val="00F44B0D"/>
    <w:rsid w:val="00F4663D"/>
    <w:rsid w:val="00F467A6"/>
    <w:rsid w:val="00F4722D"/>
    <w:rsid w:val="00F47E37"/>
    <w:rsid w:val="00F50241"/>
    <w:rsid w:val="00F503D0"/>
    <w:rsid w:val="00F50656"/>
    <w:rsid w:val="00F50997"/>
    <w:rsid w:val="00F623FD"/>
    <w:rsid w:val="00F63C0D"/>
    <w:rsid w:val="00F640B6"/>
    <w:rsid w:val="00F67B16"/>
    <w:rsid w:val="00F7116D"/>
    <w:rsid w:val="00F739D1"/>
    <w:rsid w:val="00F80399"/>
    <w:rsid w:val="00F80E40"/>
    <w:rsid w:val="00F8365F"/>
    <w:rsid w:val="00F8404D"/>
    <w:rsid w:val="00F87B87"/>
    <w:rsid w:val="00F94A69"/>
    <w:rsid w:val="00FA1F6E"/>
    <w:rsid w:val="00FA287C"/>
    <w:rsid w:val="00FA4D6D"/>
    <w:rsid w:val="00FA5B82"/>
    <w:rsid w:val="00FA639E"/>
    <w:rsid w:val="00FA6DEB"/>
    <w:rsid w:val="00FB291D"/>
    <w:rsid w:val="00FB4BB5"/>
    <w:rsid w:val="00FB4BFA"/>
    <w:rsid w:val="00FB59CE"/>
    <w:rsid w:val="00FC03C8"/>
    <w:rsid w:val="00FC25E4"/>
    <w:rsid w:val="00FC260C"/>
    <w:rsid w:val="00FC4A51"/>
    <w:rsid w:val="00FC4C49"/>
    <w:rsid w:val="00FC4EF7"/>
    <w:rsid w:val="00FD1E3C"/>
    <w:rsid w:val="00FD2739"/>
    <w:rsid w:val="00FD4BE3"/>
    <w:rsid w:val="00FE1DEE"/>
    <w:rsid w:val="00FE1E4B"/>
    <w:rsid w:val="00FE3E85"/>
    <w:rsid w:val="00FE4853"/>
    <w:rsid w:val="00FE5394"/>
    <w:rsid w:val="00FF0DB0"/>
    <w:rsid w:val="00FF1F67"/>
    <w:rsid w:val="00FF2126"/>
    <w:rsid w:val="00FF49D1"/>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1" w:unhideWhenUsed="0" w:qFormat="1"/>
    <w:lsdException w:name="List Bullet 2" w:semiHidden="0" w:uiPriority="1" w:unhideWhenUsed="0" w:qFormat="1"/>
    <w:lsdException w:name="List Bullet 3" w:uiPriority="1"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D144A"/>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1A46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1A46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1A46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1A4682"/>
    <w:rPr>
      <w:rFonts w:ascii="Arial" w:eastAsia="Times New Roman" w:hAnsi="Arial"/>
      <w:b/>
      <w:bCs/>
      <w:sz w:val="38"/>
      <w:szCs w:val="38"/>
      <w:lang w:eastAsia="en-US"/>
    </w:rPr>
  </w:style>
  <w:style w:type="character" w:customStyle="1" w:styleId="Heading3Char">
    <w:name w:val="Heading 3 Char"/>
    <w:basedOn w:val="DefaultParagraphFont"/>
    <w:link w:val="Heading3"/>
    <w:rsid w:val="001A4682"/>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1A4682"/>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4634F1"/>
    <w:pPr>
      <w:spacing w:before="120"/>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1A4682"/>
    <w:pPr>
      <w:numPr>
        <w:numId w:val="6"/>
      </w:numPr>
    </w:pPr>
  </w:style>
  <w:style w:type="paragraph" w:styleId="ListBullet2">
    <w:name w:val="List Bullet 2"/>
    <w:basedOn w:val="Normal"/>
    <w:uiPriority w:val="1"/>
    <w:qFormat/>
    <w:rsid w:val="001A4682"/>
    <w:pPr>
      <w:numPr>
        <w:ilvl w:val="1"/>
        <w:numId w:val="6"/>
      </w:numPr>
    </w:pPr>
  </w:style>
  <w:style w:type="paragraph" w:styleId="ListBullet3">
    <w:name w:val="List Bullet 3"/>
    <w:basedOn w:val="Normal"/>
    <w:uiPriority w:val="1"/>
    <w:qFormat/>
    <w:rsid w:val="001A4682"/>
    <w:pPr>
      <w:numPr>
        <w:ilvl w:val="2"/>
        <w:numId w:val="6"/>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1A4682"/>
    <w:pPr>
      <w:numPr>
        <w:numId w:val="7"/>
      </w:numPr>
    </w:pPr>
  </w:style>
  <w:style w:type="paragraph" w:customStyle="1" w:styleId="Numberbullet2">
    <w:name w:val="Number bullet 2"/>
    <w:basedOn w:val="ListBullet2"/>
    <w:uiPriority w:val="2"/>
    <w:qFormat/>
    <w:rsid w:val="001A4682"/>
    <w:pPr>
      <w:numPr>
        <w:numId w:val="7"/>
      </w:numPr>
    </w:pPr>
  </w:style>
  <w:style w:type="paragraph" w:customStyle="1" w:styleId="Numberbullet3">
    <w:name w:val="Number bullet 3"/>
    <w:basedOn w:val="ListBullet3"/>
    <w:uiPriority w:val="2"/>
    <w:qFormat/>
    <w:rsid w:val="001A4682"/>
    <w:pPr>
      <w:numPr>
        <w:numId w:val="7"/>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1A4682"/>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EE1482"/>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EE1482"/>
    <w:pPr>
      <w:keepNext/>
      <w:keepLines/>
      <w:spacing w:before="360"/>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EE1482"/>
    <w:pPr>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1A46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ListParagraph">
    <w:name w:val="List Paragraph"/>
    <w:aliases w:val="List Paragraph1,Recommendation,List Paragraph11"/>
    <w:basedOn w:val="Normal"/>
    <w:link w:val="ListParagraphChar"/>
    <w:uiPriority w:val="34"/>
    <w:unhideWhenUsed/>
    <w:rsid w:val="00956B7B"/>
    <w:pPr>
      <w:spacing w:before="0" w:after="0"/>
      <w:ind w:left="720"/>
      <w:contextualSpacing/>
    </w:pPr>
    <w:rPr>
      <w:rFonts w:cstheme="minorBidi"/>
      <w:szCs w:val="22"/>
    </w:rPr>
  </w:style>
  <w:style w:type="paragraph" w:styleId="Revision">
    <w:name w:val="Revision"/>
    <w:hidden/>
    <w:uiPriority w:val="99"/>
    <w:semiHidden/>
    <w:rsid w:val="00956B7B"/>
    <w:rPr>
      <w:sz w:val="22"/>
      <w:lang w:eastAsia="en-US"/>
    </w:rPr>
  </w:style>
  <w:style w:type="table" w:styleId="LightList-Accent1">
    <w:name w:val="Light List Accent 1"/>
    <w:basedOn w:val="TableNormal"/>
    <w:uiPriority w:val="61"/>
    <w:rsid w:val="003E5041"/>
    <w:tblPr>
      <w:tblStyleRowBandSize w:val="1"/>
      <w:tblStyleColBandSize w:val="1"/>
      <w:tblBorders>
        <w:top w:val="single" w:sz="8" w:space="0" w:color="006EA8" w:themeColor="accent1"/>
        <w:left w:val="single" w:sz="8" w:space="0" w:color="006EA8" w:themeColor="accent1"/>
        <w:bottom w:val="single" w:sz="8" w:space="0" w:color="006EA8" w:themeColor="accent1"/>
        <w:right w:val="single" w:sz="8" w:space="0" w:color="006EA8" w:themeColor="accent1"/>
      </w:tblBorders>
    </w:tblPr>
    <w:tblStylePr w:type="firstRow">
      <w:pPr>
        <w:spacing w:before="0" w:after="0" w:line="240" w:lineRule="auto"/>
      </w:pPr>
      <w:rPr>
        <w:b/>
        <w:bCs/>
        <w:color w:val="FFFFFF" w:themeColor="background1"/>
      </w:rPr>
      <w:tblPr/>
      <w:tcPr>
        <w:shd w:val="clear" w:color="auto" w:fill="006EA8" w:themeFill="accent1"/>
      </w:tcPr>
    </w:tblStylePr>
    <w:tblStylePr w:type="lastRow">
      <w:pPr>
        <w:spacing w:before="0" w:after="0" w:line="240" w:lineRule="auto"/>
      </w:pPr>
      <w:rPr>
        <w:b/>
        <w:bCs/>
      </w:rPr>
      <w:tblPr/>
      <w:tcPr>
        <w:tcBorders>
          <w:top w:val="double" w:sz="6" w:space="0" w:color="006EA8" w:themeColor="accent1"/>
          <w:left w:val="single" w:sz="8" w:space="0" w:color="006EA8" w:themeColor="accent1"/>
          <w:bottom w:val="single" w:sz="8" w:space="0" w:color="006EA8" w:themeColor="accent1"/>
          <w:right w:val="single" w:sz="8" w:space="0" w:color="006EA8" w:themeColor="accent1"/>
        </w:tcBorders>
      </w:tcPr>
    </w:tblStylePr>
    <w:tblStylePr w:type="firstCol">
      <w:rPr>
        <w:b/>
        <w:bCs/>
      </w:rPr>
    </w:tblStylePr>
    <w:tblStylePr w:type="lastCol">
      <w:rPr>
        <w:b/>
        <w:bCs/>
      </w:rPr>
    </w:tblStylePr>
    <w:tblStylePr w:type="band1Vert">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tblStylePr w:type="band1Horz">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style>
  <w:style w:type="character" w:customStyle="1" w:styleId="ListParagraphChar">
    <w:name w:val="List Paragraph Char"/>
    <w:aliases w:val="List Paragraph1 Char,Recommendation Char,List Paragraph11 Char"/>
    <w:link w:val="ListParagraph"/>
    <w:uiPriority w:val="34"/>
    <w:locked/>
    <w:rsid w:val="000B6B3E"/>
    <w:rPr>
      <w:rFonts w:cstheme="minorBidi"/>
      <w:sz w:val="22"/>
      <w:szCs w:val="22"/>
      <w:lang w:eastAsia="en-US"/>
    </w:rPr>
  </w:style>
  <w:style w:type="table" w:styleId="LightShading">
    <w:name w:val="Light Shading"/>
    <w:basedOn w:val="TableNormal"/>
    <w:uiPriority w:val="60"/>
    <w:rsid w:val="000D4A63"/>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table" w:styleId="MediumGrid2-Accent2">
    <w:name w:val="Medium Grid 2 Accent 2"/>
    <w:basedOn w:val="TableNormal"/>
    <w:uiPriority w:val="68"/>
    <w:rsid w:val="000D4A63"/>
    <w:rPr>
      <w:rFonts w:asciiTheme="majorHAnsi" w:eastAsiaTheme="majorEastAsia" w:hAnsiTheme="majorHAnsi" w:cstheme="majorBidi"/>
      <w:color w:val="002C47" w:themeColor="text1"/>
    </w:rPr>
    <w:tblPr>
      <w:tblStyleRowBandSize w:val="1"/>
      <w:tblStyleColBandSize w:val="1"/>
      <w:tblBorders>
        <w:top w:val="single" w:sz="8" w:space="0" w:color="A5ABB2" w:themeColor="accent2"/>
        <w:left w:val="single" w:sz="8" w:space="0" w:color="A5ABB2" w:themeColor="accent2"/>
        <w:bottom w:val="single" w:sz="8" w:space="0" w:color="A5ABB2" w:themeColor="accent2"/>
        <w:right w:val="single" w:sz="8" w:space="0" w:color="A5ABB2" w:themeColor="accent2"/>
        <w:insideH w:val="single" w:sz="8" w:space="0" w:color="A5ABB2" w:themeColor="accent2"/>
        <w:insideV w:val="single" w:sz="8" w:space="0" w:color="A5ABB2" w:themeColor="accent2"/>
      </w:tblBorders>
    </w:tblPr>
    <w:tcPr>
      <w:shd w:val="clear" w:color="auto" w:fill="E8EAEC" w:themeFill="accent2" w:themeFillTint="3F"/>
    </w:tcPr>
    <w:tblStylePr w:type="firstRow">
      <w:rPr>
        <w:b/>
        <w:bCs/>
        <w:color w:val="002C47" w:themeColor="text1"/>
      </w:rPr>
      <w:tblPr/>
      <w:tcPr>
        <w:shd w:val="clear" w:color="auto" w:fill="F6F6F7" w:themeFill="accent2" w:themeFillTint="19"/>
      </w:tcPr>
    </w:tblStylePr>
    <w:tblStylePr w:type="lastRow">
      <w:rPr>
        <w:b/>
        <w:bCs/>
        <w:color w:val="002C47" w:themeColor="text1"/>
      </w:rPr>
      <w:tblPr/>
      <w:tcPr>
        <w:tcBorders>
          <w:top w:val="single" w:sz="12" w:space="0" w:color="002C47" w:themeColor="text1"/>
          <w:left w:val="nil"/>
          <w:bottom w:val="nil"/>
          <w:right w:val="nil"/>
          <w:insideH w:val="nil"/>
          <w:insideV w:val="nil"/>
        </w:tcBorders>
        <w:shd w:val="clear" w:color="auto" w:fill="FFFFFF" w:themeFill="background1"/>
      </w:tcPr>
    </w:tblStylePr>
    <w:tblStylePr w:type="firstCol">
      <w:rPr>
        <w:b/>
        <w:bCs/>
        <w:color w:val="002C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2C47" w:themeColor="text1"/>
      </w:rPr>
      <w:tblPr/>
      <w:tcPr>
        <w:tcBorders>
          <w:top w:val="nil"/>
          <w:left w:val="nil"/>
          <w:bottom w:val="nil"/>
          <w:right w:val="nil"/>
          <w:insideH w:val="nil"/>
          <w:insideV w:val="nil"/>
        </w:tcBorders>
        <w:shd w:val="clear" w:color="auto" w:fill="ECEEEF" w:themeFill="accent2" w:themeFillTint="33"/>
      </w:tcPr>
    </w:tblStylePr>
    <w:tblStylePr w:type="band1Vert">
      <w:tblPr/>
      <w:tcPr>
        <w:shd w:val="clear" w:color="auto" w:fill="D2D5D8" w:themeFill="accent2" w:themeFillTint="7F"/>
      </w:tcPr>
    </w:tblStylePr>
    <w:tblStylePr w:type="band1Horz">
      <w:tblPr/>
      <w:tcPr>
        <w:tcBorders>
          <w:insideH w:val="single" w:sz="6" w:space="0" w:color="A5ABB2" w:themeColor="accent2"/>
          <w:insideV w:val="single" w:sz="6" w:space="0" w:color="A5ABB2" w:themeColor="accent2"/>
        </w:tcBorders>
        <w:shd w:val="clear" w:color="auto" w:fill="D2D5D8" w:themeFill="accent2" w:themeFillTint="7F"/>
      </w:tcPr>
    </w:tblStylePr>
    <w:tblStylePr w:type="nwCell">
      <w:tblPr/>
      <w:tcPr>
        <w:shd w:val="clear" w:color="auto" w:fill="FFFFFF" w:themeFill="background1"/>
      </w:tcPr>
    </w:tblStylePr>
  </w:style>
  <w:style w:type="character" w:customStyle="1" w:styleId="field-content">
    <w:name w:val="field-content"/>
    <w:basedOn w:val="DefaultParagraphFont"/>
    <w:rsid w:val="000D4A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1" w:unhideWhenUsed="0" w:qFormat="1"/>
    <w:lsdException w:name="List Bullet 2" w:semiHidden="0" w:uiPriority="1" w:unhideWhenUsed="0" w:qFormat="1"/>
    <w:lsdException w:name="List Bullet 3" w:uiPriority="1"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D144A"/>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1A46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1A46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1A46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1A4682"/>
    <w:rPr>
      <w:rFonts w:ascii="Arial" w:eastAsia="Times New Roman" w:hAnsi="Arial"/>
      <w:b/>
      <w:bCs/>
      <w:sz w:val="38"/>
      <w:szCs w:val="38"/>
      <w:lang w:eastAsia="en-US"/>
    </w:rPr>
  </w:style>
  <w:style w:type="character" w:customStyle="1" w:styleId="Heading3Char">
    <w:name w:val="Heading 3 Char"/>
    <w:basedOn w:val="DefaultParagraphFont"/>
    <w:link w:val="Heading3"/>
    <w:rsid w:val="001A4682"/>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1A4682"/>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4634F1"/>
    <w:pPr>
      <w:spacing w:before="120"/>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1A4682"/>
    <w:pPr>
      <w:numPr>
        <w:numId w:val="6"/>
      </w:numPr>
    </w:pPr>
  </w:style>
  <w:style w:type="paragraph" w:styleId="ListBullet2">
    <w:name w:val="List Bullet 2"/>
    <w:basedOn w:val="Normal"/>
    <w:uiPriority w:val="1"/>
    <w:qFormat/>
    <w:rsid w:val="001A4682"/>
    <w:pPr>
      <w:numPr>
        <w:ilvl w:val="1"/>
        <w:numId w:val="6"/>
      </w:numPr>
    </w:pPr>
  </w:style>
  <w:style w:type="paragraph" w:styleId="ListBullet3">
    <w:name w:val="List Bullet 3"/>
    <w:basedOn w:val="Normal"/>
    <w:uiPriority w:val="1"/>
    <w:qFormat/>
    <w:rsid w:val="001A4682"/>
    <w:pPr>
      <w:numPr>
        <w:ilvl w:val="2"/>
        <w:numId w:val="6"/>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1A4682"/>
    <w:pPr>
      <w:numPr>
        <w:numId w:val="7"/>
      </w:numPr>
    </w:pPr>
  </w:style>
  <w:style w:type="paragraph" w:customStyle="1" w:styleId="Numberbullet2">
    <w:name w:val="Number bullet 2"/>
    <w:basedOn w:val="ListBullet2"/>
    <w:uiPriority w:val="2"/>
    <w:qFormat/>
    <w:rsid w:val="001A4682"/>
    <w:pPr>
      <w:numPr>
        <w:numId w:val="7"/>
      </w:numPr>
    </w:pPr>
  </w:style>
  <w:style w:type="paragraph" w:customStyle="1" w:styleId="Numberbullet3">
    <w:name w:val="Number bullet 3"/>
    <w:basedOn w:val="ListBullet3"/>
    <w:uiPriority w:val="2"/>
    <w:qFormat/>
    <w:rsid w:val="001A4682"/>
    <w:pPr>
      <w:numPr>
        <w:numId w:val="7"/>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1A4682"/>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EE1482"/>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EE1482"/>
    <w:pPr>
      <w:keepNext/>
      <w:keepLines/>
      <w:spacing w:before="360"/>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EE1482"/>
    <w:pPr>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1A46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ListParagraph">
    <w:name w:val="List Paragraph"/>
    <w:aliases w:val="List Paragraph1,Recommendation,List Paragraph11"/>
    <w:basedOn w:val="Normal"/>
    <w:link w:val="ListParagraphChar"/>
    <w:uiPriority w:val="34"/>
    <w:unhideWhenUsed/>
    <w:rsid w:val="00956B7B"/>
    <w:pPr>
      <w:spacing w:before="0" w:after="0"/>
      <w:ind w:left="720"/>
      <w:contextualSpacing/>
    </w:pPr>
    <w:rPr>
      <w:rFonts w:cstheme="minorBidi"/>
      <w:szCs w:val="22"/>
    </w:rPr>
  </w:style>
  <w:style w:type="paragraph" w:styleId="Revision">
    <w:name w:val="Revision"/>
    <w:hidden/>
    <w:uiPriority w:val="99"/>
    <w:semiHidden/>
    <w:rsid w:val="00956B7B"/>
    <w:rPr>
      <w:sz w:val="22"/>
      <w:lang w:eastAsia="en-US"/>
    </w:rPr>
  </w:style>
  <w:style w:type="table" w:styleId="LightList-Accent1">
    <w:name w:val="Light List Accent 1"/>
    <w:basedOn w:val="TableNormal"/>
    <w:uiPriority w:val="61"/>
    <w:rsid w:val="003E5041"/>
    <w:tblPr>
      <w:tblStyleRowBandSize w:val="1"/>
      <w:tblStyleColBandSize w:val="1"/>
      <w:tblBorders>
        <w:top w:val="single" w:sz="8" w:space="0" w:color="006EA8" w:themeColor="accent1"/>
        <w:left w:val="single" w:sz="8" w:space="0" w:color="006EA8" w:themeColor="accent1"/>
        <w:bottom w:val="single" w:sz="8" w:space="0" w:color="006EA8" w:themeColor="accent1"/>
        <w:right w:val="single" w:sz="8" w:space="0" w:color="006EA8" w:themeColor="accent1"/>
      </w:tblBorders>
    </w:tblPr>
    <w:tblStylePr w:type="firstRow">
      <w:pPr>
        <w:spacing w:before="0" w:after="0" w:line="240" w:lineRule="auto"/>
      </w:pPr>
      <w:rPr>
        <w:b/>
        <w:bCs/>
        <w:color w:val="FFFFFF" w:themeColor="background1"/>
      </w:rPr>
      <w:tblPr/>
      <w:tcPr>
        <w:shd w:val="clear" w:color="auto" w:fill="006EA8" w:themeFill="accent1"/>
      </w:tcPr>
    </w:tblStylePr>
    <w:tblStylePr w:type="lastRow">
      <w:pPr>
        <w:spacing w:before="0" w:after="0" w:line="240" w:lineRule="auto"/>
      </w:pPr>
      <w:rPr>
        <w:b/>
        <w:bCs/>
      </w:rPr>
      <w:tblPr/>
      <w:tcPr>
        <w:tcBorders>
          <w:top w:val="double" w:sz="6" w:space="0" w:color="006EA8" w:themeColor="accent1"/>
          <w:left w:val="single" w:sz="8" w:space="0" w:color="006EA8" w:themeColor="accent1"/>
          <w:bottom w:val="single" w:sz="8" w:space="0" w:color="006EA8" w:themeColor="accent1"/>
          <w:right w:val="single" w:sz="8" w:space="0" w:color="006EA8" w:themeColor="accent1"/>
        </w:tcBorders>
      </w:tcPr>
    </w:tblStylePr>
    <w:tblStylePr w:type="firstCol">
      <w:rPr>
        <w:b/>
        <w:bCs/>
      </w:rPr>
    </w:tblStylePr>
    <w:tblStylePr w:type="lastCol">
      <w:rPr>
        <w:b/>
        <w:bCs/>
      </w:rPr>
    </w:tblStylePr>
    <w:tblStylePr w:type="band1Vert">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tblStylePr w:type="band1Horz">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style>
  <w:style w:type="character" w:customStyle="1" w:styleId="ListParagraphChar">
    <w:name w:val="List Paragraph Char"/>
    <w:aliases w:val="List Paragraph1 Char,Recommendation Char,List Paragraph11 Char"/>
    <w:link w:val="ListParagraph"/>
    <w:uiPriority w:val="34"/>
    <w:locked/>
    <w:rsid w:val="000B6B3E"/>
    <w:rPr>
      <w:rFonts w:cstheme="minorBidi"/>
      <w:sz w:val="22"/>
      <w:szCs w:val="22"/>
      <w:lang w:eastAsia="en-US"/>
    </w:rPr>
  </w:style>
  <w:style w:type="table" w:styleId="LightShading">
    <w:name w:val="Light Shading"/>
    <w:basedOn w:val="TableNormal"/>
    <w:uiPriority w:val="60"/>
    <w:rsid w:val="000D4A63"/>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table" w:styleId="MediumGrid2-Accent2">
    <w:name w:val="Medium Grid 2 Accent 2"/>
    <w:basedOn w:val="TableNormal"/>
    <w:uiPriority w:val="68"/>
    <w:rsid w:val="000D4A63"/>
    <w:rPr>
      <w:rFonts w:asciiTheme="majorHAnsi" w:eastAsiaTheme="majorEastAsia" w:hAnsiTheme="majorHAnsi" w:cstheme="majorBidi"/>
      <w:color w:val="002C47" w:themeColor="text1"/>
    </w:rPr>
    <w:tblPr>
      <w:tblStyleRowBandSize w:val="1"/>
      <w:tblStyleColBandSize w:val="1"/>
      <w:tblBorders>
        <w:top w:val="single" w:sz="8" w:space="0" w:color="A5ABB2" w:themeColor="accent2"/>
        <w:left w:val="single" w:sz="8" w:space="0" w:color="A5ABB2" w:themeColor="accent2"/>
        <w:bottom w:val="single" w:sz="8" w:space="0" w:color="A5ABB2" w:themeColor="accent2"/>
        <w:right w:val="single" w:sz="8" w:space="0" w:color="A5ABB2" w:themeColor="accent2"/>
        <w:insideH w:val="single" w:sz="8" w:space="0" w:color="A5ABB2" w:themeColor="accent2"/>
        <w:insideV w:val="single" w:sz="8" w:space="0" w:color="A5ABB2" w:themeColor="accent2"/>
      </w:tblBorders>
    </w:tblPr>
    <w:tcPr>
      <w:shd w:val="clear" w:color="auto" w:fill="E8EAEC" w:themeFill="accent2" w:themeFillTint="3F"/>
    </w:tcPr>
    <w:tblStylePr w:type="firstRow">
      <w:rPr>
        <w:b/>
        <w:bCs/>
        <w:color w:val="002C47" w:themeColor="text1"/>
      </w:rPr>
      <w:tblPr/>
      <w:tcPr>
        <w:shd w:val="clear" w:color="auto" w:fill="F6F6F7" w:themeFill="accent2" w:themeFillTint="19"/>
      </w:tcPr>
    </w:tblStylePr>
    <w:tblStylePr w:type="lastRow">
      <w:rPr>
        <w:b/>
        <w:bCs/>
        <w:color w:val="002C47" w:themeColor="text1"/>
      </w:rPr>
      <w:tblPr/>
      <w:tcPr>
        <w:tcBorders>
          <w:top w:val="single" w:sz="12" w:space="0" w:color="002C47" w:themeColor="text1"/>
          <w:left w:val="nil"/>
          <w:bottom w:val="nil"/>
          <w:right w:val="nil"/>
          <w:insideH w:val="nil"/>
          <w:insideV w:val="nil"/>
        </w:tcBorders>
        <w:shd w:val="clear" w:color="auto" w:fill="FFFFFF" w:themeFill="background1"/>
      </w:tcPr>
    </w:tblStylePr>
    <w:tblStylePr w:type="firstCol">
      <w:rPr>
        <w:b/>
        <w:bCs/>
        <w:color w:val="002C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2C47" w:themeColor="text1"/>
      </w:rPr>
      <w:tblPr/>
      <w:tcPr>
        <w:tcBorders>
          <w:top w:val="nil"/>
          <w:left w:val="nil"/>
          <w:bottom w:val="nil"/>
          <w:right w:val="nil"/>
          <w:insideH w:val="nil"/>
          <w:insideV w:val="nil"/>
        </w:tcBorders>
        <w:shd w:val="clear" w:color="auto" w:fill="ECEEEF" w:themeFill="accent2" w:themeFillTint="33"/>
      </w:tcPr>
    </w:tblStylePr>
    <w:tblStylePr w:type="band1Vert">
      <w:tblPr/>
      <w:tcPr>
        <w:shd w:val="clear" w:color="auto" w:fill="D2D5D8" w:themeFill="accent2" w:themeFillTint="7F"/>
      </w:tcPr>
    </w:tblStylePr>
    <w:tblStylePr w:type="band1Horz">
      <w:tblPr/>
      <w:tcPr>
        <w:tcBorders>
          <w:insideH w:val="single" w:sz="6" w:space="0" w:color="A5ABB2" w:themeColor="accent2"/>
          <w:insideV w:val="single" w:sz="6" w:space="0" w:color="A5ABB2" w:themeColor="accent2"/>
        </w:tcBorders>
        <w:shd w:val="clear" w:color="auto" w:fill="D2D5D8" w:themeFill="accent2" w:themeFillTint="7F"/>
      </w:tcPr>
    </w:tblStylePr>
    <w:tblStylePr w:type="nwCell">
      <w:tblPr/>
      <w:tcPr>
        <w:shd w:val="clear" w:color="auto" w:fill="FFFFFF" w:themeFill="background1"/>
      </w:tcPr>
    </w:tblStylePr>
  </w:style>
  <w:style w:type="character" w:customStyle="1" w:styleId="field-content">
    <w:name w:val="field-content"/>
    <w:basedOn w:val="DefaultParagraphFont"/>
    <w:rsid w:val="000D4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222490">
      <w:bodyDiv w:val="1"/>
      <w:marLeft w:val="0"/>
      <w:marRight w:val="0"/>
      <w:marTop w:val="0"/>
      <w:marBottom w:val="0"/>
      <w:divBdr>
        <w:top w:val="none" w:sz="0" w:space="0" w:color="auto"/>
        <w:left w:val="none" w:sz="0" w:space="0" w:color="auto"/>
        <w:bottom w:val="none" w:sz="0" w:space="0" w:color="auto"/>
        <w:right w:val="none" w:sz="0" w:space="0" w:color="auto"/>
      </w:divBdr>
    </w:div>
    <w:div w:id="570624352">
      <w:bodyDiv w:val="1"/>
      <w:marLeft w:val="0"/>
      <w:marRight w:val="0"/>
      <w:marTop w:val="0"/>
      <w:marBottom w:val="0"/>
      <w:divBdr>
        <w:top w:val="none" w:sz="0" w:space="0" w:color="auto"/>
        <w:left w:val="none" w:sz="0" w:space="0" w:color="auto"/>
        <w:bottom w:val="none" w:sz="0" w:space="0" w:color="auto"/>
        <w:right w:val="none" w:sz="0" w:space="0" w:color="auto"/>
      </w:divBdr>
      <w:divsChild>
        <w:div w:id="582760529">
          <w:marLeft w:val="0"/>
          <w:marRight w:val="0"/>
          <w:marTop w:val="0"/>
          <w:marBottom w:val="0"/>
          <w:divBdr>
            <w:top w:val="none" w:sz="0" w:space="0" w:color="auto"/>
            <w:left w:val="none" w:sz="0" w:space="0" w:color="auto"/>
            <w:bottom w:val="none" w:sz="0" w:space="0" w:color="auto"/>
            <w:right w:val="none" w:sz="0" w:space="0" w:color="auto"/>
          </w:divBdr>
          <w:divsChild>
            <w:div w:id="33188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40438">
      <w:bodyDiv w:val="1"/>
      <w:marLeft w:val="0"/>
      <w:marRight w:val="0"/>
      <w:marTop w:val="0"/>
      <w:marBottom w:val="0"/>
      <w:divBdr>
        <w:top w:val="none" w:sz="0" w:space="0" w:color="auto"/>
        <w:left w:val="none" w:sz="0" w:space="0" w:color="auto"/>
        <w:bottom w:val="none" w:sz="0" w:space="0" w:color="auto"/>
        <w:right w:val="none" w:sz="0" w:space="0" w:color="auto"/>
      </w:divBdr>
    </w:div>
    <w:div w:id="674192917">
      <w:bodyDiv w:val="1"/>
      <w:marLeft w:val="0"/>
      <w:marRight w:val="0"/>
      <w:marTop w:val="0"/>
      <w:marBottom w:val="0"/>
      <w:divBdr>
        <w:top w:val="none" w:sz="0" w:space="0" w:color="auto"/>
        <w:left w:val="none" w:sz="0" w:space="0" w:color="auto"/>
        <w:bottom w:val="none" w:sz="0" w:space="0" w:color="auto"/>
        <w:right w:val="none" w:sz="0" w:space="0" w:color="auto"/>
      </w:divBdr>
    </w:div>
    <w:div w:id="738598169">
      <w:bodyDiv w:val="1"/>
      <w:marLeft w:val="0"/>
      <w:marRight w:val="0"/>
      <w:marTop w:val="0"/>
      <w:marBottom w:val="0"/>
      <w:divBdr>
        <w:top w:val="none" w:sz="0" w:space="0" w:color="auto"/>
        <w:left w:val="none" w:sz="0" w:space="0" w:color="auto"/>
        <w:bottom w:val="none" w:sz="0" w:space="0" w:color="auto"/>
        <w:right w:val="none" w:sz="0" w:space="0" w:color="auto"/>
      </w:divBdr>
    </w:div>
    <w:div w:id="741803557">
      <w:bodyDiv w:val="1"/>
      <w:marLeft w:val="0"/>
      <w:marRight w:val="0"/>
      <w:marTop w:val="0"/>
      <w:marBottom w:val="0"/>
      <w:divBdr>
        <w:top w:val="none" w:sz="0" w:space="0" w:color="auto"/>
        <w:left w:val="none" w:sz="0" w:space="0" w:color="auto"/>
        <w:bottom w:val="none" w:sz="0" w:space="0" w:color="auto"/>
        <w:right w:val="none" w:sz="0" w:space="0" w:color="auto"/>
      </w:divBdr>
    </w:div>
    <w:div w:id="853106011">
      <w:bodyDiv w:val="1"/>
      <w:marLeft w:val="0"/>
      <w:marRight w:val="0"/>
      <w:marTop w:val="0"/>
      <w:marBottom w:val="0"/>
      <w:divBdr>
        <w:top w:val="none" w:sz="0" w:space="0" w:color="auto"/>
        <w:left w:val="none" w:sz="0" w:space="0" w:color="auto"/>
        <w:bottom w:val="none" w:sz="0" w:space="0" w:color="auto"/>
        <w:right w:val="none" w:sz="0" w:space="0" w:color="auto"/>
      </w:divBdr>
    </w:div>
    <w:div w:id="1032144329">
      <w:bodyDiv w:val="1"/>
      <w:marLeft w:val="0"/>
      <w:marRight w:val="0"/>
      <w:marTop w:val="0"/>
      <w:marBottom w:val="0"/>
      <w:divBdr>
        <w:top w:val="none" w:sz="0" w:space="0" w:color="auto"/>
        <w:left w:val="none" w:sz="0" w:space="0" w:color="auto"/>
        <w:bottom w:val="none" w:sz="0" w:space="0" w:color="auto"/>
        <w:right w:val="none" w:sz="0" w:space="0" w:color="auto"/>
      </w:divBdr>
    </w:div>
    <w:div w:id="1066106825">
      <w:bodyDiv w:val="1"/>
      <w:marLeft w:val="0"/>
      <w:marRight w:val="0"/>
      <w:marTop w:val="0"/>
      <w:marBottom w:val="0"/>
      <w:divBdr>
        <w:top w:val="none" w:sz="0" w:space="0" w:color="auto"/>
        <w:left w:val="none" w:sz="0" w:space="0" w:color="auto"/>
        <w:bottom w:val="none" w:sz="0" w:space="0" w:color="auto"/>
        <w:right w:val="none" w:sz="0" w:space="0" w:color="auto"/>
      </w:divBdr>
    </w:div>
    <w:div w:id="1088694267">
      <w:bodyDiv w:val="1"/>
      <w:marLeft w:val="0"/>
      <w:marRight w:val="0"/>
      <w:marTop w:val="0"/>
      <w:marBottom w:val="0"/>
      <w:divBdr>
        <w:top w:val="none" w:sz="0" w:space="0" w:color="auto"/>
        <w:left w:val="none" w:sz="0" w:space="0" w:color="auto"/>
        <w:bottom w:val="none" w:sz="0" w:space="0" w:color="auto"/>
        <w:right w:val="none" w:sz="0" w:space="0" w:color="auto"/>
      </w:divBdr>
      <w:divsChild>
        <w:div w:id="1384021923">
          <w:marLeft w:val="0"/>
          <w:marRight w:val="0"/>
          <w:marTop w:val="0"/>
          <w:marBottom w:val="0"/>
          <w:divBdr>
            <w:top w:val="none" w:sz="0" w:space="0" w:color="auto"/>
            <w:left w:val="none" w:sz="0" w:space="0" w:color="auto"/>
            <w:bottom w:val="none" w:sz="0" w:space="0" w:color="auto"/>
            <w:right w:val="none" w:sz="0" w:space="0" w:color="auto"/>
          </w:divBdr>
          <w:divsChild>
            <w:div w:id="14414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15206">
      <w:bodyDiv w:val="1"/>
      <w:marLeft w:val="0"/>
      <w:marRight w:val="0"/>
      <w:marTop w:val="0"/>
      <w:marBottom w:val="0"/>
      <w:divBdr>
        <w:top w:val="none" w:sz="0" w:space="0" w:color="auto"/>
        <w:left w:val="none" w:sz="0" w:space="0" w:color="auto"/>
        <w:bottom w:val="none" w:sz="0" w:space="0" w:color="auto"/>
        <w:right w:val="none" w:sz="0" w:space="0" w:color="auto"/>
      </w:divBdr>
    </w:div>
    <w:div w:id="1606615401">
      <w:bodyDiv w:val="1"/>
      <w:marLeft w:val="0"/>
      <w:marRight w:val="0"/>
      <w:marTop w:val="0"/>
      <w:marBottom w:val="0"/>
      <w:divBdr>
        <w:top w:val="none" w:sz="0" w:space="0" w:color="auto"/>
        <w:left w:val="none" w:sz="0" w:space="0" w:color="auto"/>
        <w:bottom w:val="none" w:sz="0" w:space="0" w:color="auto"/>
        <w:right w:val="none" w:sz="0" w:space="0" w:color="auto"/>
      </w:divBdr>
      <w:divsChild>
        <w:div w:id="1347947159">
          <w:marLeft w:val="0"/>
          <w:marRight w:val="0"/>
          <w:marTop w:val="0"/>
          <w:marBottom w:val="0"/>
          <w:divBdr>
            <w:top w:val="none" w:sz="0" w:space="0" w:color="auto"/>
            <w:left w:val="none" w:sz="0" w:space="0" w:color="auto"/>
            <w:bottom w:val="none" w:sz="0" w:space="0" w:color="auto"/>
            <w:right w:val="none" w:sz="0" w:space="0" w:color="auto"/>
          </w:divBdr>
          <w:divsChild>
            <w:div w:id="159632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0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ga.copyright@tga.gov.au" TargetMode="External"/><Relationship Id="rId18" Type="http://schemas.openxmlformats.org/officeDocument/2006/relationships/hyperlink" Target="https://www.tga.gov.au/australian-requirements-and-recommendations-pharmacovigilance-responsibilities-sponsors-medicines" TargetMode="External"/><Relationship Id="rId26" Type="http://schemas.openxmlformats.org/officeDocument/2006/relationships/hyperlink" Target="https://www.tga.gov.au/therapeutic-goods-determinations" TargetMode="Externa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hc-sc.gc.ca/dhp-mps/pubs/medeff/_fs-if/2012-hpvf-cvps/index-eng.php" TargetMode="External"/><Relationship Id="rId25" Type="http://schemas.openxmlformats.org/officeDocument/2006/relationships/hyperlink" Target="https://www.tga.gov.au/auspars-questions-answers" TargetMode="External"/><Relationship Id="rId33" Type="http://schemas.openxmlformats.org/officeDocument/2006/relationships/hyperlink" Target="https://www.tga.gov.au" TargetMode="Externa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image" Target="media/image5.gi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www.tga.gov.au/publication/australian-public-assessment-report-auspar-guidance-document" TargetMode="External"/><Relationship Id="rId32" Type="http://schemas.openxmlformats.org/officeDocument/2006/relationships/hyperlink" Target="mailto:info@tga.gov.au"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s://www.tga.gov.au/regulatory-compliance-framework" TargetMode="External"/><Relationship Id="rId28" Type="http://schemas.openxmlformats.org/officeDocument/2006/relationships/hyperlink" Target="https://www.tga.gov.au/legislation-legislative-instruments"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tga.gov.au/publication/risk-management-plans" TargetMode="External"/><Relationship Id="rId31"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health.gov.au/internet/main/publishing.nsf/Content/Expert-Review-of-Medicines-and-Medical-Devices-Regulation" TargetMode="External"/><Relationship Id="rId22" Type="http://schemas.openxmlformats.org/officeDocument/2006/relationships/image" Target="media/image7.png"/><Relationship Id="rId27" Type="http://schemas.openxmlformats.org/officeDocument/2006/relationships/hyperlink" Target="https://www.tga.gov.au/products-regulated-biologicals" TargetMode="External"/><Relationship Id="rId30" Type="http://schemas.openxmlformats.org/officeDocument/2006/relationships/footer" Target="footer3.xml"/><Relationship Id="rId35"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www.health.gov.au/internet/main/publishing.nsf/Content/Expert-Review-of-Medicines-and-Medical-Devices-Regulatio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20External\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5F292-8494-481C-997A-84E59AD45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241</TotalTime>
  <Pages>18</Pages>
  <Words>4920</Words>
  <Characters>28049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consultation: Strengthening monitoring of medicines in Australia - Enhanced medicines vigilance</vt:lpstr>
    </vt:vector>
  </TitlesOfParts>
  <Company>Department of Health Therapeutic Goods Administration</Company>
  <LinksUpToDate>false</LinksUpToDate>
  <CharactersWithSpaces>32904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Strengthening monitoring of medicines in Australia - Enhanced medicines vigilance</dc:title>
  <dc:subject>prescription medicine regulation</dc:subject>
  <dc:creator>Therapeutic Goods Administration</dc:creator>
  <cp:keywords>consultation, prescription, medicine, regulation, monitoring, vigilance</cp:keywords>
  <cp:lastModifiedBy>Searson, Lisa</cp:lastModifiedBy>
  <cp:revision>8</cp:revision>
  <cp:lastPrinted>2017-02-27T05:38:00Z</cp:lastPrinted>
  <dcterms:created xsi:type="dcterms:W3CDTF">2017-03-08T00:09:00Z</dcterms:created>
  <dcterms:modified xsi:type="dcterms:W3CDTF">2017-03-08T05:16:00Z</dcterms:modified>
</cp:coreProperties>
</file>